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C58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color w:val="auto"/>
          <w:highlight w:val="none"/>
          <w:lang w:val="en-US" w:eastAsia="zh-CN"/>
        </w:rPr>
      </w:pPr>
      <w:bookmarkStart w:id="149" w:name="_GoBack"/>
      <w:r>
        <w:rPr>
          <w:rFonts w:hint="eastAsia"/>
          <w:color w:val="auto"/>
          <w:highlight w:val="none"/>
          <w:lang w:val="en-US" w:eastAsia="zh-CN"/>
        </w:rPr>
        <w:t>附件：评标办法</w:t>
      </w:r>
      <w:bookmarkEnd w:id="149"/>
    </w:p>
    <w:p w14:paraId="1314CE62">
      <w:pPr>
        <w:pStyle w:val="2"/>
        <w:numPr>
          <w:ilvl w:val="0"/>
          <w:numId w:val="0"/>
        </w:numPr>
        <w:bidi w:val="0"/>
        <w:ind w:leftChars="0"/>
        <w:rPr>
          <w:rFonts w:hint="eastAsia"/>
          <w:color w:val="auto"/>
          <w:highlight w:val="none"/>
        </w:rPr>
      </w:pPr>
      <w:r>
        <w:rPr>
          <w:rFonts w:hint="eastAsia"/>
          <w:color w:val="auto"/>
          <w:highlight w:val="none"/>
        </w:rPr>
        <w:t>（一）价格部分（</w:t>
      </w:r>
      <w:r>
        <w:rPr>
          <w:rFonts w:hint="eastAsia"/>
          <w:color w:val="auto"/>
          <w:highlight w:val="none"/>
          <w:lang w:val="en-US" w:eastAsia="zh-CN"/>
        </w:rPr>
        <w:t>5</w:t>
      </w:r>
      <w:r>
        <w:rPr>
          <w:rFonts w:hint="eastAsia"/>
          <w:color w:val="auto"/>
          <w:highlight w:val="none"/>
        </w:rPr>
        <w:t>0分）</w:t>
      </w:r>
    </w:p>
    <w:tbl>
      <w:tblPr>
        <w:tblStyle w:val="7"/>
        <w:tblW w:w="50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6"/>
        <w:gridCol w:w="813"/>
      </w:tblGrid>
      <w:tr w14:paraId="4AE8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531" w:type="pct"/>
            <w:noWrap w:val="0"/>
            <w:vAlign w:val="center"/>
          </w:tcPr>
          <w:p w14:paraId="1991D1B2">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468" w:type="pct"/>
            <w:noWrap w:val="0"/>
            <w:vAlign w:val="center"/>
          </w:tcPr>
          <w:p w14:paraId="4C7EEFBD">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0AE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531" w:type="pct"/>
            <w:noWrap w:val="0"/>
            <w:vAlign w:val="center"/>
          </w:tcPr>
          <w:p w14:paraId="4C51C636">
            <w:pPr>
              <w:keepNext/>
              <w:wordWrap w:val="0"/>
              <w:topLinePunct/>
              <w:autoSpaceDN w:val="0"/>
              <w:spacing w:line="360" w:lineRule="auto"/>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满足采购文件要求且投标报价最低的为评标基准价，其价格分为满分，其他投标人的价格分统一按照下列公式计算：投标报价得分=（评标基准价/投标报价）×</w:t>
            </w:r>
            <w:r>
              <w:rPr>
                <w:rFonts w:hint="eastAsia" w:ascii="仿宋" w:hAnsi="仿宋" w:eastAsia="仿宋" w:cs="仿宋"/>
                <w:color w:val="auto"/>
                <w:sz w:val="24"/>
                <w:highlight w:val="none"/>
                <w:lang w:val="en-US" w:eastAsia="zh-CN" w:bidi="ar"/>
              </w:rPr>
              <w:t>5</w:t>
            </w:r>
            <w:r>
              <w:rPr>
                <w:rFonts w:hint="eastAsia" w:ascii="仿宋" w:hAnsi="仿宋" w:eastAsia="仿宋" w:cs="仿宋"/>
                <w:color w:val="auto"/>
                <w:sz w:val="24"/>
                <w:highlight w:val="none"/>
                <w:lang w:bidi="ar"/>
              </w:rPr>
              <w:t>0%×100(百分点保留2位小数点，得分保留2位小数,第3位四舍五入,下同)。</w:t>
            </w:r>
          </w:p>
          <w:p w14:paraId="4DF81B26">
            <w:pPr>
              <w:shd w:val="clear" w:color="auto" w:fill="FFFFFF"/>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p>
          <w:p w14:paraId="2FF0C6A7">
            <w:pPr>
              <w:shd w:val="clear" w:color="auto" w:fill="FFFFFF"/>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1、投标报价须包含招标文件规定的招标范围内的全部内容。</w:t>
            </w:r>
          </w:p>
          <w:p w14:paraId="40E74C1C">
            <w:pPr>
              <w:shd w:val="clear" w:color="auto" w:fill="FFFFFF"/>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2、有效投标报价指未被评标委员会认定为无效标且不高于招标控制价的投标报价。</w:t>
            </w:r>
          </w:p>
          <w:p w14:paraId="3BF063C3">
            <w:pPr>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3、评标委员会对投标人的投标报价进行评审，经评审认定存在明显低于成本价、恶意低价竞标的，评标委员会有权对其作出无效标处理，并该报价不计入基准价的计算。</w:t>
            </w:r>
          </w:p>
          <w:p w14:paraId="11C06662">
            <w:pPr>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注：（1）对小型和微型企业的报价给予10%比例的扣除，用扣除后的价格参与评审。</w:t>
            </w:r>
          </w:p>
          <w:p w14:paraId="1BB5BD83">
            <w:pPr>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（2）监狱企业、残疾人福利性单位视同小型、微型企业，享受评审中价格扣除等政府促进中小企业发展的政府采购政策。</w:t>
            </w:r>
          </w:p>
        </w:tc>
        <w:tc>
          <w:tcPr>
            <w:tcW w:w="468" w:type="pct"/>
            <w:noWrap w:val="0"/>
            <w:vAlign w:val="center"/>
          </w:tcPr>
          <w:p w14:paraId="71B68FE8">
            <w:pPr>
              <w:spacing w:line="360" w:lineRule="auto"/>
              <w:jc w:val="center"/>
              <w:rPr>
                <w:rFonts w:ascii="仿宋" w:hAnsi="仿宋" w:eastAsia="仿宋" w:cs="仿宋"/>
                <w:b/>
                <w:color w:val="auto"/>
                <w:sz w:val="24"/>
                <w:szCs w:val="24"/>
                <w:highlight w:val="none"/>
              </w:rPr>
            </w:pPr>
            <w:r>
              <w:rPr>
                <w:rStyle w:val="11"/>
                <w:rFonts w:hint="eastAsia" w:ascii="仿宋" w:hAnsi="仿宋" w:eastAsia="仿宋" w:cs="仿宋"/>
                <w:b/>
                <w:bCs/>
                <w:color w:val="auto"/>
                <w:sz w:val="24"/>
                <w:szCs w:val="24"/>
                <w:highlight w:val="none"/>
                <w:lang w:val="en-US" w:eastAsia="zh-CN"/>
              </w:rPr>
              <w:t>50分</w:t>
            </w:r>
          </w:p>
        </w:tc>
      </w:tr>
    </w:tbl>
    <w:p w14:paraId="06A21759">
      <w:pPr>
        <w:pStyle w:val="2"/>
        <w:numPr>
          <w:ilvl w:val="0"/>
          <w:numId w:val="0"/>
        </w:numPr>
        <w:bidi w:val="0"/>
        <w:ind w:leftChars="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（二）技术部分（</w:t>
      </w:r>
      <w:r>
        <w:rPr>
          <w:rFonts w:hint="eastAsia" w:ascii="仿宋" w:hAnsi="仿宋" w:eastAsia="仿宋" w:cs="仿宋"/>
          <w:b/>
          <w:color w:val="auto"/>
          <w:sz w:val="24"/>
          <w:szCs w:val="24"/>
          <w:highlight w:val="none"/>
          <w:lang w:val="en-US" w:eastAsia="zh-CN"/>
        </w:rPr>
        <w:t>34</w:t>
      </w:r>
      <w:r>
        <w:rPr>
          <w:rFonts w:hint="eastAsia" w:ascii="仿宋" w:hAnsi="仿宋" w:eastAsia="仿宋" w:cs="仿宋"/>
          <w:b/>
          <w:color w:val="auto"/>
          <w:sz w:val="24"/>
          <w:szCs w:val="24"/>
          <w:highlight w:val="none"/>
        </w:rPr>
        <w:t>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301"/>
        <w:gridCol w:w="500"/>
      </w:tblGrid>
      <w:tr w14:paraId="2E45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00CA91F4">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E461DBB">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5FA2ECB4">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5202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653EC2AB">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lang w:bidi="ar"/>
              </w:rPr>
              <w:t>技术指标及要求</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D49294E">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满足招标需求的所有性能及技术指标要求，</w:t>
            </w:r>
            <w:r>
              <w:rPr>
                <w:rFonts w:hint="eastAsia" w:ascii="仿宋" w:hAnsi="仿宋" w:eastAsia="仿宋" w:cs="仿宋"/>
                <w:color w:val="auto"/>
                <w:sz w:val="24"/>
                <w:highlight w:val="none"/>
                <w:lang w:bidi="ar"/>
              </w:rPr>
              <w:t>任何一项不满足投标无效。</w:t>
            </w:r>
          </w:p>
          <w:p w14:paraId="25F9E68C">
            <w:pPr>
              <w:keepNext w:val="0"/>
              <w:keepLines w:val="0"/>
              <w:pageBreakBefore w:val="0"/>
              <w:widowControl w:val="0"/>
              <w:shd w:val="clear" w:color="auto" w:fill="FFFFFF"/>
              <w:kinsoku w:val="0"/>
              <w:wordWrap/>
              <w:overflowPunct w:val="0"/>
              <w:topLinePunct w:val="0"/>
              <w:autoSpaceDE w:val="0"/>
              <w:autoSpaceDN w:val="0"/>
              <w:bidi w:val="0"/>
              <w:snapToGrid/>
              <w:spacing w:line="240" w:lineRule="auto"/>
              <w:ind w:left="0"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评审依据：技术需求响应/偏离表</w:t>
            </w:r>
            <w:r>
              <w:rPr>
                <w:rFonts w:hint="eastAsia" w:ascii="仿宋" w:hAnsi="仿宋" w:eastAsia="仿宋" w:cs="仿宋"/>
                <w:b/>
                <w:bCs/>
                <w:color w:val="auto"/>
                <w:sz w:val="24"/>
                <w:szCs w:val="24"/>
                <w:highlight w:val="none"/>
                <w:lang w:val="en-US" w:eastAsia="zh-CN"/>
              </w:rPr>
              <w:t>/技术文件</w:t>
            </w:r>
            <w:r>
              <w:rPr>
                <w:rFonts w:hint="eastAsia" w:ascii="仿宋" w:hAnsi="仿宋" w:eastAsia="仿宋" w:cs="仿宋"/>
                <w:b/>
                <w:bCs/>
                <w:color w:val="auto"/>
                <w:sz w:val="24"/>
                <w:szCs w:val="24"/>
                <w:highlight w:val="none"/>
              </w:rPr>
              <w:t>。</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7505C9A8">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rPr>
                <w:rStyle w:val="11"/>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lang w:bidi="ar"/>
              </w:rPr>
              <w:t>符合性评审</w:t>
            </w:r>
          </w:p>
        </w:tc>
      </w:tr>
      <w:tr w14:paraId="0ED5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trPr>
        <w:tc>
          <w:tcPr>
            <w:tcW w:w="714" w:type="dxa"/>
            <w:tcBorders>
              <w:top w:val="single" w:color="auto" w:sz="4" w:space="0"/>
              <w:left w:val="single" w:color="auto" w:sz="4" w:space="0"/>
              <w:right w:val="single" w:color="auto" w:sz="4" w:space="0"/>
            </w:tcBorders>
            <w:noWrap w:val="0"/>
            <w:vAlign w:val="center"/>
          </w:tcPr>
          <w:p w14:paraId="4E5D9F76">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rPr>
                <w:rStyle w:val="12"/>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bidi="ar"/>
              </w:rPr>
              <w:t>设计方案</w:t>
            </w:r>
          </w:p>
        </w:tc>
        <w:tc>
          <w:tcPr>
            <w:tcW w:w="7301" w:type="dxa"/>
            <w:tcBorders>
              <w:top w:val="single" w:color="auto" w:sz="4" w:space="0"/>
              <w:left w:val="single" w:color="auto" w:sz="4" w:space="0"/>
              <w:right w:val="single" w:color="auto" w:sz="4" w:space="0"/>
            </w:tcBorders>
            <w:noWrap w:val="0"/>
            <w:vAlign w:val="center"/>
          </w:tcPr>
          <w:p w14:paraId="1E80620C">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b/>
                <w:bCs/>
                <w:color w:val="auto"/>
                <w:sz w:val="24"/>
                <w:highlight w:val="none"/>
                <w:lang w:val="en-US" w:eastAsia="zh-CN" w:bidi="ar"/>
              </w:rPr>
              <w:t>设计方案：</w:t>
            </w:r>
            <w:r>
              <w:rPr>
                <w:rFonts w:hint="eastAsia" w:ascii="仿宋" w:hAnsi="仿宋" w:eastAsia="仿宋" w:cs="仿宋"/>
                <w:color w:val="auto"/>
                <w:sz w:val="24"/>
                <w:highlight w:val="none"/>
                <w:lang w:val="en-US" w:eastAsia="zh-CN" w:bidi="ar"/>
              </w:rPr>
              <w:t>①数据资源建设</w:t>
            </w:r>
            <w:r>
              <w:rPr>
                <w:rFonts w:hint="default" w:ascii="仿宋" w:hAnsi="仿宋" w:eastAsia="仿宋" w:cs="仿宋"/>
                <w:color w:val="auto"/>
                <w:sz w:val="24"/>
                <w:highlight w:val="none"/>
                <w:lang w:bidi="ar"/>
              </w:rPr>
              <w:t>三维地下管网参数化建模</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②数据资源建设数据处理及建库；③</w:t>
            </w:r>
            <w:r>
              <w:rPr>
                <w:rFonts w:hint="eastAsia" w:ascii="仿宋" w:hAnsi="仿宋" w:eastAsia="仿宋" w:cs="仿宋"/>
                <w:color w:val="auto"/>
                <w:sz w:val="24"/>
                <w:highlight w:val="none"/>
                <w:lang w:bidi="ar"/>
              </w:rPr>
              <w:t>物联感知</w:t>
            </w:r>
            <w:r>
              <w:rPr>
                <w:rFonts w:hint="eastAsia" w:ascii="仿宋" w:hAnsi="仿宋" w:eastAsia="仿宋" w:cs="仿宋"/>
                <w:color w:val="auto"/>
                <w:sz w:val="24"/>
                <w:highlight w:val="none"/>
                <w:lang w:val="en-US" w:eastAsia="zh-CN" w:bidi="ar"/>
              </w:rPr>
              <w:t>监测</w:t>
            </w:r>
            <w:r>
              <w:rPr>
                <w:rFonts w:hint="eastAsia" w:ascii="仿宋" w:hAnsi="仿宋" w:eastAsia="仿宋" w:cs="仿宋"/>
                <w:color w:val="auto"/>
                <w:sz w:val="24"/>
                <w:highlight w:val="none"/>
                <w:lang w:bidi="ar"/>
              </w:rPr>
              <w:t xml:space="preserve">体系设备的技术选型 </w:t>
            </w:r>
            <w:r>
              <w:rPr>
                <w:rFonts w:hint="eastAsia" w:ascii="仿宋" w:hAnsi="仿宋" w:eastAsia="仿宋" w:cs="仿宋"/>
                <w:color w:val="auto"/>
                <w:sz w:val="24"/>
                <w:highlight w:val="none"/>
                <w:lang w:val="en-US" w:eastAsia="zh-CN" w:bidi="ar"/>
              </w:rPr>
              <w:t>④</w:t>
            </w:r>
            <w:r>
              <w:rPr>
                <w:rFonts w:hint="eastAsia" w:ascii="仿宋" w:hAnsi="仿宋" w:eastAsia="仿宋" w:cs="仿宋"/>
                <w:color w:val="auto"/>
                <w:sz w:val="24"/>
                <w:highlight w:val="none"/>
                <w:lang w:bidi="ar"/>
              </w:rPr>
              <w:t>物联感知</w:t>
            </w:r>
            <w:r>
              <w:rPr>
                <w:rFonts w:hint="eastAsia" w:ascii="仿宋" w:hAnsi="仿宋" w:eastAsia="仿宋" w:cs="仿宋"/>
                <w:color w:val="auto"/>
                <w:sz w:val="24"/>
                <w:highlight w:val="none"/>
                <w:lang w:val="en-US" w:eastAsia="zh-CN" w:bidi="ar"/>
              </w:rPr>
              <w:t>监测</w:t>
            </w:r>
            <w:r>
              <w:rPr>
                <w:rFonts w:hint="eastAsia" w:ascii="仿宋" w:hAnsi="仿宋" w:eastAsia="仿宋" w:cs="仿宋"/>
                <w:color w:val="auto"/>
                <w:sz w:val="24"/>
                <w:highlight w:val="none"/>
                <w:lang w:bidi="ar"/>
              </w:rPr>
              <w:t>体系设备选点</w:t>
            </w:r>
            <w:r>
              <w:rPr>
                <w:rFonts w:hint="eastAsia" w:ascii="仿宋" w:hAnsi="仿宋" w:eastAsia="仿宋" w:cs="仿宋"/>
                <w:color w:val="auto"/>
                <w:sz w:val="24"/>
                <w:highlight w:val="none"/>
                <w:lang w:val="en-US" w:eastAsia="zh-CN" w:bidi="ar"/>
              </w:rPr>
              <w:t>方案</w:t>
            </w:r>
            <w:r>
              <w:rPr>
                <w:rFonts w:hint="eastAsia" w:ascii="仿宋" w:hAnsi="仿宋" w:eastAsia="仿宋" w:cs="仿宋"/>
                <w:color w:val="auto"/>
                <w:sz w:val="24"/>
                <w:highlight w:val="none"/>
                <w:lang w:bidi="ar"/>
              </w:rPr>
              <w:t xml:space="preserve"> </w:t>
            </w:r>
            <w:r>
              <w:rPr>
                <w:rFonts w:hint="eastAsia" w:ascii="仿宋" w:hAnsi="仿宋" w:eastAsia="仿宋" w:cs="仿宋"/>
                <w:color w:val="auto"/>
                <w:sz w:val="24"/>
                <w:highlight w:val="none"/>
                <w:lang w:val="en-US" w:eastAsia="zh-CN" w:bidi="ar"/>
              </w:rPr>
              <w:t>⑤</w:t>
            </w:r>
            <w:r>
              <w:rPr>
                <w:rFonts w:hint="eastAsia" w:ascii="仿宋" w:hAnsi="仿宋" w:eastAsia="仿宋" w:cs="仿宋"/>
                <w:color w:val="auto"/>
                <w:sz w:val="24"/>
                <w:highlight w:val="none"/>
                <w:lang w:bidi="ar"/>
              </w:rPr>
              <w:t>物联感知</w:t>
            </w:r>
            <w:r>
              <w:rPr>
                <w:rFonts w:hint="eastAsia" w:ascii="仿宋" w:hAnsi="仿宋" w:eastAsia="仿宋" w:cs="仿宋"/>
                <w:color w:val="auto"/>
                <w:sz w:val="24"/>
                <w:highlight w:val="none"/>
                <w:lang w:val="en-US" w:eastAsia="zh-CN" w:bidi="ar"/>
              </w:rPr>
              <w:t>监测</w:t>
            </w:r>
            <w:r>
              <w:rPr>
                <w:rFonts w:hint="eastAsia" w:ascii="仿宋" w:hAnsi="仿宋" w:eastAsia="仿宋" w:cs="仿宋"/>
                <w:color w:val="auto"/>
                <w:sz w:val="24"/>
                <w:highlight w:val="none"/>
                <w:lang w:bidi="ar"/>
              </w:rPr>
              <w:t>体系设备安装方案</w:t>
            </w:r>
            <w:r>
              <w:rPr>
                <w:rFonts w:hint="eastAsia" w:ascii="仿宋" w:hAnsi="仿宋" w:eastAsia="仿宋" w:cs="仿宋"/>
                <w:color w:val="auto"/>
                <w:sz w:val="24"/>
                <w:highlight w:val="none"/>
                <w:lang w:val="en-US" w:eastAsia="zh-CN" w:bidi="ar"/>
              </w:rPr>
              <w:t>⑥</w:t>
            </w:r>
            <w:r>
              <w:rPr>
                <w:rFonts w:hint="eastAsia" w:ascii="仿宋" w:hAnsi="仿宋" w:eastAsia="仿宋" w:cs="仿宋"/>
                <w:color w:val="auto"/>
                <w:sz w:val="24"/>
                <w:highlight w:val="none"/>
                <w:lang w:bidi="ar"/>
              </w:rPr>
              <w:t>网页端GIS平台</w:t>
            </w:r>
            <w:r>
              <w:rPr>
                <w:rFonts w:hint="eastAsia" w:ascii="仿宋" w:hAnsi="仿宋" w:eastAsia="仿宋" w:cs="仿宋"/>
                <w:color w:val="auto"/>
                <w:sz w:val="24"/>
                <w:highlight w:val="none"/>
                <w:lang w:val="en-US" w:eastAsia="zh-CN" w:bidi="ar"/>
              </w:rPr>
              <w:t>⑦</w:t>
            </w:r>
            <w:r>
              <w:rPr>
                <w:rFonts w:hint="default" w:ascii="仿宋" w:hAnsi="仿宋" w:eastAsia="仿宋" w:cs="仿宋"/>
                <w:color w:val="auto"/>
                <w:sz w:val="24"/>
                <w:highlight w:val="none"/>
                <w:lang w:bidi="ar"/>
              </w:rPr>
              <w:t>数据发布管理</w:t>
            </w:r>
            <w:r>
              <w:rPr>
                <w:rFonts w:hint="eastAsia" w:ascii="仿宋" w:hAnsi="仿宋" w:eastAsia="仿宋" w:cs="仿宋"/>
                <w:color w:val="auto"/>
                <w:sz w:val="24"/>
                <w:highlight w:val="none"/>
                <w:lang w:val="en-US" w:eastAsia="zh-CN" w:bidi="ar"/>
              </w:rPr>
              <w:t>⑧</w:t>
            </w:r>
            <w:r>
              <w:rPr>
                <w:rFonts w:hint="default" w:ascii="仿宋" w:hAnsi="仿宋" w:eastAsia="仿宋" w:cs="仿宋"/>
                <w:color w:val="auto"/>
                <w:sz w:val="24"/>
                <w:highlight w:val="none"/>
                <w:lang w:bidi="ar"/>
              </w:rPr>
              <w:t>数字孪生引擎</w:t>
            </w:r>
            <w:r>
              <w:rPr>
                <w:rFonts w:hint="eastAsia" w:ascii="仿宋" w:hAnsi="仿宋" w:eastAsia="仿宋" w:cs="仿宋"/>
                <w:color w:val="auto"/>
                <w:sz w:val="24"/>
                <w:highlight w:val="none"/>
                <w:lang w:val="en-US" w:eastAsia="zh-CN" w:bidi="ar"/>
              </w:rPr>
              <w:t>⑨</w:t>
            </w:r>
            <w:r>
              <w:rPr>
                <w:rFonts w:hint="eastAsia" w:ascii="仿宋" w:hAnsi="仿宋" w:eastAsia="仿宋" w:cs="仿宋"/>
                <w:color w:val="auto"/>
                <w:sz w:val="24"/>
                <w:highlight w:val="none"/>
                <w:lang w:bidi="ar"/>
              </w:rPr>
              <w:t>排水管网二维GIS系统（B/S）</w:t>
            </w:r>
            <w:r>
              <w:rPr>
                <w:rFonts w:hint="eastAsia" w:ascii="仿宋" w:hAnsi="仿宋" w:eastAsia="仿宋" w:cs="仿宋"/>
                <w:color w:val="auto"/>
                <w:sz w:val="24"/>
                <w:highlight w:val="none"/>
                <w:lang w:val="en-US" w:eastAsia="zh-CN" w:bidi="ar"/>
              </w:rPr>
              <w:t>⑩</w:t>
            </w:r>
            <w:r>
              <w:rPr>
                <w:rFonts w:hint="eastAsia" w:ascii="仿宋" w:hAnsi="仿宋" w:eastAsia="仿宋" w:cs="仿宋"/>
                <w:color w:val="auto"/>
                <w:sz w:val="24"/>
                <w:highlight w:val="none"/>
                <w:lang w:bidi="ar"/>
              </w:rPr>
              <w:t>排水管网三维GIS系统（B/S）⑪孪生驾驶舱</w:t>
            </w:r>
            <w:r>
              <w:rPr>
                <w:rFonts w:hint="eastAsia" w:ascii="仿宋" w:hAnsi="仿宋" w:eastAsia="仿宋" w:cs="仿宋"/>
                <w:color w:val="auto"/>
                <w:sz w:val="24"/>
                <w:highlight w:val="none"/>
                <w:lang w:val="en-US" w:eastAsia="zh-CN" w:bidi="ar"/>
              </w:rPr>
              <w:t>⑫</w:t>
            </w:r>
            <w:r>
              <w:rPr>
                <w:rFonts w:hint="eastAsia" w:ascii="仿宋" w:hAnsi="仿宋" w:eastAsia="仿宋" w:cs="仿宋"/>
                <w:color w:val="auto"/>
                <w:sz w:val="24"/>
                <w:highlight w:val="none"/>
                <w:lang w:bidi="ar"/>
              </w:rPr>
              <w:t>综合监测</w:t>
            </w:r>
            <w:r>
              <w:rPr>
                <w:rFonts w:hint="eastAsia" w:ascii="仿宋" w:hAnsi="仿宋" w:eastAsia="仿宋" w:cs="仿宋"/>
                <w:color w:val="auto"/>
                <w:sz w:val="24"/>
                <w:highlight w:val="none"/>
                <w:lang w:val="en-US" w:eastAsia="zh-CN" w:bidi="ar"/>
              </w:rPr>
              <w:t>⑬</w:t>
            </w:r>
            <w:r>
              <w:rPr>
                <w:rFonts w:hint="eastAsia" w:ascii="仿宋" w:hAnsi="仿宋" w:eastAsia="仿宋" w:cs="仿宋"/>
                <w:color w:val="auto"/>
                <w:sz w:val="24"/>
                <w:highlight w:val="none"/>
                <w:lang w:bidi="ar"/>
              </w:rPr>
              <w:t>排查数据管理</w:t>
            </w:r>
            <w:r>
              <w:rPr>
                <w:rFonts w:hint="eastAsia" w:ascii="仿宋" w:hAnsi="仿宋" w:eastAsia="仿宋" w:cs="仿宋"/>
                <w:color w:val="auto"/>
                <w:sz w:val="24"/>
                <w:highlight w:val="none"/>
                <w:lang w:val="en-US" w:eastAsia="zh-CN" w:bidi="ar"/>
              </w:rPr>
              <w:t>⑭</w:t>
            </w:r>
            <w:r>
              <w:rPr>
                <w:rFonts w:hint="eastAsia" w:ascii="仿宋" w:hAnsi="仿宋" w:eastAsia="仿宋" w:cs="仿宋"/>
                <w:color w:val="auto"/>
                <w:sz w:val="24"/>
                <w:highlight w:val="none"/>
                <w:lang w:bidi="ar"/>
              </w:rPr>
              <w:t>巡检养护管理</w:t>
            </w:r>
            <w:r>
              <w:rPr>
                <w:rFonts w:hint="eastAsia" w:ascii="仿宋" w:hAnsi="仿宋" w:eastAsia="仿宋" w:cs="仿宋"/>
                <w:color w:val="auto"/>
                <w:sz w:val="24"/>
                <w:highlight w:val="none"/>
                <w:lang w:val="en-US" w:eastAsia="zh-CN" w:bidi="ar"/>
              </w:rPr>
              <w:t>⑮</w:t>
            </w:r>
            <w:r>
              <w:rPr>
                <w:rFonts w:hint="eastAsia" w:ascii="仿宋" w:hAnsi="仿宋" w:eastAsia="仿宋" w:cs="仿宋"/>
                <w:color w:val="auto"/>
                <w:sz w:val="24"/>
                <w:highlight w:val="none"/>
                <w:lang w:bidi="ar"/>
              </w:rPr>
              <w:t>移动端GIS基础平台</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⑯</w:t>
            </w:r>
            <w:r>
              <w:rPr>
                <w:rFonts w:hint="eastAsia" w:ascii="仿宋" w:hAnsi="仿宋" w:eastAsia="仿宋" w:cs="仿宋"/>
                <w:color w:val="auto"/>
                <w:sz w:val="24"/>
                <w:highlight w:val="none"/>
                <w:lang w:bidi="ar"/>
              </w:rPr>
              <w:t>系统管理。</w:t>
            </w:r>
          </w:p>
          <w:p w14:paraId="0C65BE81">
            <w:pPr>
              <w:keepNext w:val="0"/>
              <w:keepLines w:val="0"/>
              <w:pageBreakBefore w:val="0"/>
              <w:widowControl w:val="0"/>
              <w:kinsoku w:val="0"/>
              <w:wordWrap/>
              <w:overflowPunct w:val="0"/>
              <w:topLinePunct w:val="0"/>
              <w:autoSpaceDE w:val="0"/>
              <w:autoSpaceDN w:val="0"/>
              <w:bidi w:val="0"/>
              <w:snapToGrid/>
              <w:spacing w:line="360" w:lineRule="auto"/>
              <w:rPr>
                <w:rFonts w:hint="default" w:ascii="仿宋" w:hAnsi="仿宋" w:eastAsia="仿宋" w:cs="仿宋"/>
                <w:b/>
                <w:bCs/>
                <w:color w:val="auto"/>
                <w:sz w:val="24"/>
                <w:highlight w:val="none"/>
                <w:lang w:val="en-US" w:eastAsia="zh-CN" w:bidi="ar"/>
              </w:rPr>
            </w:pPr>
            <w:r>
              <w:rPr>
                <w:rFonts w:hint="eastAsia" w:ascii="仿宋" w:hAnsi="仿宋" w:eastAsia="仿宋" w:cs="仿宋"/>
                <w:b/>
                <w:bCs/>
                <w:color w:val="auto"/>
                <w:sz w:val="24"/>
                <w:highlight w:val="none"/>
                <w:lang w:val="en-US" w:eastAsia="zh-CN" w:bidi="ar"/>
              </w:rPr>
              <w:t>投标供应商设计方案中每包含上述小项得0.25分；满分4分.</w:t>
            </w:r>
          </w:p>
          <w:p w14:paraId="4E815689">
            <w:pPr>
              <w:keepNext w:val="0"/>
              <w:keepLines w:val="0"/>
              <w:pageBreakBefore w:val="0"/>
              <w:widowControl w:val="0"/>
              <w:shd w:val="clear" w:color="auto" w:fill="FFFFFF"/>
              <w:kinsoku w:val="0"/>
              <w:wordWrap/>
              <w:overflowPunct w:val="0"/>
              <w:topLinePunct w:val="0"/>
              <w:autoSpaceDE w:val="0"/>
              <w:autoSpaceDN w:val="0"/>
              <w:bidi w:val="0"/>
              <w:snapToGrid/>
              <w:spacing w:line="240" w:lineRule="auto"/>
              <w:ind w:left="0" w:firstLine="0" w:firstLineChars="0"/>
              <w:rPr>
                <w:rFonts w:hint="eastAsia"/>
                <w:color w:val="auto"/>
                <w:highlight w:val="none"/>
              </w:rPr>
            </w:pPr>
            <w:r>
              <w:rPr>
                <w:rFonts w:hint="eastAsia" w:ascii="仿宋" w:hAnsi="仿宋" w:eastAsia="仿宋" w:cs="仿宋"/>
                <w:b/>
                <w:bCs/>
                <w:color w:val="auto"/>
                <w:sz w:val="24"/>
                <w:szCs w:val="24"/>
                <w:highlight w:val="none"/>
              </w:rPr>
              <w:t>评审依据：投标文件中提供</w:t>
            </w:r>
            <w:r>
              <w:rPr>
                <w:rFonts w:hint="eastAsia" w:ascii="仿宋" w:hAnsi="仿宋" w:eastAsia="仿宋" w:cs="仿宋"/>
                <w:b/>
                <w:bCs/>
                <w:color w:val="auto"/>
                <w:sz w:val="24"/>
                <w:szCs w:val="24"/>
                <w:highlight w:val="none"/>
                <w:lang w:val="en-US" w:eastAsia="zh-CN"/>
              </w:rPr>
              <w:t>设计方案</w:t>
            </w:r>
            <w:r>
              <w:rPr>
                <w:rFonts w:hint="eastAsia" w:ascii="仿宋" w:hAnsi="仿宋" w:eastAsia="仿宋" w:cs="仿宋"/>
                <w:b/>
                <w:bCs/>
                <w:color w:val="auto"/>
                <w:sz w:val="24"/>
                <w:szCs w:val="24"/>
                <w:highlight w:val="none"/>
              </w:rPr>
              <w:t>并加盖投标人公章进行佐证。</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2B028965">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textAlignment w:val="center"/>
              <w:rPr>
                <w:rFonts w:hint="default" w:ascii="仿宋" w:hAnsi="仿宋" w:eastAsia="仿宋" w:cs="仿宋"/>
                <w:color w:val="auto"/>
                <w:sz w:val="24"/>
                <w:szCs w:val="24"/>
                <w:highlight w:val="none"/>
                <w:lang w:val="en-US" w:eastAsia="zh-CN"/>
              </w:rPr>
            </w:pPr>
            <w:r>
              <w:rPr>
                <w:rStyle w:val="11"/>
                <w:rFonts w:hint="eastAsia" w:ascii="仿宋" w:hAnsi="仿宋" w:eastAsia="仿宋" w:cs="仿宋"/>
                <w:b/>
                <w:bCs/>
                <w:color w:val="auto"/>
                <w:sz w:val="24"/>
                <w:szCs w:val="24"/>
                <w:highlight w:val="none"/>
                <w:lang w:val="en-US" w:eastAsia="zh-CN"/>
              </w:rPr>
              <w:t>4分</w:t>
            </w:r>
          </w:p>
        </w:tc>
      </w:tr>
      <w:tr w14:paraId="256A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62BCDE29">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rPr>
                <w:rFonts w:hint="eastAsia" w:ascii="仿宋" w:hAnsi="仿宋" w:eastAsia="仿宋" w:cs="仿宋"/>
                <w:b/>
                <w:bCs/>
                <w:color w:val="auto"/>
                <w:sz w:val="24"/>
                <w:highlight w:val="none"/>
                <w:lang w:val="en-US" w:eastAsia="zh-CN" w:bidi="ar"/>
              </w:rPr>
            </w:pPr>
            <w:r>
              <w:rPr>
                <w:rFonts w:hint="eastAsia" w:ascii="仿宋" w:hAnsi="仿宋" w:eastAsia="仿宋" w:cs="仿宋"/>
                <w:b/>
                <w:bCs/>
                <w:color w:val="auto"/>
                <w:sz w:val="24"/>
                <w:highlight w:val="none"/>
                <w:lang w:val="en-US" w:eastAsia="zh-CN" w:bidi="ar"/>
              </w:rPr>
              <w:t>产品优越性</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9EDB535">
            <w:pPr>
              <w:keepNext w:val="0"/>
              <w:keepLines w:val="0"/>
              <w:pageBreakBefore w:val="0"/>
              <w:widowControl w:val="0"/>
              <w:kinsoku w:val="0"/>
              <w:wordWrap/>
              <w:overflowPunct w:val="0"/>
              <w:topLinePunct w:val="0"/>
              <w:autoSpaceDE w:val="0"/>
              <w:autoSpaceDN w:val="0"/>
              <w:bidi w:val="0"/>
              <w:snapToGrid/>
              <w:spacing w:line="360" w:lineRule="auto"/>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w:t>
            </w:r>
            <w:r>
              <w:rPr>
                <w:rFonts w:hint="eastAsia" w:ascii="仿宋" w:hAnsi="仿宋" w:eastAsia="仿宋" w:cs="仿宋"/>
                <w:color w:val="auto"/>
                <w:sz w:val="24"/>
                <w:highlight w:val="none"/>
                <w:lang w:bidi="ar"/>
              </w:rPr>
              <w:t>多普勒</w:t>
            </w:r>
            <w:r>
              <w:rPr>
                <w:rFonts w:hint="eastAsia" w:ascii="仿宋" w:hAnsi="仿宋" w:eastAsia="仿宋" w:cs="仿宋"/>
                <w:color w:val="auto"/>
                <w:sz w:val="24"/>
                <w:highlight w:val="none"/>
                <w:lang w:val="en-US" w:eastAsia="zh-CN" w:bidi="ar"/>
              </w:rPr>
              <w:t>超声波</w:t>
            </w:r>
            <w:r>
              <w:rPr>
                <w:rFonts w:hint="eastAsia" w:ascii="仿宋" w:hAnsi="仿宋" w:eastAsia="仿宋" w:cs="仿宋"/>
                <w:color w:val="auto"/>
                <w:sz w:val="24"/>
                <w:highlight w:val="none"/>
                <w:lang w:bidi="ar"/>
              </w:rPr>
              <w:t>流量计</w:t>
            </w:r>
            <w:r>
              <w:rPr>
                <w:rFonts w:hint="eastAsia" w:ascii="仿宋" w:hAnsi="仿宋" w:eastAsia="仿宋" w:cs="仿宋"/>
                <w:color w:val="auto"/>
                <w:sz w:val="24"/>
                <w:highlight w:val="none"/>
                <w:lang w:eastAsia="zh-CN" w:bidi="ar"/>
              </w:rPr>
              <w:t>，满足任意一项得</w:t>
            </w:r>
            <w:r>
              <w:rPr>
                <w:rFonts w:hint="eastAsia" w:ascii="仿宋" w:hAnsi="仿宋" w:eastAsia="仿宋" w:cs="仿宋"/>
                <w:color w:val="auto"/>
                <w:sz w:val="24"/>
                <w:highlight w:val="none"/>
                <w:lang w:val="en-US" w:eastAsia="zh-CN" w:bidi="ar"/>
              </w:rPr>
              <w:t>0.75</w:t>
            </w:r>
            <w:r>
              <w:rPr>
                <w:rFonts w:hint="eastAsia" w:ascii="仿宋" w:hAnsi="仿宋" w:eastAsia="仿宋" w:cs="仿宋"/>
                <w:color w:val="auto"/>
                <w:sz w:val="24"/>
                <w:highlight w:val="none"/>
                <w:lang w:eastAsia="zh-CN" w:bidi="ar"/>
              </w:rPr>
              <w:t>分，满分</w:t>
            </w:r>
            <w:r>
              <w:rPr>
                <w:rFonts w:hint="eastAsia" w:ascii="仿宋" w:hAnsi="仿宋" w:eastAsia="仿宋" w:cs="仿宋"/>
                <w:color w:val="auto"/>
                <w:sz w:val="24"/>
                <w:highlight w:val="none"/>
                <w:lang w:val="en-US" w:eastAsia="zh-CN" w:bidi="ar"/>
              </w:rPr>
              <w:t>1.5分。</w:t>
            </w:r>
          </w:p>
          <w:p w14:paraId="58382A5C">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1</w:t>
            </w:r>
            <w:r>
              <w:rPr>
                <w:rFonts w:hint="eastAsia" w:ascii="仿宋" w:hAnsi="仿宋" w:eastAsia="仿宋" w:cs="仿宋"/>
                <w:color w:val="auto"/>
                <w:sz w:val="24"/>
                <w:highlight w:val="none"/>
                <w:lang w:bidi="ar"/>
              </w:rPr>
              <w:t xml:space="preserve"> 依据电工电子产品环境试验第2 部分:试验方法试验Ka：试验中性盐雾测试</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bidi="ar"/>
              </w:rPr>
              <w:t>试验样品没有出现腐蚀现象</w:t>
            </w:r>
            <w:r>
              <w:rPr>
                <w:rFonts w:hint="eastAsia" w:ascii="仿宋" w:hAnsi="仿宋" w:eastAsia="仿宋" w:cs="仿宋"/>
                <w:color w:val="auto"/>
                <w:sz w:val="24"/>
                <w:highlight w:val="none"/>
                <w:lang w:eastAsia="zh-CN" w:bidi="ar"/>
              </w:rPr>
              <w:t>。</w:t>
            </w:r>
            <w:r>
              <w:rPr>
                <w:rFonts w:hint="default" w:ascii="仿宋" w:hAnsi="仿宋" w:eastAsia="仿宋" w:cs="仿宋"/>
                <w:color w:val="auto"/>
                <w:sz w:val="24"/>
                <w:highlight w:val="none"/>
                <w:lang w:val="en-US" w:eastAsia="zh-CN" w:bidi="ar"/>
              </w:rPr>
              <w:t>(提供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p>
          <w:p w14:paraId="5AAF29B4">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bidi="ar"/>
              </w:rPr>
              <w:t xml:space="preserve"> 所投产品依据GB/T2423.4-2008，电工电子产品环境试验第2部分：试验方法 试验Db交变湿热；</w:t>
            </w:r>
            <w:r>
              <w:rPr>
                <w:rFonts w:hint="eastAsia" w:ascii="仿宋" w:hAnsi="仿宋" w:eastAsia="仿宋" w:cs="仿宋"/>
                <w:color w:val="auto"/>
                <w:sz w:val="24"/>
                <w:highlight w:val="none"/>
                <w:lang w:val="en-US" w:eastAsia="zh-CN" w:bidi="ar"/>
              </w:rPr>
              <w:t>≥</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6</w:t>
            </w:r>
            <w:r>
              <w:rPr>
                <w:rFonts w:hint="eastAsia" w:ascii="仿宋" w:hAnsi="仿宋" w:eastAsia="仿宋" w:cs="仿宋"/>
                <w:color w:val="auto"/>
                <w:sz w:val="24"/>
                <w:highlight w:val="none"/>
                <w:lang w:bidi="ar"/>
              </w:rPr>
              <w:t>h+</w:t>
            </w:r>
            <w:r>
              <w:rPr>
                <w:rFonts w:hint="eastAsia" w:ascii="仿宋" w:hAnsi="仿宋" w:eastAsia="仿宋" w:cs="仿宋"/>
                <w:color w:val="auto"/>
                <w:sz w:val="24"/>
                <w:highlight w:val="none"/>
                <w:lang w:val="en-US" w:eastAsia="zh-CN" w:bidi="ar"/>
              </w:rPr>
              <w:t>6</w:t>
            </w:r>
            <w:r>
              <w:rPr>
                <w:rFonts w:hint="eastAsia" w:ascii="仿宋" w:hAnsi="仿宋" w:eastAsia="仿宋" w:cs="仿宋"/>
                <w:color w:val="auto"/>
                <w:sz w:val="24"/>
                <w:highlight w:val="none"/>
                <w:lang w:bidi="ar"/>
              </w:rPr>
              <w:t>h循环），至少</w:t>
            </w:r>
            <w:r>
              <w:rPr>
                <w:rFonts w:hint="eastAsia" w:ascii="仿宋" w:hAnsi="仿宋" w:eastAsia="仿宋" w:cs="仿宋"/>
                <w:color w:val="auto"/>
                <w:sz w:val="24"/>
                <w:highlight w:val="none"/>
                <w:lang w:val="en-US" w:eastAsia="zh-CN" w:bidi="ar"/>
              </w:rPr>
              <w:t>24</w:t>
            </w:r>
            <w:r>
              <w:rPr>
                <w:rFonts w:hint="eastAsia" w:ascii="仿宋" w:hAnsi="仿宋" w:eastAsia="仿宋" w:cs="仿宋"/>
                <w:color w:val="auto"/>
                <w:sz w:val="24"/>
                <w:highlight w:val="none"/>
                <w:lang w:bidi="ar"/>
              </w:rPr>
              <w:t>小时，试验后样品外观 无异常、运行正常</w:t>
            </w:r>
            <w:r>
              <w:rPr>
                <w:rFonts w:hint="default" w:ascii="仿宋" w:hAnsi="仿宋" w:eastAsia="仿宋" w:cs="仿宋"/>
                <w:color w:val="auto"/>
                <w:sz w:val="24"/>
                <w:highlight w:val="none"/>
                <w:lang w:val="en-US" w:eastAsia="zh-CN" w:bidi="ar"/>
              </w:rPr>
              <w:t>(提供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p>
          <w:p w14:paraId="773EECDC">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3</w:t>
            </w:r>
            <w:r>
              <w:rPr>
                <w:rFonts w:hint="eastAsia" w:ascii="仿宋" w:hAnsi="仿宋" w:eastAsia="仿宋" w:cs="仿宋"/>
                <w:color w:val="auto"/>
                <w:sz w:val="24"/>
                <w:highlight w:val="none"/>
                <w:lang w:bidi="ar"/>
              </w:rPr>
              <w:t xml:space="preserve"> 产品防爆等级满足EX ia IIC T6 Ga</w:t>
            </w:r>
            <w:r>
              <w:rPr>
                <w:rFonts w:hint="default" w:ascii="仿宋" w:hAnsi="仿宋" w:eastAsia="仿宋" w:cs="仿宋"/>
                <w:color w:val="auto"/>
                <w:sz w:val="24"/>
                <w:highlight w:val="none"/>
                <w:lang w:val="en-US" w:eastAsia="zh-CN" w:bidi="ar"/>
              </w:rPr>
              <w:t>(提供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p>
          <w:p w14:paraId="193B59FD">
            <w:pPr>
              <w:keepNext w:val="0"/>
              <w:keepLines w:val="0"/>
              <w:pageBreakBefore w:val="0"/>
              <w:widowControl w:val="0"/>
              <w:kinsoku w:val="0"/>
              <w:wordWrap/>
              <w:overflowPunct w:val="0"/>
              <w:topLinePunct w:val="0"/>
              <w:autoSpaceDE w:val="0"/>
              <w:autoSpaceDN w:val="0"/>
              <w:bidi w:val="0"/>
              <w:snapToGrid/>
              <w:spacing w:line="360" w:lineRule="auto"/>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1.4依据GB/T 2423.22-2012 《环境试验 第 2 部分：试验方法 试验 N：温度变化》；试验箱温度：50℃线性变化至</w:t>
            </w:r>
            <w:r>
              <w:rPr>
                <w:rFonts w:hint="default" w:ascii="仿宋" w:hAnsi="仿宋" w:eastAsia="仿宋" w:cs="仿宋"/>
                <w:color w:val="auto"/>
                <w:sz w:val="24"/>
                <w:highlight w:val="none"/>
                <w:lang w:val="en-US" w:eastAsia="zh-CN" w:bidi="ar"/>
              </w:rPr>
              <w:t>0</w:t>
            </w:r>
            <w:r>
              <w:rPr>
                <w:rFonts w:hint="eastAsia" w:ascii="仿宋" w:hAnsi="仿宋" w:eastAsia="仿宋" w:cs="仿宋"/>
                <w:color w:val="auto"/>
                <w:sz w:val="24"/>
                <w:highlight w:val="none"/>
                <w:lang w:val="en-US" w:eastAsia="zh-CN" w:bidi="ar"/>
              </w:rPr>
              <w:t>℃、</w:t>
            </w:r>
            <w:r>
              <w:rPr>
                <w:rFonts w:hint="default" w:ascii="仿宋" w:hAnsi="仿宋" w:eastAsia="仿宋" w:cs="仿宋"/>
                <w:color w:val="auto"/>
                <w:sz w:val="24"/>
                <w:highlight w:val="none"/>
                <w:lang w:val="en-US" w:eastAsia="zh-CN" w:bidi="ar"/>
              </w:rPr>
              <w:t>0</w:t>
            </w:r>
            <w:r>
              <w:rPr>
                <w:rFonts w:hint="eastAsia" w:ascii="仿宋" w:hAnsi="仿宋" w:eastAsia="仿宋" w:cs="仿宋"/>
                <w:color w:val="auto"/>
                <w:sz w:val="24"/>
                <w:highlight w:val="none"/>
                <w:lang w:val="en-US" w:eastAsia="zh-CN" w:bidi="ar"/>
              </w:rPr>
              <w:t xml:space="preserve">℃线性变化至 </w:t>
            </w:r>
            <w:r>
              <w:rPr>
                <w:rFonts w:hint="default" w:ascii="仿宋" w:hAnsi="仿宋" w:eastAsia="仿宋" w:cs="仿宋"/>
                <w:color w:val="auto"/>
                <w:sz w:val="24"/>
                <w:highlight w:val="none"/>
                <w:lang w:val="en-US" w:eastAsia="zh-CN" w:bidi="ar"/>
              </w:rPr>
              <w:t>50</w:t>
            </w:r>
            <w:r>
              <w:rPr>
                <w:rFonts w:hint="eastAsia" w:ascii="仿宋" w:hAnsi="仿宋" w:eastAsia="仿宋" w:cs="仿宋"/>
                <w:color w:val="auto"/>
                <w:sz w:val="24"/>
                <w:highlight w:val="none"/>
                <w:lang w:val="en-US" w:eastAsia="zh-CN" w:bidi="ar"/>
              </w:rPr>
              <w:t>℃持续时间：</w:t>
            </w:r>
            <w:r>
              <w:rPr>
                <w:rFonts w:hint="default" w:ascii="仿宋" w:hAnsi="仿宋" w:eastAsia="仿宋" w:cs="仿宋"/>
                <w:color w:val="auto"/>
                <w:sz w:val="24"/>
                <w:highlight w:val="none"/>
                <w:lang w:val="en-US" w:eastAsia="zh-CN" w:bidi="ar"/>
              </w:rPr>
              <w:t xml:space="preserve">1h </w:t>
            </w:r>
            <w:r>
              <w:rPr>
                <w:rFonts w:hint="eastAsia" w:ascii="仿宋" w:hAnsi="仿宋" w:eastAsia="仿宋" w:cs="仿宋"/>
                <w:color w:val="auto"/>
                <w:sz w:val="24"/>
                <w:highlight w:val="none"/>
                <w:lang w:val="en-US" w:eastAsia="zh-CN" w:bidi="ar"/>
              </w:rPr>
              <w:t>，样品检测正常。</w:t>
            </w:r>
          </w:p>
          <w:p w14:paraId="2D269F8B">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default" w:ascii="仿宋" w:hAnsi="仿宋" w:eastAsia="仿宋" w:cs="仿宋"/>
                <w:color w:val="auto"/>
                <w:sz w:val="24"/>
                <w:highlight w:val="none"/>
                <w:lang w:val="en-US" w:eastAsia="zh-CN" w:bidi="ar"/>
              </w:rPr>
              <w:t>(提供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p>
          <w:p w14:paraId="224CBF64">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评</w:t>
            </w:r>
            <w:r>
              <w:rPr>
                <w:rFonts w:hint="eastAsia" w:ascii="仿宋" w:hAnsi="仿宋" w:eastAsia="仿宋" w:cs="仿宋"/>
                <w:b/>
                <w:bCs/>
                <w:color w:val="auto"/>
                <w:sz w:val="24"/>
                <w:highlight w:val="none"/>
              </w:rPr>
              <w:t>审依据：投标文件中提供</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项功能的检测报告/证书扫描件或复印件进行佐证，未提供或提供不符不得分。</w:t>
            </w:r>
          </w:p>
          <w:p w14:paraId="3BFB997C">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2、</w:t>
            </w:r>
            <w:r>
              <w:rPr>
                <w:rFonts w:hint="default" w:ascii="仿宋" w:hAnsi="仿宋" w:eastAsia="仿宋" w:cs="仿宋"/>
                <w:color w:val="auto"/>
                <w:sz w:val="24"/>
                <w:highlight w:val="none"/>
                <w:lang w:val="en-US" w:eastAsia="zh-CN" w:bidi="ar"/>
              </w:rPr>
              <w:t>化学需氧量COD传感器</w:t>
            </w:r>
            <w:r>
              <w:rPr>
                <w:rFonts w:hint="eastAsia" w:ascii="仿宋" w:hAnsi="仿宋" w:eastAsia="仿宋" w:cs="仿宋"/>
                <w:color w:val="auto"/>
                <w:sz w:val="24"/>
                <w:highlight w:val="none"/>
                <w:lang w:val="en-US" w:eastAsia="zh-CN" w:bidi="ar"/>
              </w:rPr>
              <w:t>，</w:t>
            </w:r>
            <w:r>
              <w:rPr>
                <w:rFonts w:hint="eastAsia" w:ascii="仿宋" w:hAnsi="仿宋" w:eastAsia="仿宋" w:cs="仿宋"/>
                <w:color w:val="auto"/>
                <w:sz w:val="24"/>
                <w:highlight w:val="none"/>
                <w:lang w:eastAsia="zh-CN" w:bidi="ar"/>
              </w:rPr>
              <w:t>满足任意一项得</w:t>
            </w:r>
            <w:r>
              <w:rPr>
                <w:rFonts w:hint="eastAsia" w:ascii="仿宋" w:hAnsi="仿宋" w:eastAsia="仿宋" w:cs="仿宋"/>
                <w:color w:val="auto"/>
                <w:sz w:val="24"/>
                <w:highlight w:val="none"/>
                <w:lang w:val="en-US" w:eastAsia="zh-CN" w:bidi="ar"/>
              </w:rPr>
              <w:t>0.75</w:t>
            </w:r>
            <w:r>
              <w:rPr>
                <w:rFonts w:hint="eastAsia" w:ascii="仿宋" w:hAnsi="仿宋" w:eastAsia="仿宋" w:cs="仿宋"/>
                <w:color w:val="auto"/>
                <w:sz w:val="24"/>
                <w:highlight w:val="none"/>
                <w:lang w:eastAsia="zh-CN" w:bidi="ar"/>
              </w:rPr>
              <w:t>分，满分</w:t>
            </w:r>
            <w:r>
              <w:rPr>
                <w:rFonts w:hint="eastAsia" w:ascii="仿宋" w:hAnsi="仿宋" w:eastAsia="仿宋" w:cs="仿宋"/>
                <w:color w:val="auto"/>
                <w:sz w:val="24"/>
                <w:highlight w:val="none"/>
                <w:lang w:val="en-US" w:eastAsia="zh-CN" w:bidi="ar"/>
              </w:rPr>
              <w:t>1.5分。</w:t>
            </w:r>
            <w:r>
              <w:rPr>
                <w:rFonts w:hint="default" w:ascii="仿宋" w:hAnsi="仿宋" w:eastAsia="仿宋" w:cs="仿宋"/>
                <w:color w:val="auto"/>
                <w:sz w:val="24"/>
                <w:highlight w:val="none"/>
                <w:lang w:val="en-US" w:eastAsia="zh-CN" w:bidi="ar"/>
              </w:rPr>
              <w:br w:type="textWrapping"/>
            </w:r>
            <w:r>
              <w:rPr>
                <w:rFonts w:hint="default"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val="en-US" w:eastAsia="zh-CN" w:bidi="ar"/>
              </w:rPr>
              <w:t>.1</w:t>
            </w:r>
            <w:r>
              <w:rPr>
                <w:rFonts w:hint="default" w:ascii="仿宋" w:hAnsi="仿宋" w:eastAsia="仿宋" w:cs="仿宋"/>
                <w:color w:val="auto"/>
                <w:sz w:val="24"/>
                <w:highlight w:val="none"/>
                <w:lang w:val="en-US" w:eastAsia="zh-CN" w:bidi="ar"/>
              </w:rPr>
              <w:t>防爆要求：考虑井下可能有易燃易爆气体及安全，设备满足防爆：Ex ia IIC T6 Ga(提供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p>
          <w:p w14:paraId="42656755">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2.2</w:t>
            </w:r>
            <w:r>
              <w:rPr>
                <w:rFonts w:hint="default" w:ascii="仿宋" w:hAnsi="仿宋" w:eastAsia="仿宋" w:cs="仿宋"/>
                <w:color w:val="auto"/>
                <w:sz w:val="24"/>
                <w:highlight w:val="none"/>
                <w:lang w:val="en-US" w:eastAsia="zh-CN" w:bidi="ar"/>
              </w:rPr>
              <w:t>防腐要求：考虑井下易腐蚀的环境，设备具备抗盐雾功能(提供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p>
          <w:p w14:paraId="6E5B6B72">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2.3</w:t>
            </w:r>
            <w:r>
              <w:rPr>
                <w:rFonts w:hint="default" w:ascii="仿宋" w:hAnsi="仿宋" w:eastAsia="仿宋" w:cs="仿宋"/>
                <w:color w:val="auto"/>
                <w:sz w:val="24"/>
                <w:highlight w:val="none"/>
                <w:lang w:val="en-US" w:eastAsia="zh-CN" w:bidi="ar"/>
              </w:rPr>
              <w:t>数据质量要求：24h低浓度漂移、24h高浓度漂移，均低于±5mg/L(提供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p>
          <w:p w14:paraId="1FF9D63E">
            <w:pPr>
              <w:keepNext w:val="0"/>
              <w:keepLines w:val="0"/>
              <w:pageBreakBefore w:val="0"/>
              <w:widowControl w:val="0"/>
              <w:kinsoku w:val="0"/>
              <w:wordWrap/>
              <w:overflowPunct w:val="0"/>
              <w:topLinePunct w:val="0"/>
              <w:autoSpaceDE w:val="0"/>
              <w:autoSpaceDN w:val="0"/>
              <w:bidi w:val="0"/>
              <w:snapToGrid/>
              <w:spacing w:line="360" w:lineRule="auto"/>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2.4依据GB/T 2423.22-2012 《环境试验 第 2 部分：试验方法 试验 N：温度变化》；试验箱温度：50℃线性变化至</w:t>
            </w:r>
            <w:r>
              <w:rPr>
                <w:rFonts w:hint="default" w:ascii="仿宋" w:hAnsi="仿宋" w:eastAsia="仿宋" w:cs="仿宋"/>
                <w:color w:val="auto"/>
                <w:sz w:val="24"/>
                <w:highlight w:val="none"/>
                <w:lang w:val="en-US" w:eastAsia="zh-CN" w:bidi="ar"/>
              </w:rPr>
              <w:t>0</w:t>
            </w:r>
            <w:r>
              <w:rPr>
                <w:rFonts w:hint="eastAsia" w:ascii="仿宋" w:hAnsi="仿宋" w:eastAsia="仿宋" w:cs="仿宋"/>
                <w:color w:val="auto"/>
                <w:sz w:val="24"/>
                <w:highlight w:val="none"/>
                <w:lang w:val="en-US" w:eastAsia="zh-CN" w:bidi="ar"/>
              </w:rPr>
              <w:t>℃、</w:t>
            </w:r>
            <w:r>
              <w:rPr>
                <w:rFonts w:hint="default" w:ascii="仿宋" w:hAnsi="仿宋" w:eastAsia="仿宋" w:cs="仿宋"/>
                <w:color w:val="auto"/>
                <w:sz w:val="24"/>
                <w:highlight w:val="none"/>
                <w:lang w:val="en-US" w:eastAsia="zh-CN" w:bidi="ar"/>
              </w:rPr>
              <w:t>0</w:t>
            </w:r>
            <w:r>
              <w:rPr>
                <w:rFonts w:hint="eastAsia" w:ascii="仿宋" w:hAnsi="仿宋" w:eastAsia="仿宋" w:cs="仿宋"/>
                <w:color w:val="auto"/>
                <w:sz w:val="24"/>
                <w:highlight w:val="none"/>
                <w:lang w:val="en-US" w:eastAsia="zh-CN" w:bidi="ar"/>
              </w:rPr>
              <w:t xml:space="preserve">℃线性变化至 </w:t>
            </w:r>
            <w:r>
              <w:rPr>
                <w:rFonts w:hint="default" w:ascii="仿宋" w:hAnsi="仿宋" w:eastAsia="仿宋" w:cs="仿宋"/>
                <w:color w:val="auto"/>
                <w:sz w:val="24"/>
                <w:highlight w:val="none"/>
                <w:lang w:val="en-US" w:eastAsia="zh-CN" w:bidi="ar"/>
              </w:rPr>
              <w:t>50</w:t>
            </w:r>
            <w:r>
              <w:rPr>
                <w:rFonts w:hint="eastAsia" w:ascii="仿宋" w:hAnsi="仿宋" w:eastAsia="仿宋" w:cs="仿宋"/>
                <w:color w:val="auto"/>
                <w:sz w:val="24"/>
                <w:highlight w:val="none"/>
                <w:lang w:val="en-US" w:eastAsia="zh-CN" w:bidi="ar"/>
              </w:rPr>
              <w:t>℃持续时间：</w:t>
            </w:r>
            <w:r>
              <w:rPr>
                <w:rFonts w:hint="default" w:ascii="仿宋" w:hAnsi="仿宋" w:eastAsia="仿宋" w:cs="仿宋"/>
                <w:color w:val="auto"/>
                <w:sz w:val="24"/>
                <w:highlight w:val="none"/>
                <w:lang w:val="en-US" w:eastAsia="zh-CN" w:bidi="ar"/>
              </w:rPr>
              <w:t xml:space="preserve">1h </w:t>
            </w:r>
            <w:r>
              <w:rPr>
                <w:rFonts w:hint="eastAsia" w:ascii="仿宋" w:hAnsi="仿宋" w:eastAsia="仿宋" w:cs="仿宋"/>
                <w:color w:val="auto"/>
                <w:sz w:val="24"/>
                <w:highlight w:val="none"/>
                <w:lang w:val="en-US" w:eastAsia="zh-CN" w:bidi="ar"/>
              </w:rPr>
              <w:t>，样品检测正常。</w:t>
            </w:r>
          </w:p>
          <w:p w14:paraId="1C569F6E">
            <w:pPr>
              <w:keepNext w:val="0"/>
              <w:keepLines w:val="0"/>
              <w:pageBreakBefore w:val="0"/>
              <w:widowControl w:val="0"/>
              <w:kinsoku w:val="0"/>
              <w:wordWrap/>
              <w:overflowPunct w:val="0"/>
              <w:topLinePunct w:val="0"/>
              <w:autoSpaceDE w:val="0"/>
              <w:autoSpaceDN w:val="0"/>
              <w:bidi w:val="0"/>
              <w:snapToGrid/>
              <w:spacing w:line="360" w:lineRule="auto"/>
              <w:rPr>
                <w:rFonts w:hint="default" w:ascii="仿宋" w:hAnsi="仿宋" w:eastAsia="仿宋" w:cs="仿宋"/>
                <w:color w:val="auto"/>
                <w:sz w:val="24"/>
                <w:highlight w:val="none"/>
                <w:lang w:val="en-US" w:eastAsia="zh-CN" w:bidi="ar"/>
              </w:rPr>
            </w:pPr>
            <w:r>
              <w:rPr>
                <w:rFonts w:hint="default" w:ascii="仿宋" w:hAnsi="仿宋" w:eastAsia="仿宋" w:cs="仿宋"/>
                <w:color w:val="auto"/>
                <w:sz w:val="24"/>
                <w:highlight w:val="none"/>
                <w:lang w:val="en-US" w:eastAsia="zh-CN" w:bidi="ar"/>
              </w:rPr>
              <w:t>(提供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p>
          <w:p w14:paraId="270CA764">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评</w:t>
            </w:r>
            <w:r>
              <w:rPr>
                <w:rFonts w:hint="eastAsia" w:ascii="仿宋" w:hAnsi="仿宋" w:eastAsia="仿宋" w:cs="仿宋"/>
                <w:b/>
                <w:bCs/>
                <w:color w:val="auto"/>
                <w:sz w:val="24"/>
                <w:highlight w:val="none"/>
              </w:rPr>
              <w:t>审依据：投标文件中提供</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项功能的检测报告/证书扫描件或复印件进行佐证，未提供或提供不符不得分。</w:t>
            </w:r>
          </w:p>
          <w:p w14:paraId="3B464071">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bookmarkStart w:id="0" w:name="OLE_LINK15"/>
            <w:r>
              <w:rPr>
                <w:rFonts w:hint="eastAsia" w:ascii="仿宋" w:hAnsi="仿宋" w:eastAsia="仿宋" w:cs="仿宋"/>
                <w:color w:val="auto"/>
                <w:sz w:val="24"/>
                <w:highlight w:val="none"/>
                <w:lang w:val="en-US" w:eastAsia="zh-CN" w:bidi="ar"/>
              </w:rPr>
              <w:t>3、遥测终端机</w:t>
            </w:r>
            <w:bookmarkEnd w:id="0"/>
            <w:r>
              <w:rPr>
                <w:rFonts w:hint="eastAsia" w:ascii="仿宋" w:hAnsi="仿宋" w:eastAsia="仿宋" w:cs="仿宋"/>
                <w:color w:val="auto"/>
                <w:sz w:val="24"/>
                <w:highlight w:val="none"/>
                <w:lang w:val="en-US" w:eastAsia="zh-CN" w:bidi="ar"/>
              </w:rPr>
              <w:t>，</w:t>
            </w:r>
            <w:r>
              <w:rPr>
                <w:rFonts w:hint="eastAsia" w:ascii="仿宋" w:hAnsi="仿宋" w:eastAsia="仿宋" w:cs="仿宋"/>
                <w:color w:val="auto"/>
                <w:sz w:val="24"/>
                <w:highlight w:val="none"/>
                <w:lang w:eastAsia="zh-CN" w:bidi="ar"/>
              </w:rPr>
              <w:t>满足任意一项得</w:t>
            </w:r>
            <w:r>
              <w:rPr>
                <w:rFonts w:hint="eastAsia" w:ascii="仿宋" w:hAnsi="仿宋" w:eastAsia="仿宋" w:cs="仿宋"/>
                <w:color w:val="auto"/>
                <w:sz w:val="24"/>
                <w:highlight w:val="none"/>
                <w:lang w:val="en-US" w:eastAsia="zh-CN" w:bidi="ar"/>
              </w:rPr>
              <w:t>0.75</w:t>
            </w:r>
            <w:r>
              <w:rPr>
                <w:rFonts w:hint="eastAsia" w:ascii="仿宋" w:hAnsi="仿宋" w:eastAsia="仿宋" w:cs="仿宋"/>
                <w:color w:val="auto"/>
                <w:sz w:val="24"/>
                <w:highlight w:val="none"/>
                <w:lang w:eastAsia="zh-CN" w:bidi="ar"/>
              </w:rPr>
              <w:t>分，满分</w:t>
            </w:r>
            <w:r>
              <w:rPr>
                <w:rFonts w:hint="eastAsia" w:ascii="仿宋" w:hAnsi="仿宋" w:eastAsia="仿宋" w:cs="仿宋"/>
                <w:color w:val="auto"/>
                <w:sz w:val="24"/>
                <w:highlight w:val="none"/>
                <w:lang w:val="en-US" w:eastAsia="zh-CN" w:bidi="ar"/>
              </w:rPr>
              <w:t>1.5分。</w:t>
            </w:r>
          </w:p>
          <w:p w14:paraId="4B978100">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3.1 工作温度：≥-40℃~70℃；</w:t>
            </w:r>
            <w:r>
              <w:rPr>
                <w:rFonts w:hint="default" w:ascii="仿宋" w:hAnsi="仿宋" w:eastAsia="仿宋" w:cs="仿宋"/>
                <w:color w:val="auto"/>
                <w:sz w:val="24"/>
                <w:highlight w:val="none"/>
                <w:lang w:val="en-US" w:eastAsia="zh-CN" w:bidi="ar"/>
              </w:rPr>
              <w:t>(提供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p>
          <w:p w14:paraId="5ED0DA8E">
            <w:pPr>
              <w:keepNext w:val="0"/>
              <w:keepLines w:val="0"/>
              <w:pageBreakBefore w:val="0"/>
              <w:widowControl w:val="0"/>
              <w:kinsoku w:val="0"/>
              <w:wordWrap/>
              <w:overflowPunct w:val="0"/>
              <w:topLinePunct w:val="0"/>
              <w:autoSpaceDE w:val="0"/>
              <w:autoSpaceDN w:val="0"/>
              <w:bidi w:val="0"/>
              <w:snapToGrid/>
              <w:spacing w:line="360" w:lineRule="auto"/>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3.2 IP68级别防水</w:t>
            </w:r>
            <w:r>
              <w:rPr>
                <w:rFonts w:hint="default" w:ascii="仿宋" w:hAnsi="仿宋" w:eastAsia="仿宋" w:cs="仿宋"/>
                <w:color w:val="auto"/>
                <w:sz w:val="24"/>
                <w:highlight w:val="none"/>
                <w:lang w:val="en-US" w:eastAsia="zh-CN" w:bidi="ar"/>
              </w:rPr>
              <w:t>(提供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p>
          <w:p w14:paraId="59415F5B">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US" w:eastAsia="zh-CN" w:bidi="ar"/>
              </w:rPr>
              <w:t>3.3</w:t>
            </w:r>
            <w:r>
              <w:rPr>
                <w:rFonts w:hint="default" w:ascii="仿宋" w:hAnsi="仿宋" w:eastAsia="仿宋" w:cs="仿宋"/>
                <w:color w:val="auto"/>
                <w:sz w:val="24"/>
                <w:highlight w:val="none"/>
                <w:lang w:val="en-US" w:eastAsia="zh-CN" w:bidi="ar"/>
              </w:rPr>
              <w:t>防雷要求：考虑雷雨天气情况，具备抗雷击浪涌功能(提供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r>
              <w:rPr>
                <w:rFonts w:hint="default" w:ascii="仿宋" w:hAnsi="仿宋" w:eastAsia="仿宋" w:cs="仿宋"/>
                <w:color w:val="auto"/>
                <w:sz w:val="24"/>
                <w:highlight w:val="none"/>
                <w:lang w:val="en-US" w:eastAsia="zh-CN" w:bidi="ar"/>
              </w:rPr>
              <w:br w:type="textWrapping"/>
            </w:r>
            <w:r>
              <w:rPr>
                <w:rFonts w:hint="eastAsia" w:ascii="仿宋" w:hAnsi="仿宋" w:eastAsia="仿宋" w:cs="仿宋"/>
                <w:color w:val="auto"/>
                <w:sz w:val="24"/>
                <w:highlight w:val="none"/>
                <w:lang w:val="en-US" w:eastAsia="zh-CN" w:bidi="ar"/>
              </w:rPr>
              <w:t>3.4</w:t>
            </w:r>
            <w:r>
              <w:rPr>
                <w:rFonts w:hint="default" w:ascii="仿宋" w:hAnsi="仿宋" w:eastAsia="仿宋" w:cs="仿宋"/>
                <w:color w:val="auto"/>
                <w:sz w:val="24"/>
                <w:highlight w:val="none"/>
                <w:lang w:val="en-US" w:eastAsia="zh-CN" w:bidi="ar"/>
              </w:rPr>
              <w:t>产品符合SL180-2015《水文自动测报系统设备遥测终端机》标准(提供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r>
              <w:rPr>
                <w:rFonts w:hint="default" w:ascii="仿宋" w:hAnsi="仿宋" w:eastAsia="仿宋" w:cs="仿宋"/>
                <w:color w:val="auto"/>
                <w:sz w:val="24"/>
                <w:highlight w:val="none"/>
                <w:lang w:val="en-US" w:eastAsia="zh-CN" w:bidi="ar"/>
              </w:rPr>
              <w:br w:type="textWrapping"/>
            </w:r>
            <w:r>
              <w:rPr>
                <w:rFonts w:hint="eastAsia" w:ascii="仿宋" w:hAnsi="仿宋" w:eastAsia="仿宋" w:cs="仿宋"/>
                <w:b/>
                <w:bCs/>
                <w:color w:val="auto"/>
                <w:sz w:val="24"/>
                <w:highlight w:val="none"/>
                <w:lang w:val="en-US" w:eastAsia="zh-CN"/>
              </w:rPr>
              <w:t>评</w:t>
            </w:r>
            <w:r>
              <w:rPr>
                <w:rFonts w:hint="eastAsia" w:ascii="仿宋" w:hAnsi="仿宋" w:eastAsia="仿宋" w:cs="仿宋"/>
                <w:b/>
                <w:bCs/>
                <w:color w:val="auto"/>
                <w:sz w:val="24"/>
                <w:highlight w:val="none"/>
              </w:rPr>
              <w:t>审依据：投标文件中提供</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项功能的检测报告/证书扫描件或复印件进行佐证，未提供或提供不符不得分。</w:t>
            </w:r>
          </w:p>
          <w:p w14:paraId="3720BB4A">
            <w:pPr>
              <w:keepNext w:val="0"/>
              <w:keepLines w:val="0"/>
              <w:pageBreakBefore w:val="0"/>
              <w:widowControl w:val="0"/>
              <w:numPr>
                <w:ilvl w:val="0"/>
                <w:numId w:val="2"/>
              </w:numPr>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全彩色</w:t>
            </w:r>
            <w:r>
              <w:rPr>
                <w:rFonts w:hint="default" w:ascii="仿宋" w:hAnsi="仿宋" w:eastAsia="仿宋" w:cs="仿宋"/>
                <w:color w:val="auto"/>
                <w:sz w:val="24"/>
                <w:highlight w:val="none"/>
                <w:lang w:val="en-US" w:eastAsia="zh-CN" w:bidi="ar"/>
              </w:rPr>
              <w:t>LED屏</w:t>
            </w:r>
            <w:r>
              <w:rPr>
                <w:rFonts w:hint="eastAsia" w:ascii="仿宋" w:hAnsi="仿宋" w:eastAsia="仿宋" w:cs="仿宋"/>
                <w:color w:val="auto"/>
                <w:sz w:val="24"/>
                <w:highlight w:val="none"/>
                <w:lang w:eastAsia="zh-CN" w:bidi="ar"/>
              </w:rPr>
              <w:t>满足任意一项得</w:t>
            </w:r>
            <w:r>
              <w:rPr>
                <w:rFonts w:hint="eastAsia" w:ascii="仿宋" w:hAnsi="仿宋" w:eastAsia="仿宋" w:cs="仿宋"/>
                <w:color w:val="auto"/>
                <w:sz w:val="24"/>
                <w:highlight w:val="none"/>
                <w:lang w:val="en-US" w:eastAsia="zh-CN" w:bidi="ar"/>
              </w:rPr>
              <w:t>0.75</w:t>
            </w:r>
            <w:r>
              <w:rPr>
                <w:rFonts w:hint="eastAsia" w:ascii="仿宋" w:hAnsi="仿宋" w:eastAsia="仿宋" w:cs="仿宋"/>
                <w:color w:val="auto"/>
                <w:sz w:val="24"/>
                <w:highlight w:val="none"/>
                <w:lang w:eastAsia="zh-CN" w:bidi="ar"/>
              </w:rPr>
              <w:t>分，满分</w:t>
            </w:r>
            <w:r>
              <w:rPr>
                <w:rFonts w:hint="eastAsia" w:ascii="仿宋" w:hAnsi="仿宋" w:eastAsia="仿宋" w:cs="仿宋"/>
                <w:color w:val="auto"/>
                <w:sz w:val="24"/>
                <w:highlight w:val="none"/>
                <w:lang w:val="en-US" w:eastAsia="zh-CN" w:bidi="ar"/>
              </w:rPr>
              <w:t>1.5分。</w:t>
            </w:r>
          </w:p>
          <w:p w14:paraId="78C41E60">
            <w:pPr>
              <w:keepNext w:val="0"/>
              <w:keepLines w:val="0"/>
              <w:pageBreakBefore w:val="0"/>
              <w:widowControl w:val="0"/>
              <w:numPr>
                <w:ilvl w:val="0"/>
                <w:numId w:val="0"/>
              </w:numPr>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4.1、LED显示屏和拼接处理器（服务器）为同一品牌。</w:t>
            </w:r>
          </w:p>
          <w:p w14:paraId="70C3E544">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4.2、最大对比度：≥16000：1；</w:t>
            </w:r>
            <w:r>
              <w:rPr>
                <w:rFonts w:hint="default" w:ascii="仿宋" w:hAnsi="仿宋" w:eastAsia="仿宋" w:cs="仿宋"/>
                <w:color w:val="auto"/>
                <w:sz w:val="24"/>
                <w:highlight w:val="none"/>
                <w:lang w:val="en-US" w:eastAsia="zh-CN" w:bidi="ar"/>
              </w:rPr>
              <w:t>(提供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r>
              <w:rPr>
                <w:rFonts w:hint="default" w:ascii="仿宋" w:hAnsi="仿宋" w:eastAsia="仿宋" w:cs="仿宋"/>
                <w:color w:val="auto"/>
                <w:sz w:val="24"/>
                <w:highlight w:val="none"/>
                <w:lang w:val="en-US" w:eastAsia="zh-CN" w:bidi="ar"/>
              </w:rPr>
              <w:br w:type="textWrapping"/>
            </w:r>
            <w:r>
              <w:rPr>
                <w:rFonts w:hint="eastAsia" w:ascii="仿宋" w:hAnsi="仿宋" w:eastAsia="仿宋" w:cs="仿宋"/>
                <w:color w:val="auto"/>
                <w:sz w:val="24"/>
                <w:highlight w:val="none"/>
                <w:lang w:val="en-US" w:eastAsia="zh-CN" w:bidi="ar"/>
              </w:rPr>
              <w:t>4.3、整机箱体精密压铸铝一体化加工而成，精度高，屏体拼接平整度好，箱体平整度≤0.05mm；</w:t>
            </w:r>
            <w:r>
              <w:rPr>
                <w:rFonts w:hint="default" w:ascii="仿宋" w:hAnsi="仿宋" w:eastAsia="仿宋" w:cs="仿宋"/>
                <w:color w:val="auto"/>
                <w:sz w:val="24"/>
                <w:highlight w:val="none"/>
                <w:lang w:val="en-US" w:eastAsia="zh-CN" w:bidi="ar"/>
              </w:rPr>
              <w:t>(提供</w:t>
            </w:r>
            <w:r>
              <w:rPr>
                <w:rFonts w:hint="eastAsia" w:ascii="仿宋" w:hAnsi="仿宋" w:eastAsia="仿宋" w:cs="仿宋"/>
                <w:color w:val="auto"/>
                <w:sz w:val="24"/>
                <w:highlight w:val="none"/>
                <w:lang w:val="en-US" w:eastAsia="zh-CN" w:bidi="ar"/>
              </w:rPr>
              <w:t>国家认可</w:t>
            </w:r>
            <w:r>
              <w:rPr>
                <w:rFonts w:hint="default" w:ascii="仿宋" w:hAnsi="仿宋" w:eastAsia="仿宋" w:cs="仿宋"/>
                <w:color w:val="auto"/>
                <w:sz w:val="24"/>
                <w:highlight w:val="none"/>
                <w:lang w:val="en-US" w:eastAsia="zh-CN" w:bidi="ar"/>
              </w:rPr>
              <w:t>机构</w:t>
            </w:r>
            <w:r>
              <w:rPr>
                <w:rFonts w:hint="eastAsia" w:ascii="仿宋" w:hAnsi="仿宋" w:eastAsia="仿宋" w:cs="仿宋"/>
                <w:color w:val="auto"/>
                <w:sz w:val="24"/>
                <w:highlight w:val="none"/>
                <w:lang w:val="en-US" w:eastAsia="zh-CN" w:bidi="ar"/>
              </w:rPr>
              <w:t>出具</w:t>
            </w:r>
            <w:r>
              <w:rPr>
                <w:rFonts w:hint="default" w:ascii="仿宋" w:hAnsi="仿宋" w:eastAsia="仿宋" w:cs="仿宋"/>
                <w:color w:val="auto"/>
                <w:sz w:val="24"/>
                <w:highlight w:val="none"/>
                <w:lang w:val="en-US" w:eastAsia="zh-CN" w:bidi="ar"/>
              </w:rPr>
              <w:t>“CMA”标识的检测报告/证书扫描件)</w:t>
            </w:r>
            <w:r>
              <w:rPr>
                <w:rFonts w:hint="eastAsia" w:ascii="仿宋" w:hAnsi="仿宋" w:eastAsia="仿宋" w:cs="仿宋"/>
                <w:color w:val="auto"/>
                <w:sz w:val="24"/>
                <w:highlight w:val="none"/>
                <w:lang w:val="en-US" w:eastAsia="zh-CN" w:bidi="ar"/>
              </w:rPr>
              <w:t>。</w:t>
            </w:r>
          </w:p>
          <w:p w14:paraId="1DAB2D94">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评</w:t>
            </w:r>
            <w:r>
              <w:rPr>
                <w:rFonts w:hint="eastAsia" w:ascii="仿宋" w:hAnsi="仿宋" w:eastAsia="仿宋" w:cs="仿宋"/>
                <w:b/>
                <w:bCs/>
                <w:color w:val="auto"/>
                <w:sz w:val="24"/>
                <w:highlight w:val="none"/>
              </w:rPr>
              <w:t>审依据：投标文件中提供</w:t>
            </w: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项功能的检测报告/证书扫描件或复印件进行佐证，未提供或提供不符不得分。</w:t>
            </w:r>
          </w:p>
          <w:p w14:paraId="4692B5E8">
            <w:pPr>
              <w:pStyle w:val="5"/>
              <w:keepNext w:val="0"/>
              <w:keepLines w:val="0"/>
              <w:pageBreakBefore w:val="0"/>
              <w:widowControl w:val="0"/>
              <w:kinsoku w:val="0"/>
              <w:wordWrap/>
              <w:overflowPunct w:val="0"/>
              <w:topLinePunct w:val="0"/>
              <w:autoSpaceDE w:val="0"/>
              <w:autoSpaceDN w:val="0"/>
              <w:bidi w:val="0"/>
              <w:snapToGrid/>
              <w:ind w:left="0" w:leftChars="0" w:firstLine="0" w:firstLineChars="0"/>
              <w:rPr>
                <w:rFonts w:hint="eastAsia"/>
                <w:b/>
                <w:bCs/>
                <w:color w:val="auto"/>
                <w:highlight w:val="none"/>
              </w:rPr>
            </w:pPr>
            <w:r>
              <w:rPr>
                <w:rFonts w:hint="eastAsia" w:ascii="仿宋" w:hAnsi="仿宋" w:eastAsia="仿宋" w:cs="仿宋"/>
                <w:b/>
                <w:bCs/>
                <w:color w:val="auto"/>
                <w:sz w:val="24"/>
                <w:highlight w:val="none"/>
                <w:lang w:val="en-US" w:eastAsia="zh-CN" w:bidi="ar"/>
              </w:rPr>
              <w:t>5、</w:t>
            </w:r>
            <w:r>
              <w:rPr>
                <w:rFonts w:hint="default" w:ascii="仿宋" w:hAnsi="仿宋" w:eastAsia="仿宋" w:cs="仿宋"/>
                <w:b/>
                <w:bCs/>
                <w:color w:val="auto"/>
                <w:sz w:val="24"/>
                <w:highlight w:val="none"/>
                <w:lang w:val="en-US" w:eastAsia="zh-CN" w:bidi="ar"/>
              </w:rPr>
              <w:t>LED拼接处理器</w:t>
            </w:r>
            <w:r>
              <w:rPr>
                <w:rFonts w:hint="eastAsia" w:ascii="仿宋" w:hAnsi="仿宋" w:eastAsia="仿宋" w:cs="仿宋"/>
                <w:color w:val="auto"/>
                <w:sz w:val="24"/>
                <w:highlight w:val="none"/>
                <w:lang w:eastAsia="zh-CN" w:bidi="ar"/>
              </w:rPr>
              <w:t>满足任意一项得</w:t>
            </w:r>
            <w:r>
              <w:rPr>
                <w:rFonts w:hint="eastAsia" w:ascii="仿宋" w:hAnsi="仿宋" w:eastAsia="仿宋" w:cs="仿宋"/>
                <w:color w:val="auto"/>
                <w:sz w:val="24"/>
                <w:highlight w:val="none"/>
                <w:lang w:val="en-US" w:eastAsia="zh-CN" w:bidi="ar"/>
              </w:rPr>
              <w:t>1</w:t>
            </w:r>
            <w:r>
              <w:rPr>
                <w:rFonts w:hint="eastAsia" w:ascii="仿宋" w:hAnsi="仿宋" w:eastAsia="仿宋" w:cs="仿宋"/>
                <w:color w:val="auto"/>
                <w:sz w:val="24"/>
                <w:highlight w:val="none"/>
                <w:lang w:eastAsia="zh-CN" w:bidi="ar"/>
              </w:rPr>
              <w:t>分，满分</w:t>
            </w:r>
            <w:r>
              <w:rPr>
                <w:rFonts w:hint="eastAsia" w:ascii="仿宋" w:hAnsi="仿宋" w:eastAsia="仿宋" w:cs="仿宋"/>
                <w:color w:val="auto"/>
                <w:sz w:val="24"/>
                <w:highlight w:val="none"/>
                <w:lang w:val="en-US" w:eastAsia="zh-CN" w:bidi="ar"/>
              </w:rPr>
              <w:t>1分。</w:t>
            </w:r>
          </w:p>
          <w:p w14:paraId="4A5FAE6F">
            <w:pPr>
              <w:keepNext w:val="0"/>
              <w:keepLines w:val="0"/>
              <w:pageBreakBefore w:val="0"/>
              <w:widowControl w:val="0"/>
              <w:kinsoku w:val="0"/>
              <w:wordWrap/>
              <w:overflowPunct w:val="0"/>
              <w:topLinePunct w:val="0"/>
              <w:autoSpaceDE w:val="0"/>
              <w:autoSpaceDN w:val="0"/>
              <w:bidi w:val="0"/>
              <w:snapToGrid/>
              <w:spacing w:line="360" w:lineRule="auto"/>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5.1、支持通过上位机软件实现对显示屏的连接，控制，包括：输入源切换，窗口位置及大小调节，分辨率自定义等；软件端支持可视化呈现设备各接口实时状态，包括视频输入状态及分辨率、网口带载利用率、接屏体温度、电压、误码率、通讯状态等的检测</w:t>
            </w:r>
            <w:r>
              <w:rPr>
                <w:rFonts w:hint="default" w:ascii="仿宋" w:hAnsi="仿宋" w:eastAsia="仿宋" w:cs="仿宋"/>
                <w:color w:val="auto"/>
                <w:sz w:val="24"/>
                <w:highlight w:val="none"/>
                <w:lang w:val="en-US" w:eastAsia="zh-CN" w:bidi="ar"/>
              </w:rPr>
              <w:t>。</w:t>
            </w:r>
          </w:p>
          <w:p w14:paraId="539F1F30">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b/>
                <w:bCs/>
                <w:color w:val="auto"/>
                <w:sz w:val="24"/>
                <w:highlight w:val="none"/>
                <w:lang w:val="en-US" w:eastAsia="zh-CN"/>
              </w:rPr>
              <w:t>评</w:t>
            </w:r>
            <w:r>
              <w:rPr>
                <w:rFonts w:hint="eastAsia" w:ascii="仿宋" w:hAnsi="仿宋" w:eastAsia="仿宋" w:cs="仿宋"/>
                <w:b/>
                <w:bCs/>
                <w:color w:val="auto"/>
                <w:sz w:val="24"/>
                <w:highlight w:val="none"/>
              </w:rPr>
              <w:t>审依据：投标</w:t>
            </w:r>
            <w:r>
              <w:rPr>
                <w:rFonts w:hint="eastAsia" w:ascii="仿宋" w:hAnsi="仿宋" w:eastAsia="仿宋" w:cs="仿宋"/>
                <w:b/>
                <w:bCs/>
                <w:color w:val="auto"/>
                <w:sz w:val="24"/>
                <w:highlight w:val="none"/>
                <w:lang w:val="en-US" w:eastAsia="zh-CN"/>
              </w:rPr>
              <w:t>响应文件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不</w:t>
            </w:r>
            <w:r>
              <w:rPr>
                <w:rFonts w:hint="eastAsia" w:ascii="仿宋" w:hAnsi="仿宋" w:eastAsia="仿宋" w:cs="仿宋"/>
                <w:b/>
                <w:bCs/>
                <w:color w:val="auto"/>
                <w:sz w:val="24"/>
                <w:highlight w:val="none"/>
                <w:lang w:val="en-US" w:eastAsia="zh-CN"/>
              </w:rPr>
              <w:t>符合</w:t>
            </w:r>
            <w:r>
              <w:rPr>
                <w:rFonts w:hint="eastAsia" w:ascii="仿宋" w:hAnsi="仿宋" w:eastAsia="仿宋" w:cs="仿宋"/>
                <w:b/>
                <w:bCs/>
                <w:color w:val="auto"/>
                <w:sz w:val="24"/>
                <w:highlight w:val="none"/>
              </w:rPr>
              <w:t>不得分。</w:t>
            </w:r>
            <w:r>
              <w:rPr>
                <w:rFonts w:hint="default" w:ascii="仿宋" w:hAnsi="仿宋" w:eastAsia="仿宋" w:cs="仿宋"/>
                <w:color w:val="auto"/>
                <w:sz w:val="24"/>
                <w:highlight w:val="none"/>
                <w:lang w:val="en-US" w:eastAsia="zh-CN" w:bidi="ar"/>
              </w:rPr>
              <w:br w:type="textWrapping"/>
            </w:r>
            <w:r>
              <w:rPr>
                <w:rFonts w:hint="eastAsia" w:ascii="仿宋" w:hAnsi="仿宋" w:eastAsia="仿宋" w:cs="仿宋"/>
                <w:color w:val="auto"/>
                <w:sz w:val="24"/>
                <w:highlight w:val="none"/>
                <w:lang w:val="en-US" w:eastAsia="zh-CN" w:bidi="ar"/>
              </w:rPr>
              <w:t>6、GIS地理信息系统, 满足任意一项得1分，满分3分。</w:t>
            </w:r>
          </w:p>
          <w:p w14:paraId="368EFC3E">
            <w:pPr>
              <w:keepNext w:val="0"/>
              <w:keepLines w:val="0"/>
              <w:pageBreakBefore w:val="0"/>
              <w:widowControl w:val="0"/>
              <w:kinsoku w:val="0"/>
              <w:wordWrap/>
              <w:overflowPunct w:val="0"/>
              <w:topLinePunct w:val="0"/>
              <w:autoSpaceDE w:val="0"/>
              <w:autoSpaceDN w:val="0"/>
              <w:bidi w:val="0"/>
              <w:snapToGrid/>
              <w:spacing w:line="360" w:lineRule="auto"/>
              <w:ind w:firstLine="240" w:firstLineChars="100"/>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6.1选用的地理信息系统需要为国产地理信息系统，提供著作权证明；</w:t>
            </w:r>
          </w:p>
          <w:p w14:paraId="266FA99F">
            <w:pPr>
              <w:keepNext w:val="0"/>
              <w:keepLines w:val="0"/>
              <w:pageBreakBefore w:val="0"/>
              <w:widowControl w:val="0"/>
              <w:kinsoku w:val="0"/>
              <w:wordWrap/>
              <w:overflowPunct w:val="0"/>
              <w:topLinePunct w:val="0"/>
              <w:autoSpaceDE w:val="0"/>
              <w:autoSpaceDN w:val="0"/>
              <w:bidi w:val="0"/>
              <w:snapToGrid/>
              <w:spacing w:line="360" w:lineRule="auto"/>
              <w:ind w:firstLine="240" w:firstLineChars="100"/>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6.2 选用的地理信息系统需要提供包括国产处理器、操作系统、数据库在内的国产适配兼容认证3项；</w:t>
            </w:r>
          </w:p>
          <w:p w14:paraId="3A9B8CEC">
            <w:pPr>
              <w:keepNext w:val="0"/>
              <w:keepLines w:val="0"/>
              <w:pageBreakBefore w:val="0"/>
              <w:widowControl w:val="0"/>
              <w:kinsoku w:val="0"/>
              <w:wordWrap/>
              <w:overflowPunct w:val="0"/>
              <w:topLinePunct w:val="0"/>
              <w:autoSpaceDE w:val="0"/>
              <w:autoSpaceDN w:val="0"/>
              <w:bidi w:val="0"/>
              <w:snapToGrid/>
              <w:spacing w:line="360" w:lineRule="auto"/>
              <w:ind w:firstLine="240" w:firstLineChars="100"/>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6.3基于国产地理信息系统开发的管线二三维一体化信息管理系统或管线GIS系统或三维管线信息系统并完成了国产技术认证，提供认证证书1项。</w:t>
            </w:r>
          </w:p>
          <w:p w14:paraId="3EF79B5F">
            <w:pPr>
              <w:keepNext w:val="0"/>
              <w:keepLines w:val="0"/>
              <w:pageBreakBefore w:val="0"/>
              <w:widowControl w:val="0"/>
              <w:kinsoku w:val="0"/>
              <w:wordWrap/>
              <w:overflowPunct w:val="0"/>
              <w:topLinePunct w:val="0"/>
              <w:autoSpaceDE w:val="0"/>
              <w:autoSpaceDN w:val="0"/>
              <w:bidi w:val="0"/>
              <w:snapToGrid/>
              <w:spacing w:line="360" w:lineRule="auto"/>
              <w:ind w:firstLine="241" w:firstLineChars="1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val="en-US" w:eastAsia="zh-CN"/>
              </w:rPr>
              <w:t>评</w:t>
            </w:r>
            <w:r>
              <w:rPr>
                <w:rFonts w:hint="eastAsia" w:ascii="仿宋" w:hAnsi="仿宋" w:eastAsia="仿宋" w:cs="仿宋"/>
                <w:b/>
                <w:bCs/>
                <w:color w:val="auto"/>
                <w:sz w:val="24"/>
                <w:highlight w:val="none"/>
              </w:rPr>
              <w:t>审依据：投标</w:t>
            </w:r>
            <w:r>
              <w:rPr>
                <w:rFonts w:hint="eastAsia" w:ascii="仿宋" w:hAnsi="仿宋" w:eastAsia="仿宋" w:cs="仿宋"/>
                <w:b/>
                <w:bCs/>
                <w:color w:val="auto"/>
                <w:sz w:val="24"/>
                <w:highlight w:val="none"/>
                <w:lang w:val="en-US" w:eastAsia="zh-CN"/>
              </w:rPr>
              <w:t>响应文件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不</w:t>
            </w:r>
            <w:r>
              <w:rPr>
                <w:rFonts w:hint="eastAsia" w:ascii="仿宋" w:hAnsi="仿宋" w:eastAsia="仿宋" w:cs="仿宋"/>
                <w:b/>
                <w:bCs/>
                <w:color w:val="auto"/>
                <w:sz w:val="24"/>
                <w:highlight w:val="none"/>
                <w:lang w:val="en-US" w:eastAsia="zh-CN"/>
              </w:rPr>
              <w:t>符合</w:t>
            </w:r>
            <w:r>
              <w:rPr>
                <w:rFonts w:hint="eastAsia" w:ascii="仿宋" w:hAnsi="仿宋" w:eastAsia="仿宋" w:cs="仿宋"/>
                <w:b/>
                <w:bCs/>
                <w:color w:val="auto"/>
                <w:sz w:val="24"/>
                <w:highlight w:val="none"/>
              </w:rPr>
              <w:t>不得分。</w:t>
            </w:r>
            <w:r>
              <w:rPr>
                <w:rFonts w:hint="eastAsia" w:ascii="仿宋" w:hAnsi="仿宋" w:eastAsia="仿宋" w:cs="仿宋"/>
                <w:b/>
                <w:bCs/>
                <w:color w:val="auto"/>
                <w:sz w:val="24"/>
                <w:szCs w:val="24"/>
                <w:highlight w:val="none"/>
                <w:lang w:val="en-US" w:eastAsia="zh-CN"/>
              </w:rPr>
              <w:t xml:space="preserve"> </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06FD6A4E">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textAlignment w:val="center"/>
              <w:rPr>
                <w:rFonts w:hint="default" w:ascii="仿宋" w:hAnsi="仿宋" w:eastAsia="仿宋" w:cs="仿宋"/>
                <w:color w:val="auto"/>
                <w:sz w:val="24"/>
                <w:szCs w:val="24"/>
                <w:highlight w:val="none"/>
                <w:lang w:val="en-US" w:eastAsia="zh-CN"/>
              </w:rPr>
            </w:pPr>
            <w:r>
              <w:rPr>
                <w:rStyle w:val="11"/>
                <w:rFonts w:hint="eastAsia" w:ascii="仿宋" w:hAnsi="仿宋" w:eastAsia="仿宋" w:cs="仿宋"/>
                <w:b/>
                <w:bCs/>
                <w:color w:val="auto"/>
                <w:sz w:val="24"/>
                <w:szCs w:val="24"/>
                <w:highlight w:val="none"/>
                <w:lang w:val="en-US" w:eastAsia="zh-CN"/>
              </w:rPr>
              <w:t>10分</w:t>
            </w:r>
          </w:p>
        </w:tc>
      </w:tr>
      <w:tr w14:paraId="032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4B36B7B3">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lang w:bidi="ar"/>
              </w:rPr>
              <w:t>项目实施方案</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0F11820">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bidi="ar"/>
              </w:rPr>
            </w:pPr>
            <w:r>
              <w:rPr>
                <w:rFonts w:hint="eastAsia" w:ascii="仿宋" w:hAnsi="仿宋" w:eastAsia="仿宋" w:cs="仿宋"/>
                <w:b/>
                <w:bCs/>
                <w:color w:val="auto"/>
                <w:sz w:val="24"/>
                <w:highlight w:val="none"/>
                <w:lang w:bidi="ar"/>
              </w:rPr>
              <w:t>实施方案</w:t>
            </w:r>
            <w:r>
              <w:rPr>
                <w:rFonts w:hint="eastAsia" w:ascii="仿宋" w:hAnsi="仿宋" w:eastAsia="仿宋" w:cs="仿宋"/>
                <w:b/>
                <w:bCs/>
                <w:color w:val="auto"/>
                <w:sz w:val="24"/>
                <w:highlight w:val="none"/>
                <w:lang w:eastAsia="zh-CN" w:bidi="ar"/>
              </w:rPr>
              <w:t>：</w:t>
            </w:r>
            <w:r>
              <w:rPr>
                <w:rFonts w:hint="eastAsia" w:ascii="仿宋" w:hAnsi="仿宋" w:eastAsia="仿宋" w:cs="仿宋"/>
                <w:color w:val="auto"/>
                <w:sz w:val="24"/>
                <w:highlight w:val="none"/>
                <w:lang w:val="en-US" w:eastAsia="zh-CN" w:bidi="ar"/>
              </w:rPr>
              <w:t>①项目的理解②进度计划③质量保障措施④重点和难点的分析情况⑤故障处理的应急预案，并具有相应的解决措施⑥提供培训方案。投标供应商项目实施方案中</w:t>
            </w:r>
            <w:r>
              <w:rPr>
                <w:rFonts w:hint="eastAsia" w:ascii="仿宋" w:hAnsi="仿宋" w:eastAsia="仿宋" w:cs="仿宋"/>
                <w:color w:val="auto"/>
                <w:sz w:val="24"/>
                <w:highlight w:val="none"/>
                <w:lang w:bidi="ar"/>
              </w:rPr>
              <w:t>每</w:t>
            </w:r>
            <w:r>
              <w:rPr>
                <w:rFonts w:hint="eastAsia" w:ascii="仿宋" w:hAnsi="仿宋" w:eastAsia="仿宋" w:cs="仿宋"/>
                <w:color w:val="auto"/>
                <w:sz w:val="24"/>
                <w:highlight w:val="none"/>
                <w:lang w:val="en-US" w:eastAsia="zh-CN" w:bidi="ar"/>
              </w:rPr>
              <w:t>包含上述</w:t>
            </w:r>
            <w:r>
              <w:rPr>
                <w:rFonts w:hint="eastAsia" w:ascii="仿宋" w:hAnsi="仿宋" w:eastAsia="仿宋" w:cs="仿宋"/>
                <w:color w:val="auto"/>
                <w:sz w:val="24"/>
                <w:highlight w:val="none"/>
                <w:lang w:bidi="ar"/>
              </w:rPr>
              <w:t>小项得</w:t>
            </w:r>
            <w:r>
              <w:rPr>
                <w:rFonts w:hint="eastAsia" w:ascii="仿宋" w:hAnsi="仿宋" w:eastAsia="仿宋" w:cs="仿宋"/>
                <w:color w:val="auto"/>
                <w:sz w:val="24"/>
                <w:highlight w:val="none"/>
                <w:lang w:val="en-US" w:eastAsia="zh-CN" w:bidi="ar"/>
              </w:rPr>
              <w:t>0.5</w:t>
            </w:r>
            <w:r>
              <w:rPr>
                <w:rFonts w:hint="eastAsia" w:ascii="仿宋" w:hAnsi="仿宋" w:eastAsia="仿宋" w:cs="仿宋"/>
                <w:color w:val="auto"/>
                <w:sz w:val="24"/>
                <w:highlight w:val="none"/>
                <w:lang w:bidi="ar"/>
              </w:rPr>
              <w:t>分；</w:t>
            </w:r>
            <w:r>
              <w:rPr>
                <w:rFonts w:hint="eastAsia" w:ascii="仿宋" w:hAnsi="仿宋" w:eastAsia="仿宋" w:cs="仿宋"/>
                <w:color w:val="auto"/>
                <w:sz w:val="24"/>
                <w:highlight w:val="none"/>
                <w:lang w:val="en-US" w:eastAsia="zh-CN" w:bidi="ar"/>
              </w:rPr>
              <w:t xml:space="preserve">满分3分。 </w:t>
            </w:r>
            <w:r>
              <w:rPr>
                <w:rFonts w:hint="eastAsia" w:ascii="仿宋" w:hAnsi="仿宋" w:eastAsia="仿宋" w:cs="仿宋"/>
                <w:b/>
                <w:bCs/>
                <w:color w:val="auto"/>
                <w:sz w:val="24"/>
                <w:szCs w:val="24"/>
                <w:highlight w:val="none"/>
              </w:rPr>
              <w:t>评审依据：</w:t>
            </w:r>
            <w:r>
              <w:rPr>
                <w:rFonts w:hint="eastAsia" w:ascii="仿宋" w:hAnsi="仿宋" w:eastAsia="仿宋" w:cs="仿宋"/>
                <w:b/>
                <w:bCs/>
                <w:color w:val="auto"/>
                <w:sz w:val="24"/>
                <w:highlight w:val="none"/>
                <w:lang w:bidi="ar"/>
              </w:rPr>
              <w:t>项目实施方案</w:t>
            </w:r>
            <w:r>
              <w:rPr>
                <w:rFonts w:hint="eastAsia" w:ascii="仿宋" w:hAnsi="仿宋" w:eastAsia="仿宋" w:cs="仿宋"/>
                <w:b/>
                <w:bCs/>
                <w:color w:val="auto"/>
                <w:sz w:val="24"/>
                <w:szCs w:val="24"/>
                <w:highlight w:val="none"/>
              </w:rPr>
              <w:t>加盖公章。</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24729C27">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textAlignment w:val="center"/>
              <w:rPr>
                <w:rStyle w:val="11"/>
                <w:rFonts w:hint="eastAsia" w:ascii="仿宋" w:hAnsi="仿宋" w:eastAsia="仿宋" w:cs="仿宋"/>
                <w:b/>
                <w:bCs/>
                <w:color w:val="auto"/>
                <w:sz w:val="24"/>
                <w:szCs w:val="24"/>
                <w:highlight w:val="none"/>
                <w:lang w:val="en-US" w:eastAsia="zh-CN"/>
              </w:rPr>
            </w:pPr>
            <w:r>
              <w:rPr>
                <w:rStyle w:val="11"/>
                <w:rFonts w:hint="eastAsia" w:ascii="仿宋" w:hAnsi="仿宋" w:eastAsia="仿宋" w:cs="仿宋"/>
                <w:b/>
                <w:bCs/>
                <w:color w:val="auto"/>
                <w:sz w:val="24"/>
                <w:szCs w:val="24"/>
                <w:highlight w:val="none"/>
                <w:lang w:val="en-US" w:eastAsia="zh-CN"/>
              </w:rPr>
              <w:t>3分</w:t>
            </w:r>
          </w:p>
        </w:tc>
      </w:tr>
      <w:tr w14:paraId="44D9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5699C28B">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rPr>
                <w:rFonts w:hint="eastAsia" w:ascii="仿宋" w:hAnsi="仿宋" w:eastAsia="仿宋" w:cs="仿宋"/>
                <w:b/>
                <w:bCs/>
                <w:color w:val="auto"/>
                <w:sz w:val="24"/>
                <w:highlight w:val="none"/>
                <w:lang w:val="en-US" w:eastAsia="zh-CN" w:bidi="ar"/>
              </w:rPr>
            </w:pPr>
            <w:r>
              <w:rPr>
                <w:rFonts w:hint="eastAsia" w:ascii="仿宋" w:hAnsi="仿宋" w:eastAsia="仿宋" w:cs="仿宋"/>
                <w:b/>
                <w:bCs/>
                <w:color w:val="auto"/>
                <w:sz w:val="24"/>
                <w:highlight w:val="none"/>
                <w:lang w:val="en-US" w:eastAsia="zh-CN" w:bidi="ar"/>
              </w:rPr>
              <w:t>演示</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0C7F65A1">
            <w:pPr>
              <w:keepNext w:val="0"/>
              <w:keepLines w:val="0"/>
              <w:pageBreakBefore w:val="0"/>
              <w:widowControl w:val="0"/>
              <w:kinsoku w:val="0"/>
              <w:wordWrap/>
              <w:overflowPunct w:val="0"/>
              <w:topLinePunct w:val="0"/>
              <w:autoSpaceDE w:val="0"/>
              <w:autoSpaceDN w:val="0"/>
              <w:bidi w:val="0"/>
              <w:snapToGrid/>
              <w:spacing w:line="360" w:lineRule="auto"/>
              <w:ind w:firstLine="480" w:firstLineChars="200"/>
              <w:rPr>
                <w:rFonts w:hint="eastAsia" w:ascii="仿宋" w:hAnsi="仿宋" w:eastAsia="仿宋" w:cs="仿宋"/>
                <w:color w:val="auto"/>
                <w:sz w:val="24"/>
                <w:highlight w:val="none"/>
                <w:lang w:val="en-US" w:eastAsia="zh-CN" w:bidi="ar"/>
              </w:rPr>
            </w:pPr>
          </w:p>
          <w:p w14:paraId="7539AF01">
            <w:pPr>
              <w:keepNext w:val="0"/>
              <w:keepLines w:val="0"/>
              <w:pageBreakBefore w:val="0"/>
              <w:widowControl w:val="0"/>
              <w:kinsoku w:val="0"/>
              <w:wordWrap/>
              <w:overflowPunct w:val="0"/>
              <w:topLinePunct w:val="0"/>
              <w:autoSpaceDE w:val="0"/>
              <w:autoSpaceDN w:val="0"/>
              <w:bidi w:val="0"/>
              <w:snapToGrid/>
              <w:spacing w:line="360" w:lineRule="auto"/>
              <w:ind w:firstLine="480" w:firstLineChars="200"/>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目前辖区内雨、污水管网长度约420公里，前期已做过管网普查和检测，普查资料未录入管网地理信息系统，未形成管网一张图；污水管网上没有布设在线监测设备，无法监控管网运行状态，不利于应对突发异常状况，无法实现应急调度；</w:t>
            </w:r>
          </w:p>
          <w:p w14:paraId="0DE452DC">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为全面推进城市排水管网数字化、智能化管理能力，现拟开展“智慧排水管网系统”项目建设。本项目围绕“感知监测、数据融合、平台支撑、业务应用”四位一体的建设思路，构建集物联感知、三维建模、数据分析与业务管理于一体的综合管理平台，实现排水设施全要素数字化表达、运行状态实时监测、业务闭环智能管理。</w:t>
            </w:r>
          </w:p>
          <w:p w14:paraId="1A51784F">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b/>
                <w:bCs/>
                <w:color w:val="auto"/>
                <w:sz w:val="24"/>
                <w:highlight w:val="none"/>
                <w:lang w:val="en-US" w:eastAsia="zh-CN" w:bidi="ar"/>
              </w:rPr>
            </w:pPr>
            <w:r>
              <w:rPr>
                <w:rFonts w:hint="eastAsia" w:ascii="仿宋" w:hAnsi="仿宋" w:eastAsia="仿宋" w:cs="仿宋"/>
                <w:b/>
                <w:bCs/>
                <w:color w:val="auto"/>
                <w:sz w:val="24"/>
                <w:highlight w:val="none"/>
                <w:lang w:val="en-US" w:eastAsia="zh-CN" w:bidi="ar"/>
              </w:rPr>
              <w:t>建设内容主要包括：</w:t>
            </w:r>
          </w:p>
          <w:p w14:paraId="19F41957">
            <w:pPr>
              <w:keepNext w:val="0"/>
              <w:keepLines w:val="0"/>
              <w:pageBreakBefore w:val="0"/>
              <w:widowControl w:val="0"/>
              <w:kinsoku w:val="0"/>
              <w:wordWrap/>
              <w:overflowPunct w:val="0"/>
              <w:topLinePunct w:val="0"/>
              <w:autoSpaceDE w:val="0"/>
              <w:autoSpaceDN w:val="0"/>
              <w:bidi w:val="0"/>
              <w:snapToGrid/>
              <w:spacing w:line="360" w:lineRule="auto"/>
              <w:ind w:firstLine="240" w:firstLineChars="100"/>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基础设施建设：在污水提升泵站、小型污水处理站连接管网处部署多普勒超声波流量计、COD、氨氮、pH等水质传感器、遥测终端机及杆式水质在线监测系统等感知设备，构建覆盖关键节点的监测网络；配备LED指挥大屏、服务器、工作站等硬件设施，支撑系统高效运行与指挥调度。</w:t>
            </w:r>
          </w:p>
          <w:p w14:paraId="0DE7D71F">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数据资源建设：开展多源数据汇聚、清洗与治理，构建涵盖基础空间、排水管网、三维模型、物联监测及业务数据的全要素数据库，实现数据共享；提供三维地下管网参数化建模工具，实现二维数据与三维模型联动更新。</w:t>
            </w:r>
          </w:p>
          <w:p w14:paraId="334EDC07">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支撑平台建设：搭建GIS平台、数据发布管理系统与数字孪生引擎，实现多源数据融合、服务发布与三维场景一体化展示，支持国产化环境部署。</w:t>
            </w:r>
          </w:p>
          <w:p w14:paraId="01D8C323">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b/>
                <w:bCs/>
                <w:color w:val="auto"/>
                <w:sz w:val="24"/>
                <w:highlight w:val="none"/>
                <w:lang w:val="en-US" w:eastAsia="zh-CN" w:bidi="ar"/>
              </w:rPr>
              <w:t>业务应用建设</w:t>
            </w:r>
            <w:r>
              <w:rPr>
                <w:rFonts w:hint="eastAsia" w:ascii="仿宋" w:hAnsi="仿宋" w:eastAsia="仿宋" w:cs="仿宋"/>
                <w:color w:val="auto"/>
                <w:sz w:val="24"/>
                <w:highlight w:val="none"/>
                <w:lang w:val="en-US" w:eastAsia="zh-CN" w:bidi="ar"/>
              </w:rPr>
              <w:t>：</w:t>
            </w:r>
          </w:p>
          <w:p w14:paraId="2F5EF966">
            <w:pPr>
              <w:keepNext w:val="0"/>
              <w:keepLines w:val="0"/>
              <w:pageBreakBefore w:val="0"/>
              <w:widowControl w:val="0"/>
              <w:kinsoku w:val="0"/>
              <w:wordWrap/>
              <w:overflowPunct w:val="0"/>
              <w:topLinePunct w:val="0"/>
              <w:autoSpaceDE w:val="0"/>
              <w:autoSpaceDN w:val="0"/>
              <w:bidi w:val="0"/>
              <w:snapToGrid/>
              <w:spacing w:line="360" w:lineRule="auto"/>
              <w:ind w:firstLine="240" w:firstLineChars="100"/>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开发排水管网二三维GIS系统、孪生驾驶舱、综合监测、排查数据管理、巡检养护管理、移动端应用及系统管理等模块，整合管网资产、风险预警、病害管理、运维考核业务场景等多维信息，构建“设施可视、数据可析、风险可控”的数字化管理体系，赋能管网管理从经验驱动向数据驱动转型，提升污水管网数字化治理水平，为管理决策层提供科学、精准、直观的决策依据，助力城市排水系统智慧化升级。</w:t>
            </w:r>
          </w:p>
          <w:p w14:paraId="39CAADDD">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建设效果：</w:t>
            </w:r>
          </w:p>
          <w:p w14:paraId="4339FA03">
            <w:pPr>
              <w:keepNext w:val="0"/>
              <w:keepLines w:val="0"/>
              <w:pageBreakBefore w:val="0"/>
              <w:widowControl w:val="0"/>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项目建成后，将形成“一张图”式排水管网数字孪生体系，实现管网运行状态实时感知、隐患智能预警、巡检养护闭环管理、应急处置高效协同，全面提升排水系统智慧化运维水平与综合决策能力。</w:t>
            </w:r>
          </w:p>
          <w:p w14:paraId="45414040">
            <w:pPr>
              <w:keepNext w:val="0"/>
              <w:keepLines w:val="0"/>
              <w:pageBreakBefore w:val="0"/>
              <w:widowControl w:val="0"/>
              <w:kinsoku w:val="0"/>
              <w:wordWrap/>
              <w:overflowPunct w:val="0"/>
              <w:topLinePunct w:val="0"/>
              <w:autoSpaceDE w:val="0"/>
              <w:autoSpaceDN w:val="0"/>
              <w:bidi w:val="0"/>
              <w:snapToGrid/>
              <w:spacing w:line="360" w:lineRule="auto"/>
              <w:ind w:firstLine="241" w:firstLineChars="100"/>
              <w:rPr>
                <w:rFonts w:hint="eastAsia" w:ascii="仿宋" w:hAnsi="仿宋" w:eastAsia="仿宋" w:cs="仿宋"/>
                <w:b/>
                <w:bCs/>
                <w:color w:val="auto"/>
                <w:sz w:val="24"/>
                <w:highlight w:val="none"/>
                <w:lang w:val="en-US" w:eastAsia="zh-CN" w:bidi="ar"/>
              </w:rPr>
            </w:pPr>
          </w:p>
          <w:p w14:paraId="0C07B935">
            <w:pPr>
              <w:keepNext w:val="0"/>
              <w:keepLines w:val="0"/>
              <w:pageBreakBefore w:val="0"/>
              <w:widowControl w:val="0"/>
              <w:kinsoku w:val="0"/>
              <w:wordWrap/>
              <w:overflowPunct w:val="0"/>
              <w:topLinePunct w:val="0"/>
              <w:autoSpaceDE w:val="0"/>
              <w:autoSpaceDN w:val="0"/>
              <w:bidi w:val="0"/>
              <w:snapToGrid/>
              <w:spacing w:line="360" w:lineRule="auto"/>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lang w:val="en-US" w:eastAsia="zh-CN" w:bidi="ar"/>
              </w:rPr>
              <w:t>评审依据：供应商须结合描述内容，采用录制视频方式进行系统演示（提供u盘）。要求真实系统演示 ，仅提供效果图、 ppt、原型均不得分 ，本项最高得分4分。 演示视频时长不超过 15 分钟。能很好反映建设内容、建设效果好的得4分、较好3分、一般2分。演示视频中不得含有投标人信息，否则视作无效标。</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24882FE5">
            <w:pPr>
              <w:keepNext w:val="0"/>
              <w:keepLines w:val="0"/>
              <w:pageBreakBefore w:val="0"/>
              <w:widowControl w:val="0"/>
              <w:kinsoku w:val="0"/>
              <w:wordWrap/>
              <w:overflowPunct w:val="0"/>
              <w:topLinePunct w:val="0"/>
              <w:autoSpaceDE w:val="0"/>
              <w:autoSpaceDN w:val="0"/>
              <w:bidi w:val="0"/>
              <w:snapToGrid/>
              <w:spacing w:line="240" w:lineRule="auto"/>
              <w:ind w:left="0" w:firstLine="0" w:firstLineChars="0"/>
              <w:jc w:val="center"/>
              <w:textAlignment w:val="center"/>
              <w:rPr>
                <w:rStyle w:val="11"/>
                <w:rFonts w:hint="default" w:ascii="仿宋" w:hAnsi="仿宋" w:eastAsia="仿宋" w:cs="仿宋"/>
                <w:b/>
                <w:bCs/>
                <w:color w:val="auto"/>
                <w:sz w:val="24"/>
                <w:szCs w:val="24"/>
                <w:highlight w:val="none"/>
                <w:lang w:val="en-US" w:eastAsia="zh-CN"/>
              </w:rPr>
            </w:pPr>
            <w:r>
              <w:rPr>
                <w:rStyle w:val="11"/>
                <w:rFonts w:hint="eastAsia" w:ascii="仿宋" w:hAnsi="仿宋" w:eastAsia="仿宋" w:cs="仿宋"/>
                <w:b/>
                <w:bCs/>
                <w:color w:val="auto"/>
                <w:sz w:val="24"/>
                <w:szCs w:val="24"/>
                <w:highlight w:val="none"/>
                <w:lang w:val="en-US" w:eastAsia="zh-CN"/>
              </w:rPr>
              <w:t>4分</w:t>
            </w:r>
          </w:p>
        </w:tc>
      </w:tr>
      <w:tr w14:paraId="4E30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1B7F715A">
            <w:pPr>
              <w:keepNext w:val="0"/>
              <w:keepLines w:val="0"/>
              <w:pageBreakBefore w:val="0"/>
              <w:widowControl w:val="0"/>
              <w:kinsoku w:val="0"/>
              <w:wordWrap/>
              <w:overflowPunct w:val="0"/>
              <w:topLinePunct w:val="0"/>
              <w:autoSpaceDE w:val="0"/>
              <w:autoSpaceDN w:val="0"/>
              <w:bidi w:val="0"/>
              <w:snapToGrid/>
              <w:spacing w:line="360" w:lineRule="auto"/>
              <w:jc w:val="center"/>
              <w:rPr>
                <w:rFonts w:hint="eastAsia" w:ascii="仿宋" w:hAnsi="仿宋" w:eastAsia="仿宋" w:cs="仿宋"/>
                <w:b/>
                <w:bCs/>
                <w:color w:val="auto"/>
                <w:sz w:val="24"/>
                <w:highlight w:val="none"/>
                <w:lang w:val="en-US" w:eastAsia="zh-CN" w:bidi="ar"/>
              </w:rPr>
            </w:pPr>
            <w:r>
              <w:rPr>
                <w:rFonts w:hint="eastAsia" w:ascii="仿宋" w:hAnsi="仿宋" w:eastAsia="仿宋" w:cs="仿宋"/>
                <w:b/>
                <w:bCs/>
                <w:color w:val="auto"/>
                <w:sz w:val="24"/>
                <w:szCs w:val="24"/>
                <w:highlight w:val="none"/>
              </w:rPr>
              <w:t>项目负责人</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259CD748">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拟投入项目负责人</w:t>
            </w:r>
            <w:r>
              <w:rPr>
                <w:rFonts w:hint="eastAsia" w:ascii="仿宋" w:hAnsi="仿宋" w:eastAsia="仿宋" w:cs="仿宋"/>
                <w:b w:val="0"/>
                <w:bCs w:val="0"/>
                <w:color w:val="auto"/>
                <w:sz w:val="24"/>
                <w:szCs w:val="24"/>
                <w:highlight w:val="none"/>
                <w:lang w:val="en-US" w:eastAsia="zh-CN"/>
              </w:rPr>
              <w:t>具有信息系统项目管理师或系统集成项目管理工程师或</w:t>
            </w:r>
            <w:r>
              <w:rPr>
                <w:rFonts w:hint="default" w:ascii="仿宋" w:hAnsi="仿宋" w:eastAsia="仿宋" w:cs="仿宋"/>
                <w:color w:val="auto"/>
                <w:sz w:val="24"/>
                <w:szCs w:val="24"/>
                <w:highlight w:val="none"/>
                <w:lang w:val="en-US" w:eastAsia="zh-CN"/>
              </w:rPr>
              <w:t>电子信息光电子技术专业职称的</w:t>
            </w:r>
            <w:r>
              <w:rPr>
                <w:rFonts w:hint="eastAsia" w:ascii="仿宋" w:hAnsi="仿宋" w:eastAsia="仿宋" w:cs="仿宋"/>
                <w:color w:val="auto"/>
                <w:sz w:val="24"/>
                <w:szCs w:val="24"/>
                <w:highlight w:val="none"/>
                <w:lang w:val="en-US" w:eastAsia="zh-CN"/>
              </w:rPr>
              <w:t>，提供职称证书为高级及以上职称</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此项最高得2分。</w:t>
            </w:r>
          </w:p>
          <w:p w14:paraId="3C4E5242">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项目负责人自2020年1月1日至今（以合同签订时间为准），完成智慧水务平台</w:t>
            </w:r>
            <w:r>
              <w:rPr>
                <w:rFonts w:hint="default" w:ascii="仿宋" w:hAnsi="仿宋" w:eastAsia="仿宋" w:cs="仿宋"/>
                <w:color w:val="auto"/>
                <w:sz w:val="24"/>
                <w:szCs w:val="24"/>
                <w:highlight w:val="none"/>
                <w:lang w:eastAsia="zh-CN"/>
              </w:rPr>
              <w:t>建设维护实施业绩的（</w:t>
            </w:r>
            <w:r>
              <w:rPr>
                <w:rFonts w:hint="eastAsia" w:ascii="仿宋" w:hAnsi="仿宋" w:eastAsia="仿宋" w:cs="仿宋"/>
                <w:color w:val="auto"/>
                <w:sz w:val="24"/>
                <w:szCs w:val="24"/>
                <w:highlight w:val="none"/>
                <w:lang w:val="en-US" w:eastAsia="zh-CN"/>
              </w:rPr>
              <w:t>至少包括以下任意一项内容：</w:t>
            </w:r>
            <w:r>
              <w:rPr>
                <w:rFonts w:hint="eastAsia" w:ascii="仿宋" w:hAnsi="仿宋" w:eastAsia="仿宋" w:cs="仿宋"/>
                <w:color w:val="auto"/>
                <w:sz w:val="24"/>
                <w:szCs w:val="24"/>
                <w:highlight w:val="none"/>
              </w:rPr>
              <w:t>排水管线三维建模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智慧排水</w:t>
            </w:r>
            <w:r>
              <w:rPr>
                <w:rFonts w:hint="eastAsia" w:ascii="仿宋" w:hAnsi="仿宋" w:eastAsia="仿宋" w:cs="仿宋"/>
                <w:color w:val="auto"/>
                <w:sz w:val="24"/>
                <w:szCs w:val="24"/>
                <w:highlight w:val="none"/>
              </w:rPr>
              <w:t>信息化平台</w:t>
            </w:r>
            <w:r>
              <w:rPr>
                <w:rFonts w:hint="eastAsia"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lang w:val="en-US" w:eastAsia="zh-CN"/>
              </w:rPr>
              <w:t>管网GIS平台项目、智慧排水项目</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智慧水务项目</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排水感知</w:t>
            </w:r>
            <w:r>
              <w:rPr>
                <w:rFonts w:hint="eastAsia" w:ascii="仿宋" w:hAnsi="仿宋" w:eastAsia="仿宋" w:cs="仿宋"/>
                <w:color w:val="auto"/>
                <w:sz w:val="24"/>
                <w:szCs w:val="24"/>
                <w:highlight w:val="none"/>
                <w:lang w:val="en-US" w:eastAsia="zh-CN"/>
              </w:rPr>
              <w:t>监测</w:t>
            </w:r>
            <w:r>
              <w:rPr>
                <w:rFonts w:hint="eastAsia" w:ascii="仿宋" w:hAnsi="仿宋" w:eastAsia="仿宋" w:cs="仿宋"/>
                <w:color w:val="auto"/>
                <w:sz w:val="24"/>
                <w:szCs w:val="24"/>
                <w:highlight w:val="none"/>
              </w:rPr>
              <w:t>设备</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建设</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2分</w:t>
            </w:r>
          </w:p>
          <w:p w14:paraId="261BC38E">
            <w:pPr>
              <w:keepNext w:val="0"/>
              <w:keepLines w:val="0"/>
              <w:pageBreakBefore w:val="0"/>
              <w:widowControl w:val="0"/>
              <w:shd w:val="clear" w:color="auto" w:fill="FFFFFF"/>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b/>
                <w:bCs/>
                <w:color w:val="auto"/>
                <w:sz w:val="24"/>
                <w:szCs w:val="24"/>
                <w:highlight w:val="none"/>
              </w:rPr>
              <w:t>评审依据：</w:t>
            </w:r>
            <w:r>
              <w:rPr>
                <w:rFonts w:hint="eastAsia" w:ascii="仿宋" w:hAnsi="仿宋" w:eastAsia="仿宋" w:cs="仿宋"/>
                <w:color w:val="auto"/>
                <w:sz w:val="24"/>
                <w:szCs w:val="24"/>
                <w:highlight w:val="none"/>
                <w:lang w:val="en-US" w:eastAsia="zh-CN"/>
              </w:rPr>
              <w:t>业绩合同需明确体现上述要求，如未明确响应的，可提供由业主盖章的证明文件。投</w:t>
            </w:r>
            <w:r>
              <w:rPr>
                <w:rFonts w:hint="eastAsia" w:ascii="仿宋" w:hAnsi="仿宋" w:eastAsia="仿宋" w:cs="仿宋"/>
                <w:b/>
                <w:bCs/>
                <w:color w:val="auto"/>
                <w:sz w:val="24"/>
                <w:szCs w:val="24"/>
                <w:highlight w:val="none"/>
              </w:rPr>
              <w:t>标文件中须提供人员相关证书和投标截止时间前</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个月内任意一个月的社保缴纳证明材料复印件加盖公章，否则不得分。</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5B02CB30">
            <w:pPr>
              <w:keepNext w:val="0"/>
              <w:keepLines w:val="0"/>
              <w:pageBreakBefore w:val="0"/>
              <w:widowControl w:val="0"/>
              <w:kinsoku w:val="0"/>
              <w:wordWrap/>
              <w:overflowPunct w:val="0"/>
              <w:topLinePunct w:val="0"/>
              <w:autoSpaceDE w:val="0"/>
              <w:autoSpaceDN w:val="0"/>
              <w:bidi w:val="0"/>
              <w:snapToGrid/>
              <w:jc w:val="center"/>
              <w:rPr>
                <w:rStyle w:val="11"/>
                <w:rFonts w:hint="eastAsia" w:ascii="仿宋" w:hAnsi="仿宋" w:eastAsia="仿宋" w:cs="仿宋"/>
                <w:b/>
                <w:bCs/>
                <w:color w:val="auto"/>
                <w:sz w:val="24"/>
                <w:szCs w:val="24"/>
                <w:highlight w:val="none"/>
                <w:lang w:val="en-US" w:eastAsia="zh-CN"/>
              </w:rPr>
            </w:pPr>
            <w:r>
              <w:rPr>
                <w:rFonts w:hint="eastAsia" w:ascii="宋体" w:hAnsi="宋体" w:cs="宋体"/>
                <w:color w:val="auto"/>
                <w:highlight w:val="none"/>
                <w:lang w:val="en-US" w:eastAsia="zh-CN"/>
              </w:rPr>
              <w:t>4分</w:t>
            </w:r>
          </w:p>
        </w:tc>
      </w:tr>
      <w:tr w14:paraId="1A0B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0E8CFEF8">
            <w:pPr>
              <w:keepNext w:val="0"/>
              <w:keepLines w:val="0"/>
              <w:pageBreakBefore w:val="0"/>
              <w:widowControl w:val="0"/>
              <w:kinsoku w:val="0"/>
              <w:wordWrap/>
              <w:overflowPunct w:val="0"/>
              <w:topLinePunct w:val="0"/>
              <w:autoSpaceDE w:val="0"/>
              <w:autoSpaceDN w:val="0"/>
              <w:bidi w:val="0"/>
              <w:snapToGrid/>
              <w:spacing w:line="360" w:lineRule="auto"/>
              <w:jc w:val="center"/>
              <w:rPr>
                <w:rFonts w:hint="eastAsia" w:ascii="仿宋" w:hAnsi="仿宋" w:eastAsia="仿宋" w:cs="仿宋"/>
                <w:b/>
                <w:bCs/>
                <w:color w:val="auto"/>
                <w:sz w:val="24"/>
                <w:highlight w:val="none"/>
                <w:lang w:val="en-US" w:eastAsia="zh-CN" w:bidi="ar"/>
              </w:rPr>
            </w:pPr>
            <w:r>
              <w:rPr>
                <w:rFonts w:hint="eastAsia" w:ascii="仿宋" w:hAnsi="仿宋" w:eastAsia="仿宋" w:cs="仿宋"/>
                <w:b/>
                <w:bCs/>
                <w:color w:val="auto"/>
                <w:sz w:val="24"/>
                <w:szCs w:val="24"/>
                <w:highlight w:val="none"/>
              </w:rPr>
              <w:t>技术负责人</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C4A0777">
            <w:pPr>
              <w:keepNext w:val="0"/>
              <w:keepLines w:val="0"/>
              <w:pageBreakBefore w:val="0"/>
              <w:widowControl w:val="0"/>
              <w:kinsoku w:val="0"/>
              <w:wordWrap/>
              <w:overflowPunct w:val="0"/>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拟投入技术负责人具有测绘地理信息类（高级）职称证书、</w:t>
            </w:r>
            <w:r>
              <w:rPr>
                <w:rFonts w:hint="eastAsia" w:ascii="仿宋" w:hAnsi="仿宋" w:eastAsia="仿宋" w:cs="仿宋"/>
                <w:color w:val="auto"/>
                <w:sz w:val="24"/>
                <w:szCs w:val="24"/>
                <w:highlight w:val="none"/>
                <w:lang w:val="en-US" w:eastAsia="zh-CN"/>
              </w:rPr>
              <w:t>注册测绘师</w:t>
            </w:r>
            <w:r>
              <w:rPr>
                <w:rFonts w:hint="eastAsia" w:ascii="仿宋" w:hAnsi="仿宋" w:eastAsia="仿宋" w:cs="仿宋"/>
                <w:color w:val="auto"/>
                <w:sz w:val="24"/>
                <w:szCs w:val="24"/>
                <w:highlight w:val="none"/>
                <w:lang w:eastAsia="zh-CN"/>
              </w:rPr>
              <w:t>证书、系统规划与管理师、给排水高级工程师；</w:t>
            </w:r>
            <w:r>
              <w:rPr>
                <w:rFonts w:hint="eastAsia" w:ascii="仿宋" w:hAnsi="仿宋" w:eastAsia="仿宋" w:cs="仿宋"/>
                <w:color w:val="auto"/>
                <w:sz w:val="24"/>
                <w:szCs w:val="24"/>
                <w:highlight w:val="none"/>
                <w:lang w:val="en-US" w:eastAsia="zh-CN"/>
              </w:rPr>
              <w:t>提供任意二种专业证书</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分。本项最高得分</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p>
          <w:p w14:paraId="527DCE63">
            <w:pPr>
              <w:keepNext w:val="0"/>
              <w:keepLines w:val="0"/>
              <w:pageBreakBefore w:val="0"/>
              <w:widowControl w:val="0"/>
              <w:shd w:val="clear" w:color="auto" w:fill="FFFFFF"/>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b/>
                <w:bCs/>
                <w:color w:val="auto"/>
                <w:sz w:val="24"/>
                <w:szCs w:val="24"/>
                <w:highlight w:val="none"/>
              </w:rPr>
              <w:t>评审依据：投标文件中须提供人员相关证书和投标截止时间前</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个月内任意一个月的社保缴纳证明材料复印件加盖公章，否则不得分。</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137E36B0">
            <w:pPr>
              <w:keepNext w:val="0"/>
              <w:keepLines w:val="0"/>
              <w:pageBreakBefore w:val="0"/>
              <w:widowControl w:val="0"/>
              <w:kinsoku w:val="0"/>
              <w:wordWrap/>
              <w:overflowPunct w:val="0"/>
              <w:topLinePunct w:val="0"/>
              <w:autoSpaceDE w:val="0"/>
              <w:autoSpaceDN w:val="0"/>
              <w:bidi w:val="0"/>
              <w:snapToGrid/>
              <w:jc w:val="center"/>
              <w:rPr>
                <w:rStyle w:val="11"/>
                <w:rFonts w:hint="eastAsia" w:ascii="仿宋" w:hAnsi="仿宋" w:eastAsia="仿宋" w:cs="仿宋"/>
                <w:b/>
                <w:bCs/>
                <w:color w:val="auto"/>
                <w:sz w:val="24"/>
                <w:szCs w:val="24"/>
                <w:highlight w:val="none"/>
                <w:lang w:val="en-US" w:eastAsia="zh-CN"/>
              </w:rPr>
            </w:pPr>
            <w:r>
              <w:rPr>
                <w:rFonts w:hint="eastAsia" w:ascii="宋体" w:hAnsi="宋体" w:cs="宋体"/>
                <w:color w:val="auto"/>
                <w:highlight w:val="none"/>
                <w:lang w:val="en-US" w:eastAsia="zh-CN"/>
              </w:rPr>
              <w:t>4分</w:t>
            </w:r>
          </w:p>
        </w:tc>
      </w:tr>
      <w:tr w14:paraId="0C38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2D1A49F5">
            <w:pPr>
              <w:keepNext w:val="0"/>
              <w:keepLines w:val="0"/>
              <w:pageBreakBefore w:val="0"/>
              <w:widowControl w:val="0"/>
              <w:kinsoku w:val="0"/>
              <w:wordWrap/>
              <w:overflowPunct w:val="0"/>
              <w:topLinePunct w:val="0"/>
              <w:autoSpaceDE w:val="0"/>
              <w:autoSpaceDN w:val="0"/>
              <w:bidi w:val="0"/>
              <w:snapToGrid/>
              <w:spacing w:line="360" w:lineRule="auto"/>
              <w:jc w:val="center"/>
              <w:rPr>
                <w:rFonts w:hint="eastAsia" w:ascii="仿宋" w:hAnsi="仿宋" w:eastAsia="仿宋" w:cs="仿宋"/>
                <w:b/>
                <w:bCs/>
                <w:color w:val="auto"/>
                <w:sz w:val="24"/>
                <w:highlight w:val="none"/>
                <w:lang w:val="en-US" w:eastAsia="zh-CN" w:bidi="ar"/>
              </w:rPr>
            </w:pPr>
            <w:r>
              <w:rPr>
                <w:rFonts w:hint="eastAsia" w:ascii="仿宋" w:hAnsi="仿宋" w:eastAsia="仿宋" w:cs="仿宋"/>
                <w:b/>
                <w:bCs/>
                <w:color w:val="auto"/>
                <w:sz w:val="24"/>
                <w:szCs w:val="24"/>
                <w:highlight w:val="none"/>
              </w:rPr>
              <w:t>项目团队人员</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71A9842">
            <w:pPr>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投标人拟投入项目组成员具有测绘地理信息类（中级及以上）职称证书、地理信息安全保密培训合格证的、给排水中级工程师、</w:t>
            </w:r>
            <w:r>
              <w:rPr>
                <w:rFonts w:hint="eastAsia" w:ascii="仿宋" w:hAnsi="仿宋" w:eastAsia="仿宋" w:cs="仿宋"/>
                <w:color w:val="auto"/>
                <w:sz w:val="24"/>
                <w:szCs w:val="24"/>
                <w:highlight w:val="none"/>
              </w:rPr>
              <w:t>市政类二级及以上建造师、</w:t>
            </w:r>
            <w:r>
              <w:rPr>
                <w:rFonts w:hint="eastAsia" w:ascii="仿宋" w:hAnsi="仿宋" w:eastAsia="仿宋" w:cs="仿宋"/>
                <w:color w:val="auto"/>
                <w:sz w:val="24"/>
                <w:szCs w:val="24"/>
                <w:highlight w:val="none"/>
                <w:lang w:eastAsia="zh-CN"/>
              </w:rPr>
              <w:t>数据库系统工程师、软件设计师、系统规划与管理师、系统集成项目管理工程师、系统架构设计师、系统分析师、网络规划设计师；项目组成员（</w:t>
            </w:r>
            <w:r>
              <w:rPr>
                <w:rFonts w:hint="eastAsia" w:ascii="仿宋" w:hAnsi="仿宋" w:eastAsia="仿宋" w:cs="仿宋"/>
                <w:b/>
                <w:bCs/>
                <w:color w:val="auto"/>
                <w:sz w:val="24"/>
                <w:szCs w:val="24"/>
                <w:highlight w:val="none"/>
                <w:lang w:val="en-US" w:eastAsia="zh-CN"/>
              </w:rPr>
              <w:t>不包含</w:t>
            </w:r>
            <w:r>
              <w:rPr>
                <w:rFonts w:hint="eastAsia" w:ascii="仿宋" w:hAnsi="仿宋" w:eastAsia="仿宋" w:cs="仿宋"/>
                <w:b/>
                <w:bCs/>
                <w:color w:val="auto"/>
                <w:sz w:val="24"/>
                <w:szCs w:val="24"/>
                <w:highlight w:val="none"/>
                <w:lang w:eastAsia="zh-CN"/>
              </w:rPr>
              <w:t>项目负责人</w:t>
            </w:r>
            <w:r>
              <w:rPr>
                <w:rFonts w:hint="eastAsia" w:ascii="仿宋" w:hAnsi="仿宋" w:eastAsia="仿宋" w:cs="仿宋"/>
                <w:b/>
                <w:bCs/>
                <w:color w:val="auto"/>
                <w:sz w:val="24"/>
                <w:szCs w:val="24"/>
                <w:highlight w:val="none"/>
                <w:lang w:val="en-US" w:eastAsia="zh-CN"/>
              </w:rPr>
              <w:t>和</w:t>
            </w:r>
            <w:r>
              <w:rPr>
                <w:rFonts w:hint="eastAsia" w:ascii="仿宋" w:hAnsi="仿宋" w:eastAsia="仿宋" w:cs="仿宋"/>
                <w:b/>
                <w:bCs/>
                <w:color w:val="auto"/>
                <w:sz w:val="24"/>
                <w:szCs w:val="24"/>
                <w:highlight w:val="none"/>
                <w:lang w:eastAsia="zh-CN"/>
              </w:rPr>
              <w:t>技术负责人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每提供一种证书</w:t>
            </w:r>
            <w:r>
              <w:rPr>
                <w:rFonts w:hint="eastAsia" w:ascii="仿宋" w:hAnsi="仿宋" w:eastAsia="仿宋" w:cs="仿宋"/>
                <w:color w:val="auto"/>
                <w:sz w:val="24"/>
                <w:szCs w:val="24"/>
                <w:highlight w:val="none"/>
                <w:lang w:eastAsia="zh-CN"/>
              </w:rPr>
              <w:t>得1分，本项最高得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w:t>
            </w:r>
          </w:p>
          <w:p w14:paraId="4DEE579E">
            <w:pPr>
              <w:keepNext w:val="0"/>
              <w:keepLines w:val="0"/>
              <w:pageBreakBefore w:val="0"/>
              <w:widowControl w:val="0"/>
              <w:shd w:val="clear" w:color="auto" w:fill="FFFFFF"/>
              <w:kinsoku w:val="0"/>
              <w:wordWrap/>
              <w:overflowPunct w:val="0"/>
              <w:topLinePunct w:val="0"/>
              <w:autoSpaceDE w:val="0"/>
              <w:autoSpaceDN w:val="0"/>
              <w:bidi w:val="0"/>
              <w:snapToGrid/>
              <w:spacing w:line="360" w:lineRule="auto"/>
              <w:rPr>
                <w:rFonts w:hint="eastAsia" w:ascii="仿宋" w:hAnsi="仿宋" w:eastAsia="仿宋" w:cs="仿宋"/>
                <w:color w:val="auto"/>
                <w:sz w:val="24"/>
                <w:highlight w:val="none"/>
                <w:lang w:val="en-US" w:eastAsia="zh-CN" w:bidi="ar"/>
              </w:rPr>
            </w:pPr>
            <w:r>
              <w:rPr>
                <w:rFonts w:hint="eastAsia" w:ascii="仿宋" w:hAnsi="仿宋" w:eastAsia="仿宋" w:cs="仿宋"/>
                <w:b/>
                <w:bCs/>
                <w:color w:val="auto"/>
                <w:sz w:val="24"/>
                <w:szCs w:val="24"/>
                <w:highlight w:val="none"/>
              </w:rPr>
              <w:t>评审依据：投标文件中须提供人员相关证书和投标截止时间前</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个月内任意一个月的社保缴纳证明材料复印件加盖公章，否则不得分，同一人员不重复计分。</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221F0C0A">
            <w:pPr>
              <w:keepNext w:val="0"/>
              <w:keepLines w:val="0"/>
              <w:pageBreakBefore w:val="0"/>
              <w:widowControl w:val="0"/>
              <w:kinsoku w:val="0"/>
              <w:wordWrap/>
              <w:overflowPunct w:val="0"/>
              <w:topLinePunct w:val="0"/>
              <w:autoSpaceDE w:val="0"/>
              <w:autoSpaceDN w:val="0"/>
              <w:bidi w:val="0"/>
              <w:snapToGrid/>
              <w:jc w:val="center"/>
              <w:rPr>
                <w:rStyle w:val="11"/>
                <w:rFonts w:hint="eastAsia" w:ascii="仿宋" w:hAnsi="仿宋" w:eastAsia="仿宋" w:cs="仿宋"/>
                <w:b/>
                <w:bCs/>
                <w:color w:val="auto"/>
                <w:sz w:val="24"/>
                <w:szCs w:val="24"/>
                <w:highlight w:val="none"/>
                <w:lang w:val="en-US" w:eastAsia="zh-CN"/>
              </w:rPr>
            </w:pPr>
            <w:r>
              <w:rPr>
                <w:rFonts w:hint="eastAsia" w:ascii="宋体" w:hAnsi="宋体" w:cs="宋体"/>
                <w:color w:val="auto"/>
                <w:highlight w:val="none"/>
                <w:lang w:val="en-US" w:eastAsia="zh-CN"/>
              </w:rPr>
              <w:t>5分</w:t>
            </w:r>
          </w:p>
        </w:tc>
      </w:tr>
    </w:tbl>
    <w:p w14:paraId="23D375C9">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EA40D79">
      <w:pPr>
        <w:pStyle w:val="2"/>
        <w:numPr>
          <w:ilvl w:val="0"/>
          <w:numId w:val="0"/>
        </w:numPr>
        <w:bidi w:val="0"/>
        <w:ind w:leftChars="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（三）商务部分（</w:t>
      </w:r>
      <w:r>
        <w:rPr>
          <w:rFonts w:hint="eastAsia" w:ascii="仿宋" w:hAnsi="仿宋" w:eastAsia="仿宋" w:cs="仿宋"/>
          <w:b/>
          <w:color w:val="auto"/>
          <w:sz w:val="24"/>
          <w:szCs w:val="24"/>
          <w:highlight w:val="none"/>
          <w:lang w:val="en-US" w:eastAsia="zh-CN"/>
        </w:rPr>
        <w:t>16</w:t>
      </w:r>
      <w:r>
        <w:rPr>
          <w:rFonts w:hint="eastAsia" w:ascii="仿宋" w:hAnsi="仿宋" w:eastAsia="仿宋" w:cs="仿宋"/>
          <w:b/>
          <w:color w:val="auto"/>
          <w:sz w:val="24"/>
          <w:szCs w:val="24"/>
          <w:highlight w:val="none"/>
        </w:rPr>
        <w:t>分）</w:t>
      </w:r>
    </w:p>
    <w:tbl>
      <w:tblPr>
        <w:tblStyle w:val="7"/>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346"/>
        <w:gridCol w:w="6546"/>
        <w:gridCol w:w="670"/>
      </w:tblGrid>
      <w:tr w14:paraId="0B55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38" w:hRule="atLeast"/>
          <w:jc w:val="center"/>
        </w:trPr>
        <w:tc>
          <w:tcPr>
            <w:tcW w:w="786" w:type="pct"/>
            <w:noWrap w:val="0"/>
            <w:vAlign w:val="center"/>
          </w:tcPr>
          <w:p w14:paraId="2BFDF87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822" w:type="pct"/>
            <w:noWrap w:val="0"/>
            <w:vAlign w:val="center"/>
          </w:tcPr>
          <w:p w14:paraId="03B5704A">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391" w:type="pct"/>
            <w:noWrap w:val="0"/>
            <w:vAlign w:val="center"/>
          </w:tcPr>
          <w:p w14:paraId="349A9138">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462A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50" w:hRule="atLeast"/>
          <w:jc w:val="center"/>
        </w:trPr>
        <w:tc>
          <w:tcPr>
            <w:tcW w:w="786" w:type="pct"/>
            <w:noWrap w:val="0"/>
            <w:vAlign w:val="center"/>
          </w:tcPr>
          <w:p w14:paraId="3AEA8B31">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商务要求</w:t>
            </w:r>
          </w:p>
        </w:tc>
        <w:tc>
          <w:tcPr>
            <w:tcW w:w="3822" w:type="pct"/>
            <w:noWrap w:val="0"/>
            <w:vAlign w:val="top"/>
          </w:tcPr>
          <w:p w14:paraId="34DAFBE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投标人须完全满足或优于招标文件中“商务条款”；任何一项不满足招标文件要求，作无效投标处理。</w:t>
            </w:r>
          </w:p>
          <w:p w14:paraId="1E55B3D7">
            <w:pPr>
              <w:shd w:val="clear" w:color="auto" w:fill="FFFFFF"/>
              <w:spacing w:line="360" w:lineRule="auto"/>
              <w:rPr>
                <w:rFonts w:hint="eastAsia" w:ascii="仿宋" w:hAnsi="仿宋" w:eastAsia="仿宋" w:cs="仿宋"/>
                <w:b/>
                <w:color w:val="auto"/>
                <w:sz w:val="24"/>
                <w:szCs w:val="24"/>
                <w:highlight w:val="none"/>
                <w:lang w:bidi="zh-CN"/>
              </w:rPr>
            </w:pPr>
            <w:r>
              <w:rPr>
                <w:rFonts w:hint="eastAsia" w:ascii="仿宋" w:hAnsi="仿宋" w:eastAsia="仿宋" w:cs="仿宋"/>
                <w:b/>
                <w:bCs/>
                <w:color w:val="auto"/>
                <w:sz w:val="24"/>
                <w:szCs w:val="24"/>
                <w:highlight w:val="none"/>
              </w:rPr>
              <w:t>评审依据：商务条件响应/偏离表及投标文件响应情况</w:t>
            </w:r>
          </w:p>
        </w:tc>
        <w:tc>
          <w:tcPr>
            <w:tcW w:w="391" w:type="pct"/>
            <w:noWrap w:val="0"/>
            <w:vAlign w:val="center"/>
          </w:tcPr>
          <w:p w14:paraId="250288D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bidi="ar"/>
              </w:rPr>
              <w:t>符合性评审</w:t>
            </w:r>
          </w:p>
        </w:tc>
      </w:tr>
      <w:tr w14:paraId="7F6A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tcBorders>
              <w:top w:val="single" w:color="auto" w:sz="4" w:space="0"/>
              <w:left w:val="single" w:color="auto" w:sz="4" w:space="0"/>
              <w:bottom w:val="single" w:color="auto" w:sz="4" w:space="0"/>
              <w:right w:val="single" w:color="auto" w:sz="4" w:space="0"/>
            </w:tcBorders>
            <w:vAlign w:val="center"/>
          </w:tcPr>
          <w:p w14:paraId="7CAA30DB">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项目业绩</w:t>
            </w:r>
          </w:p>
        </w:tc>
        <w:tc>
          <w:tcPr>
            <w:tcW w:w="3822" w:type="pct"/>
            <w:tcBorders>
              <w:top w:val="single" w:color="auto" w:sz="4" w:space="0"/>
              <w:left w:val="single" w:color="auto" w:sz="4" w:space="0"/>
              <w:bottom w:val="single" w:color="auto" w:sz="4" w:space="0"/>
              <w:right w:val="single" w:color="auto" w:sz="4" w:space="0"/>
            </w:tcBorders>
            <w:vAlign w:val="center"/>
          </w:tcPr>
          <w:p w14:paraId="2210F2E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投标人自202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年1月1日以来承担过类似项目（</w:t>
            </w:r>
            <w:r>
              <w:rPr>
                <w:rFonts w:hint="eastAsia" w:ascii="仿宋" w:hAnsi="仿宋" w:eastAsia="仿宋" w:cs="仿宋"/>
                <w:color w:val="auto"/>
                <w:sz w:val="24"/>
                <w:szCs w:val="24"/>
                <w:highlight w:val="none"/>
                <w:lang w:val="en-US" w:eastAsia="zh-CN"/>
              </w:rPr>
              <w:t>至少包括以下任意一项内容：</w:t>
            </w:r>
            <w:r>
              <w:rPr>
                <w:rFonts w:hint="eastAsia" w:ascii="仿宋" w:hAnsi="仿宋" w:eastAsia="仿宋" w:cs="仿宋"/>
                <w:color w:val="auto"/>
                <w:sz w:val="24"/>
                <w:szCs w:val="24"/>
                <w:highlight w:val="none"/>
              </w:rPr>
              <w:t>排水管线三维建模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智慧排水</w:t>
            </w:r>
            <w:r>
              <w:rPr>
                <w:rFonts w:hint="eastAsia" w:ascii="仿宋" w:hAnsi="仿宋" w:eastAsia="仿宋" w:cs="仿宋"/>
                <w:color w:val="auto"/>
                <w:sz w:val="24"/>
                <w:szCs w:val="24"/>
                <w:highlight w:val="none"/>
              </w:rPr>
              <w:t>信息化平台</w:t>
            </w:r>
            <w:r>
              <w:rPr>
                <w:rFonts w:hint="eastAsia"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lang w:val="en-US" w:eastAsia="zh-CN"/>
              </w:rPr>
              <w:t>管网GIS平台项目、智慧排水项目</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智慧水务项目</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排水感知</w:t>
            </w:r>
            <w:r>
              <w:rPr>
                <w:rFonts w:hint="eastAsia" w:ascii="仿宋" w:hAnsi="仿宋" w:eastAsia="仿宋" w:cs="仿宋"/>
                <w:color w:val="auto"/>
                <w:sz w:val="24"/>
                <w:szCs w:val="24"/>
                <w:highlight w:val="none"/>
                <w:lang w:val="en-US" w:eastAsia="zh-CN"/>
              </w:rPr>
              <w:t>监测</w:t>
            </w:r>
            <w:r>
              <w:rPr>
                <w:rFonts w:hint="eastAsia" w:ascii="仿宋" w:hAnsi="仿宋" w:eastAsia="仿宋" w:cs="仿宋"/>
                <w:color w:val="auto"/>
                <w:sz w:val="24"/>
                <w:szCs w:val="24"/>
                <w:highlight w:val="none"/>
              </w:rPr>
              <w:t>设备</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建设）的，每个</w:t>
            </w:r>
            <w:r>
              <w:rPr>
                <w:rFonts w:hint="eastAsia" w:ascii="仿宋" w:hAnsi="仿宋" w:eastAsia="仿宋" w:cs="仿宋"/>
                <w:color w:val="auto"/>
                <w:sz w:val="24"/>
                <w:szCs w:val="24"/>
                <w:highlight w:val="none"/>
                <w:lang w:val="en-US" w:eastAsia="zh-CN"/>
              </w:rPr>
              <w:t>得1.5分，最高得6分。</w:t>
            </w:r>
          </w:p>
          <w:p w14:paraId="67E7A19C">
            <w:pPr>
              <w:shd w:val="clear" w:color="auto" w:fill="FFFFFF"/>
              <w:spacing w:line="360" w:lineRule="auto"/>
              <w:rPr>
                <w:rFonts w:ascii="宋体" w:hAnsi="宋体" w:cs="宋体"/>
                <w:b/>
                <w:bCs/>
                <w:color w:val="auto"/>
                <w:highlight w:val="none"/>
              </w:rPr>
            </w:pPr>
            <w:r>
              <w:rPr>
                <w:rFonts w:hint="eastAsia" w:ascii="仿宋" w:hAnsi="仿宋" w:eastAsia="仿宋" w:cs="仿宋"/>
                <w:b/>
                <w:bCs/>
                <w:color w:val="auto"/>
                <w:sz w:val="24"/>
                <w:szCs w:val="24"/>
                <w:highlight w:val="none"/>
              </w:rPr>
              <w:t>评审依据：投标文件中必须同时提供</w:t>
            </w: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auto"/>
                <w:sz w:val="24"/>
                <w:szCs w:val="24"/>
                <w:highlight w:val="none"/>
              </w:rPr>
              <w:t>合同、中标通知书证明材料复印件加盖公章，否则不得分。</w:t>
            </w:r>
          </w:p>
        </w:tc>
        <w:tc>
          <w:tcPr>
            <w:tcW w:w="391" w:type="pct"/>
            <w:tcBorders>
              <w:top w:val="single" w:color="auto" w:sz="4" w:space="0"/>
              <w:left w:val="single" w:color="auto" w:sz="4" w:space="0"/>
              <w:bottom w:val="single" w:color="auto" w:sz="4" w:space="0"/>
              <w:right w:val="single" w:color="auto" w:sz="4" w:space="0"/>
            </w:tcBorders>
            <w:vAlign w:val="center"/>
          </w:tcPr>
          <w:p w14:paraId="20CA8B2C">
            <w:pPr>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6分</w:t>
            </w:r>
          </w:p>
        </w:tc>
      </w:tr>
      <w:tr w14:paraId="627A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tcBorders>
              <w:top w:val="single" w:color="auto" w:sz="4" w:space="0"/>
              <w:left w:val="single" w:color="auto" w:sz="4" w:space="0"/>
              <w:bottom w:val="single" w:color="auto" w:sz="4" w:space="0"/>
              <w:right w:val="single" w:color="auto" w:sz="4" w:space="0"/>
            </w:tcBorders>
            <w:vAlign w:val="center"/>
          </w:tcPr>
          <w:p w14:paraId="787D983C">
            <w:pPr>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企业认证</w:t>
            </w:r>
            <w:r>
              <w:rPr>
                <w:rFonts w:hint="eastAsia" w:ascii="仿宋" w:hAnsi="仿宋" w:eastAsia="仿宋" w:cs="仿宋"/>
                <w:b/>
                <w:bCs/>
                <w:color w:val="auto"/>
                <w:sz w:val="24"/>
                <w:szCs w:val="24"/>
                <w:highlight w:val="none"/>
                <w:lang w:eastAsia="zh-CN"/>
              </w:rPr>
              <w:t>及实力</w:t>
            </w:r>
          </w:p>
        </w:tc>
        <w:tc>
          <w:tcPr>
            <w:tcW w:w="3822" w:type="pct"/>
            <w:tcBorders>
              <w:top w:val="single" w:color="auto" w:sz="4" w:space="0"/>
              <w:left w:val="single" w:color="auto" w:sz="4" w:space="0"/>
              <w:bottom w:val="single" w:color="auto" w:sz="4" w:space="0"/>
              <w:right w:val="single" w:color="auto" w:sz="4" w:space="0"/>
            </w:tcBorders>
            <w:vAlign w:val="center"/>
          </w:tcPr>
          <w:p w14:paraId="015A02E0">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投标人具有有效的质量管理体系认证证书、</w:t>
            </w:r>
            <w:r>
              <w:rPr>
                <w:rFonts w:hint="eastAsia" w:ascii="仿宋" w:hAnsi="仿宋" w:eastAsia="仿宋" w:cs="仿宋"/>
                <w:color w:val="auto"/>
                <w:sz w:val="24"/>
                <w:szCs w:val="24"/>
                <w:highlight w:val="none"/>
                <w:lang w:eastAsia="zh-CN"/>
              </w:rPr>
              <w:t>环境管理体系认证证书、</w:t>
            </w:r>
            <w:r>
              <w:rPr>
                <w:rFonts w:hint="eastAsia" w:ascii="仿宋" w:hAnsi="仿宋" w:eastAsia="仿宋" w:cs="仿宋"/>
                <w:color w:val="auto"/>
                <w:sz w:val="24"/>
                <w:szCs w:val="24"/>
                <w:highlight w:val="none"/>
              </w:rPr>
              <w:t>信息安全管理体系认证证书、</w:t>
            </w:r>
            <w:r>
              <w:rPr>
                <w:rFonts w:hint="eastAsia" w:ascii="仿宋" w:hAnsi="仿宋" w:eastAsia="仿宋" w:cs="仿宋"/>
                <w:color w:val="auto"/>
                <w:sz w:val="24"/>
                <w:szCs w:val="24"/>
                <w:highlight w:val="none"/>
                <w:lang w:val="en-US" w:eastAsia="zh-CN"/>
              </w:rPr>
              <w:t>信息技术服务管理体系认证证书、</w:t>
            </w:r>
            <w:r>
              <w:rPr>
                <w:rFonts w:hint="default" w:ascii="仿宋" w:hAnsi="仿宋" w:eastAsia="仿宋" w:cs="仿宋"/>
                <w:color w:val="auto"/>
                <w:sz w:val="24"/>
                <w:szCs w:val="24"/>
                <w:highlight w:val="none"/>
                <w:lang w:val="en-US" w:eastAsia="zh-CN"/>
              </w:rPr>
              <w:t>DCMM数据管理能力等级证书</w:t>
            </w:r>
            <w:r>
              <w:rPr>
                <w:rFonts w:hint="eastAsia" w:ascii="仿宋" w:hAnsi="仿宋" w:eastAsia="仿宋" w:cs="仿宋"/>
                <w:color w:val="auto"/>
                <w:sz w:val="24"/>
                <w:szCs w:val="24"/>
                <w:highlight w:val="none"/>
                <w:lang w:val="en-US" w:eastAsia="zh-CN"/>
              </w:rPr>
              <w:t>，满足任意一个</w:t>
            </w:r>
            <w:r>
              <w:rPr>
                <w:rFonts w:hint="eastAsia" w:ascii="仿宋" w:hAnsi="仿宋" w:eastAsia="仿宋" w:cs="仿宋"/>
                <w:color w:val="auto"/>
                <w:sz w:val="24"/>
                <w:szCs w:val="24"/>
                <w:highlight w:val="none"/>
              </w:rPr>
              <w:t>证书得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分，本项最高得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14:paraId="6B9B895C">
            <w:pPr>
              <w:shd w:val="clear" w:color="auto" w:fill="FFFFFF"/>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评审依据：投标文件中</w:t>
            </w:r>
            <w:r>
              <w:rPr>
                <w:rFonts w:hint="eastAsia" w:ascii="仿宋" w:hAnsi="仿宋" w:eastAsia="仿宋" w:cs="仿宋"/>
                <w:b/>
                <w:bCs/>
                <w:color w:val="auto"/>
                <w:sz w:val="24"/>
                <w:szCs w:val="24"/>
                <w:highlight w:val="none"/>
                <w:lang w:val="en-US" w:eastAsia="zh-CN"/>
              </w:rPr>
              <w:t>须</w:t>
            </w:r>
            <w:r>
              <w:rPr>
                <w:rFonts w:hint="eastAsia" w:ascii="仿宋" w:hAnsi="仿宋" w:eastAsia="仿宋" w:cs="仿宋"/>
                <w:b/>
                <w:bCs/>
                <w:color w:val="auto"/>
                <w:sz w:val="24"/>
                <w:szCs w:val="24"/>
                <w:highlight w:val="none"/>
              </w:rPr>
              <w:t>提供证书原件扫描件及国家认证认可监督管理委员会官网查询结果截图，否则不得分</w:t>
            </w:r>
          </w:p>
        </w:tc>
        <w:tc>
          <w:tcPr>
            <w:tcW w:w="391" w:type="pct"/>
            <w:tcBorders>
              <w:top w:val="single" w:color="auto" w:sz="4" w:space="0"/>
              <w:left w:val="single" w:color="auto" w:sz="4" w:space="0"/>
              <w:bottom w:val="single" w:color="auto" w:sz="4" w:space="0"/>
              <w:right w:val="single" w:color="auto" w:sz="4" w:space="0"/>
            </w:tcBorders>
            <w:vAlign w:val="center"/>
          </w:tcPr>
          <w:p w14:paraId="2A147388">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4分</w:t>
            </w:r>
          </w:p>
        </w:tc>
      </w:tr>
      <w:tr w14:paraId="5EAD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pct"/>
            <w:tcBorders>
              <w:top w:val="single" w:color="auto" w:sz="4" w:space="0"/>
              <w:left w:val="single" w:color="auto" w:sz="4" w:space="0"/>
              <w:bottom w:val="single" w:color="auto" w:sz="4" w:space="0"/>
              <w:right w:val="single" w:color="auto" w:sz="4" w:space="0"/>
            </w:tcBorders>
            <w:shd w:val="clear" w:color="auto" w:fill="auto"/>
            <w:vAlign w:val="center"/>
          </w:tcPr>
          <w:p w14:paraId="2F4A44F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售后服务</w:t>
            </w:r>
          </w:p>
        </w:tc>
        <w:tc>
          <w:tcPr>
            <w:tcW w:w="3822" w:type="pct"/>
            <w:tcBorders>
              <w:top w:val="single" w:color="auto" w:sz="4" w:space="0"/>
              <w:left w:val="single" w:color="auto" w:sz="4" w:space="0"/>
              <w:bottom w:val="single" w:color="auto" w:sz="4" w:space="0"/>
              <w:right w:val="single" w:color="auto" w:sz="4" w:space="0"/>
            </w:tcBorders>
            <w:shd w:val="clear" w:color="auto" w:fill="auto"/>
            <w:vAlign w:val="center"/>
          </w:tcPr>
          <w:p w14:paraId="03F4CCB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eastAsia="zh-CN"/>
              </w:rPr>
              <w:t>：①服务解决方案②解决问题的及时性③安全保密性等方案内容，未提供不得分。</w:t>
            </w:r>
            <w:r>
              <w:rPr>
                <w:rFonts w:hint="eastAsia" w:ascii="仿宋" w:hAnsi="仿宋" w:eastAsia="仿宋" w:cs="仿宋"/>
                <w:color w:val="auto"/>
                <w:sz w:val="24"/>
                <w:highlight w:val="none"/>
                <w:lang w:val="en-US" w:eastAsia="zh-CN" w:bidi="ar"/>
              </w:rPr>
              <w:t>投标供应商项目实施方案中</w:t>
            </w:r>
            <w:r>
              <w:rPr>
                <w:rFonts w:hint="eastAsia" w:ascii="仿宋" w:hAnsi="仿宋" w:eastAsia="仿宋" w:cs="仿宋"/>
                <w:color w:val="auto"/>
                <w:sz w:val="24"/>
                <w:highlight w:val="none"/>
                <w:lang w:bidi="ar"/>
              </w:rPr>
              <w:t>每</w:t>
            </w:r>
            <w:r>
              <w:rPr>
                <w:rFonts w:hint="eastAsia" w:ascii="仿宋" w:hAnsi="仿宋" w:eastAsia="仿宋" w:cs="仿宋"/>
                <w:color w:val="auto"/>
                <w:sz w:val="24"/>
                <w:highlight w:val="none"/>
                <w:lang w:val="en-US" w:eastAsia="zh-CN" w:bidi="ar"/>
              </w:rPr>
              <w:t>包含上述</w:t>
            </w:r>
            <w:r>
              <w:rPr>
                <w:rFonts w:hint="eastAsia" w:ascii="仿宋" w:hAnsi="仿宋" w:eastAsia="仿宋" w:cs="仿宋"/>
                <w:color w:val="auto"/>
                <w:sz w:val="24"/>
                <w:highlight w:val="none"/>
                <w:lang w:bidi="ar"/>
              </w:rPr>
              <w:t>小项得</w:t>
            </w:r>
            <w:r>
              <w:rPr>
                <w:rFonts w:hint="eastAsia" w:ascii="仿宋" w:hAnsi="仿宋" w:eastAsia="仿宋" w:cs="仿宋"/>
                <w:color w:val="auto"/>
                <w:sz w:val="24"/>
                <w:highlight w:val="none"/>
                <w:lang w:val="en-US" w:eastAsia="zh-CN" w:bidi="ar"/>
              </w:rPr>
              <w:t>1</w:t>
            </w:r>
            <w:r>
              <w:rPr>
                <w:rFonts w:hint="eastAsia" w:ascii="仿宋" w:hAnsi="仿宋" w:eastAsia="仿宋" w:cs="仿宋"/>
                <w:color w:val="auto"/>
                <w:sz w:val="24"/>
                <w:highlight w:val="none"/>
                <w:lang w:bidi="ar"/>
              </w:rPr>
              <w:t>分；</w:t>
            </w:r>
            <w:r>
              <w:rPr>
                <w:rFonts w:hint="eastAsia" w:ascii="仿宋" w:hAnsi="仿宋" w:eastAsia="仿宋" w:cs="仿宋"/>
                <w:color w:val="auto"/>
                <w:sz w:val="24"/>
                <w:highlight w:val="none"/>
                <w:lang w:val="en-US" w:eastAsia="zh-CN" w:bidi="ar"/>
              </w:rPr>
              <w:t xml:space="preserve">满分3分。 </w:t>
            </w:r>
            <w:r>
              <w:rPr>
                <w:rFonts w:hint="eastAsia" w:ascii="仿宋" w:hAnsi="仿宋" w:eastAsia="仿宋" w:cs="仿宋"/>
                <w:b/>
                <w:bCs/>
                <w:color w:val="auto"/>
                <w:sz w:val="24"/>
                <w:szCs w:val="24"/>
                <w:highlight w:val="none"/>
              </w:rPr>
              <w:t>评审依据：售后服务</w:t>
            </w:r>
            <w:r>
              <w:rPr>
                <w:rFonts w:hint="eastAsia" w:ascii="仿宋" w:hAnsi="仿宋" w:eastAsia="仿宋" w:cs="仿宋"/>
                <w:b/>
                <w:bCs/>
                <w:color w:val="auto"/>
                <w:sz w:val="24"/>
                <w:highlight w:val="none"/>
                <w:lang w:bidi="ar"/>
              </w:rPr>
              <w:t>方案</w:t>
            </w:r>
            <w:r>
              <w:rPr>
                <w:rFonts w:hint="eastAsia" w:ascii="仿宋" w:hAnsi="仿宋" w:eastAsia="仿宋" w:cs="仿宋"/>
                <w:b/>
                <w:bCs/>
                <w:color w:val="auto"/>
                <w:sz w:val="24"/>
                <w:szCs w:val="24"/>
                <w:highlight w:val="none"/>
              </w:rPr>
              <w:t>加盖公章。</w:t>
            </w:r>
          </w:p>
          <w:p w14:paraId="53854E33">
            <w:pPr>
              <w:keepNext w:val="0"/>
              <w:keepLines w:val="0"/>
              <w:pageBreakBefore w:val="0"/>
              <w:widowControl w:val="0"/>
              <w:numPr>
                <w:ilvl w:val="0"/>
                <w:numId w:val="3"/>
              </w:numPr>
              <w:kinsoku/>
              <w:wordWrap/>
              <w:overflowPunct/>
              <w:topLinePunct w:val="0"/>
              <w:autoSpaceDE/>
              <w:autoSpaceDN/>
              <w:bidi w:val="0"/>
              <w:adjustRightInd w:val="0"/>
              <w:snapToGrid/>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在满足招标文件要求</w:t>
            </w:r>
            <w:r>
              <w:rPr>
                <w:rFonts w:hint="eastAsia" w:ascii="仿宋" w:hAnsi="仿宋" w:eastAsia="仿宋" w:cs="仿宋"/>
                <w:color w:val="auto"/>
                <w:sz w:val="24"/>
                <w:szCs w:val="24"/>
                <w:highlight w:val="none"/>
                <w:lang w:eastAsia="zh-CN"/>
              </w:rPr>
              <w:t>质保</w:t>
            </w:r>
            <w:r>
              <w:rPr>
                <w:rFonts w:hint="eastAsia" w:ascii="仿宋" w:hAnsi="仿宋" w:eastAsia="仿宋" w:cs="仿宋"/>
                <w:color w:val="auto"/>
                <w:sz w:val="24"/>
                <w:szCs w:val="24"/>
                <w:highlight w:val="none"/>
                <w:lang w:val="en-US" w:eastAsia="zh-CN"/>
              </w:rPr>
              <w:t>期（二年）前提下，硬件、软件</w:t>
            </w:r>
            <w:r>
              <w:rPr>
                <w:rFonts w:hint="eastAsia" w:ascii="仿宋" w:hAnsi="仿宋" w:eastAsia="仿宋" w:cs="仿宋"/>
                <w:color w:val="auto"/>
                <w:sz w:val="24"/>
                <w:szCs w:val="24"/>
                <w:highlight w:val="none"/>
                <w:lang w:eastAsia="zh-CN"/>
              </w:rPr>
              <w:t>每</w:t>
            </w:r>
            <w:r>
              <w:rPr>
                <w:rFonts w:hint="eastAsia" w:ascii="仿宋" w:hAnsi="仿宋" w:eastAsia="仿宋" w:cs="仿宋"/>
                <w:color w:val="auto"/>
                <w:sz w:val="24"/>
                <w:szCs w:val="24"/>
                <w:highlight w:val="none"/>
                <w:lang w:val="en-US" w:eastAsia="zh-CN"/>
              </w:rPr>
              <w:t>增</w:t>
            </w:r>
            <w:r>
              <w:rPr>
                <w:rFonts w:hint="eastAsia" w:ascii="仿宋" w:hAnsi="仿宋" w:eastAsia="仿宋" w:cs="仿宋"/>
                <w:color w:val="auto"/>
                <w:sz w:val="24"/>
                <w:szCs w:val="24"/>
                <w:highlight w:val="none"/>
                <w:lang w:eastAsia="zh-CN"/>
              </w:rPr>
              <w:t>加一年质保</w:t>
            </w:r>
            <w:r>
              <w:rPr>
                <w:rFonts w:hint="eastAsia" w:ascii="仿宋" w:hAnsi="仿宋" w:eastAsia="仿宋" w:cs="仿宋"/>
                <w:color w:val="auto"/>
                <w:sz w:val="24"/>
                <w:szCs w:val="24"/>
                <w:highlight w:val="none"/>
                <w:lang w:val="en-US" w:eastAsia="zh-CN"/>
              </w:rPr>
              <w:t>期得1分，最多得3分；</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DBF8FA4">
            <w:pPr>
              <w:jc w:val="center"/>
              <w:rPr>
                <w:rFonts w:hint="default" w:ascii="宋体" w:hAnsi="宋体" w:eastAsia="宋体" w:cs="宋体"/>
                <w:color w:val="auto"/>
                <w:kern w:val="2"/>
                <w:sz w:val="21"/>
                <w:highlight w:val="none"/>
                <w:lang w:val="en-US" w:eastAsia="zh-CN" w:bidi="ar-SA"/>
              </w:rPr>
            </w:pPr>
            <w:r>
              <w:rPr>
                <w:rFonts w:hint="eastAsia" w:ascii="宋体" w:hAnsi="宋体" w:cs="宋体"/>
                <w:color w:val="auto"/>
                <w:highlight w:val="none"/>
                <w:lang w:val="en-US" w:eastAsia="zh-CN"/>
              </w:rPr>
              <w:t>6分</w:t>
            </w:r>
          </w:p>
        </w:tc>
      </w:tr>
    </w:tbl>
    <w:p w14:paraId="606D7E8E">
      <w:pPr>
        <w:rPr>
          <w:color w:val="auto"/>
          <w:highlight w:val="none"/>
        </w:rPr>
      </w:pPr>
      <w:r>
        <w:rPr>
          <w:color w:val="auto"/>
          <w:highlight w:val="none"/>
        </w:rPr>
        <w:br w:type="page"/>
      </w:r>
    </w:p>
    <w:p w14:paraId="41BECB3E">
      <w:pPr>
        <w:jc w:val="center"/>
        <w:rPr>
          <w:rFonts w:hint="default" w:eastAsiaTheme="minorEastAsia"/>
          <w:color w:val="auto"/>
          <w:sz w:val="30"/>
          <w:szCs w:val="30"/>
          <w:highlight w:val="none"/>
          <w:lang w:val="en-US" w:eastAsia="zh-CN"/>
        </w:rPr>
      </w:pPr>
      <w:r>
        <w:rPr>
          <w:rFonts w:hint="eastAsia"/>
          <w:color w:val="auto"/>
          <w:sz w:val="30"/>
          <w:szCs w:val="30"/>
          <w:highlight w:val="none"/>
          <w:lang w:val="en-US" w:eastAsia="zh-CN"/>
        </w:rPr>
        <w:t>商务条款</w:t>
      </w:r>
    </w:p>
    <w:p w14:paraId="1F8814D5">
      <w:pPr>
        <w:numPr>
          <w:ilvl w:val="0"/>
          <w:numId w:val="4"/>
        </w:numPr>
        <w:rPr>
          <w:rFonts w:hint="eastAsia"/>
          <w:color w:val="auto"/>
          <w:sz w:val="30"/>
          <w:szCs w:val="30"/>
          <w:highlight w:val="none"/>
        </w:rPr>
      </w:pPr>
      <w:r>
        <w:rPr>
          <w:rFonts w:hint="eastAsia"/>
          <w:color w:val="auto"/>
          <w:sz w:val="30"/>
          <w:szCs w:val="30"/>
          <w:highlight w:val="none"/>
        </w:rPr>
        <w:t>完工及投入运行使用时间：自签订合</w:t>
      </w:r>
      <w:r>
        <w:rPr>
          <w:rFonts w:hint="eastAsia"/>
          <w:color w:val="auto"/>
          <w:sz w:val="30"/>
          <w:szCs w:val="30"/>
          <w:highlight w:val="none"/>
          <w:lang w:eastAsia="zh-CN"/>
        </w:rPr>
        <w:t>同后</w:t>
      </w:r>
      <w:r>
        <w:rPr>
          <w:rFonts w:hint="eastAsia"/>
          <w:color w:val="auto"/>
          <w:sz w:val="30"/>
          <w:szCs w:val="30"/>
          <w:highlight w:val="none"/>
          <w:lang w:val="en-US" w:eastAsia="zh-CN"/>
        </w:rPr>
        <w:t>30天</w:t>
      </w:r>
      <w:r>
        <w:rPr>
          <w:rFonts w:hint="eastAsia"/>
          <w:color w:val="auto"/>
          <w:sz w:val="30"/>
          <w:szCs w:val="30"/>
          <w:highlight w:val="none"/>
        </w:rPr>
        <w:t>完工并投入运行使用。</w:t>
      </w:r>
    </w:p>
    <w:p w14:paraId="1B11CE61">
      <w:pPr>
        <w:numPr>
          <w:ilvl w:val="0"/>
          <w:numId w:val="0"/>
        </w:numPr>
        <w:ind w:firstLine="600" w:firstLineChars="200"/>
        <w:rPr>
          <w:rFonts w:hint="eastAsia" w:eastAsiaTheme="minorEastAsia"/>
          <w:color w:val="auto"/>
          <w:sz w:val="30"/>
          <w:szCs w:val="30"/>
          <w:highlight w:val="none"/>
          <w:lang w:eastAsia="zh-CN"/>
        </w:rPr>
      </w:pPr>
      <w:r>
        <w:rPr>
          <w:rFonts w:hint="eastAsia"/>
          <w:color w:val="auto"/>
          <w:sz w:val="30"/>
          <w:szCs w:val="30"/>
          <w:highlight w:val="none"/>
        </w:rPr>
        <w:t>本项目合同总价包括为完成合同项目所需的一切费用，包括但不限于：项目全过程费用、人工费、材料费、培训费、交通费、通讯费、保险费、差旅费、管理费、利润各项税费及合同实施过程中不可预见费用等</w:t>
      </w:r>
      <w:r>
        <w:rPr>
          <w:rFonts w:hint="eastAsia"/>
          <w:color w:val="auto"/>
          <w:sz w:val="30"/>
          <w:szCs w:val="30"/>
          <w:highlight w:val="none"/>
          <w:lang w:eastAsia="zh-CN"/>
        </w:rPr>
        <w:t>。</w:t>
      </w:r>
    </w:p>
    <w:p w14:paraId="277C6F51">
      <w:pPr>
        <w:rPr>
          <w:rFonts w:hint="eastAsia"/>
          <w:color w:val="auto"/>
          <w:sz w:val="30"/>
          <w:szCs w:val="30"/>
          <w:highlight w:val="none"/>
        </w:rPr>
      </w:pPr>
      <w:r>
        <w:rPr>
          <w:rFonts w:hint="eastAsia"/>
          <w:color w:val="auto"/>
          <w:sz w:val="30"/>
          <w:szCs w:val="30"/>
          <w:highlight w:val="none"/>
        </w:rPr>
        <w:t>2、交付地点：</w:t>
      </w:r>
      <w:r>
        <w:rPr>
          <w:rFonts w:hint="eastAsia"/>
          <w:color w:val="auto"/>
          <w:sz w:val="30"/>
          <w:szCs w:val="30"/>
          <w:highlight w:val="none"/>
          <w:lang w:eastAsia="zh-CN"/>
        </w:rPr>
        <w:t>上饶市瑞达环保投资有限公司</w:t>
      </w:r>
      <w:r>
        <w:rPr>
          <w:rFonts w:hint="eastAsia"/>
          <w:color w:val="auto"/>
          <w:sz w:val="30"/>
          <w:szCs w:val="30"/>
          <w:highlight w:val="none"/>
        </w:rPr>
        <w:t>。</w:t>
      </w:r>
    </w:p>
    <w:p w14:paraId="386E5DF2">
      <w:pPr>
        <w:rPr>
          <w:rFonts w:hint="eastAsia"/>
          <w:color w:val="auto"/>
          <w:sz w:val="30"/>
          <w:szCs w:val="30"/>
          <w:highlight w:val="none"/>
        </w:rPr>
      </w:pPr>
      <w:r>
        <w:rPr>
          <w:rFonts w:hint="eastAsia"/>
          <w:color w:val="auto"/>
          <w:sz w:val="30"/>
          <w:szCs w:val="30"/>
          <w:highlight w:val="none"/>
        </w:rPr>
        <w:t>3、付款进度和方式：基础数据平台验收完成后支付合同金额的30%，项目全部验收合格后支付</w:t>
      </w:r>
      <w:r>
        <w:rPr>
          <w:rFonts w:hint="eastAsia"/>
          <w:color w:val="auto"/>
          <w:sz w:val="30"/>
          <w:szCs w:val="30"/>
          <w:highlight w:val="none"/>
          <w:lang w:val="en-US" w:eastAsia="zh-CN"/>
        </w:rPr>
        <w:t>至</w:t>
      </w:r>
      <w:r>
        <w:rPr>
          <w:rFonts w:hint="eastAsia"/>
          <w:color w:val="auto"/>
          <w:sz w:val="30"/>
          <w:szCs w:val="30"/>
          <w:highlight w:val="none"/>
        </w:rPr>
        <w:t>合同金额的</w:t>
      </w:r>
      <w:r>
        <w:rPr>
          <w:rFonts w:hint="eastAsia"/>
          <w:color w:val="auto"/>
          <w:sz w:val="30"/>
          <w:szCs w:val="30"/>
          <w:highlight w:val="none"/>
          <w:lang w:val="en-US" w:eastAsia="zh-CN"/>
        </w:rPr>
        <w:t>7</w:t>
      </w:r>
      <w:r>
        <w:rPr>
          <w:rFonts w:hint="eastAsia"/>
          <w:color w:val="auto"/>
          <w:sz w:val="30"/>
          <w:szCs w:val="30"/>
          <w:highlight w:val="none"/>
        </w:rPr>
        <w:t>0%，剩余合同金额的30%在运维期中按季度分别支付。</w:t>
      </w:r>
    </w:p>
    <w:p w14:paraId="5CAE2268">
      <w:pPr>
        <w:rPr>
          <w:rFonts w:hint="eastAsia"/>
          <w:color w:val="auto"/>
          <w:sz w:val="30"/>
          <w:szCs w:val="30"/>
          <w:highlight w:val="none"/>
        </w:rPr>
      </w:pPr>
      <w:r>
        <w:rPr>
          <w:rFonts w:hint="eastAsia"/>
          <w:color w:val="auto"/>
          <w:sz w:val="30"/>
          <w:szCs w:val="30"/>
          <w:highlight w:val="none"/>
          <w:lang w:val="en-US" w:eastAsia="zh-CN"/>
        </w:rPr>
        <w:t>4</w:t>
      </w:r>
      <w:r>
        <w:rPr>
          <w:rFonts w:hint="eastAsia"/>
          <w:color w:val="auto"/>
          <w:sz w:val="30"/>
          <w:szCs w:val="30"/>
          <w:highlight w:val="none"/>
        </w:rPr>
        <w:t>、质保期：所投产品质保期均为</w:t>
      </w:r>
      <w:r>
        <w:rPr>
          <w:rFonts w:hint="eastAsia"/>
          <w:color w:val="auto"/>
          <w:sz w:val="30"/>
          <w:szCs w:val="30"/>
          <w:highlight w:val="none"/>
          <w:lang w:val="en-US" w:eastAsia="zh-CN"/>
        </w:rPr>
        <w:t>二</w:t>
      </w:r>
      <w:r>
        <w:rPr>
          <w:rFonts w:hint="eastAsia"/>
          <w:color w:val="auto"/>
          <w:sz w:val="30"/>
          <w:szCs w:val="30"/>
          <w:highlight w:val="none"/>
        </w:rPr>
        <w:t>年，质保期开始时间为终验合格之日起。在质保期内，因产品质量问题,中标人将负责修复</w:t>
      </w:r>
      <w:r>
        <w:rPr>
          <w:rFonts w:hint="eastAsia"/>
          <w:color w:val="auto"/>
          <w:sz w:val="30"/>
          <w:szCs w:val="30"/>
          <w:highlight w:val="none"/>
          <w:lang w:eastAsia="zh-CN"/>
        </w:rPr>
        <w:t>（</w:t>
      </w:r>
      <w:r>
        <w:rPr>
          <w:rFonts w:hint="eastAsia"/>
          <w:color w:val="auto"/>
          <w:sz w:val="30"/>
          <w:szCs w:val="30"/>
          <w:highlight w:val="none"/>
        </w:rPr>
        <w:t>修复</w:t>
      </w:r>
      <w:r>
        <w:rPr>
          <w:rFonts w:hint="eastAsia"/>
          <w:color w:val="auto"/>
          <w:sz w:val="30"/>
          <w:szCs w:val="30"/>
          <w:highlight w:val="none"/>
          <w:lang w:eastAsia="zh-CN"/>
        </w:rPr>
        <w:t>期间提供备用设备，保障设备运行）</w:t>
      </w:r>
      <w:r>
        <w:rPr>
          <w:rFonts w:hint="eastAsia"/>
          <w:color w:val="auto"/>
          <w:sz w:val="30"/>
          <w:szCs w:val="30"/>
          <w:highlight w:val="none"/>
        </w:rPr>
        <w:t>或更换因产品质量问题引起的任何缺陷或故障，且不得收取任何费用。</w:t>
      </w:r>
    </w:p>
    <w:p w14:paraId="22A974FE">
      <w:pPr>
        <w:rPr>
          <w:rFonts w:hint="eastAsia"/>
          <w:color w:val="auto"/>
          <w:sz w:val="30"/>
          <w:szCs w:val="30"/>
          <w:highlight w:val="none"/>
        </w:rPr>
      </w:pPr>
      <w:r>
        <w:rPr>
          <w:rFonts w:hint="eastAsia"/>
          <w:color w:val="auto"/>
          <w:sz w:val="30"/>
          <w:szCs w:val="30"/>
          <w:highlight w:val="none"/>
          <w:lang w:val="en-US" w:eastAsia="zh-CN"/>
        </w:rPr>
        <w:t>5</w:t>
      </w:r>
      <w:r>
        <w:rPr>
          <w:rFonts w:hint="eastAsia"/>
          <w:color w:val="auto"/>
          <w:sz w:val="30"/>
          <w:szCs w:val="30"/>
          <w:highlight w:val="none"/>
        </w:rPr>
        <w:t>、运维期限：中标人提供为期</w:t>
      </w:r>
      <w:r>
        <w:rPr>
          <w:rFonts w:hint="eastAsia"/>
          <w:color w:val="auto"/>
          <w:sz w:val="30"/>
          <w:szCs w:val="30"/>
          <w:highlight w:val="none"/>
          <w:lang w:val="en-US" w:eastAsia="zh-CN"/>
        </w:rPr>
        <w:t>二</w:t>
      </w:r>
      <w:r>
        <w:rPr>
          <w:rFonts w:hint="eastAsia"/>
          <w:color w:val="auto"/>
          <w:sz w:val="30"/>
          <w:szCs w:val="30"/>
          <w:highlight w:val="none"/>
        </w:rPr>
        <w:t>年的免费运维服务，运维期开始时间为终验合格之日起。</w:t>
      </w:r>
    </w:p>
    <w:p w14:paraId="4413B0C1">
      <w:pPr>
        <w:rPr>
          <w:rFonts w:hint="eastAsia" w:eastAsiaTheme="minorEastAsia"/>
          <w:color w:val="auto"/>
          <w:sz w:val="30"/>
          <w:szCs w:val="30"/>
          <w:highlight w:val="none"/>
          <w:lang w:eastAsia="zh-CN"/>
        </w:rPr>
      </w:pPr>
      <w:r>
        <w:rPr>
          <w:rFonts w:hint="eastAsia"/>
          <w:color w:val="auto"/>
          <w:sz w:val="30"/>
          <w:szCs w:val="30"/>
          <w:highlight w:val="none"/>
          <w:lang w:val="en-US" w:eastAsia="zh-CN"/>
        </w:rPr>
        <w:t>6</w:t>
      </w:r>
      <w:r>
        <w:rPr>
          <w:rFonts w:hint="eastAsia"/>
          <w:color w:val="auto"/>
          <w:sz w:val="30"/>
          <w:szCs w:val="30"/>
          <w:highlight w:val="none"/>
        </w:rPr>
        <w:t>、项目验收：合同签订后，中标人在规定的时间内完成实施后提交验收申请，使用部门在接到验收申请后安排人员对项目进行验收</w:t>
      </w:r>
      <w:r>
        <w:rPr>
          <w:rFonts w:hint="eastAsia"/>
          <w:color w:val="auto"/>
          <w:sz w:val="30"/>
          <w:szCs w:val="30"/>
          <w:highlight w:val="none"/>
          <w:lang w:eastAsia="zh-CN"/>
        </w:rPr>
        <w:t>。</w:t>
      </w:r>
    </w:p>
    <w:p w14:paraId="252F732F">
      <w:pPr>
        <w:rPr>
          <w:rFonts w:hint="eastAsia"/>
          <w:color w:val="auto"/>
          <w:sz w:val="30"/>
          <w:szCs w:val="30"/>
          <w:highlight w:val="none"/>
        </w:rPr>
      </w:pPr>
      <w:r>
        <w:rPr>
          <w:rFonts w:hint="eastAsia"/>
          <w:color w:val="auto"/>
          <w:sz w:val="30"/>
          <w:szCs w:val="30"/>
          <w:highlight w:val="none"/>
          <w:lang w:val="en-US" w:eastAsia="zh-CN"/>
        </w:rPr>
        <w:t>7</w:t>
      </w:r>
      <w:r>
        <w:rPr>
          <w:rFonts w:hint="eastAsia"/>
          <w:color w:val="auto"/>
          <w:sz w:val="30"/>
          <w:szCs w:val="30"/>
          <w:highlight w:val="none"/>
        </w:rPr>
        <w:t>、核心技术团队及驻场服务：</w:t>
      </w:r>
      <w:r>
        <w:rPr>
          <w:rFonts w:hint="eastAsia"/>
          <w:color w:val="auto"/>
          <w:sz w:val="30"/>
          <w:szCs w:val="30"/>
          <w:highlight w:val="none"/>
          <w:lang w:val="en-US" w:eastAsia="zh-CN"/>
        </w:rPr>
        <w:t>①</w:t>
      </w:r>
      <w:r>
        <w:rPr>
          <w:rFonts w:hint="eastAsia"/>
          <w:color w:val="auto"/>
          <w:sz w:val="30"/>
          <w:szCs w:val="30"/>
          <w:highlight w:val="none"/>
        </w:rPr>
        <w:t>项目负责人</w:t>
      </w:r>
      <w:r>
        <w:rPr>
          <w:rFonts w:hint="eastAsia"/>
          <w:color w:val="auto"/>
          <w:sz w:val="30"/>
          <w:szCs w:val="30"/>
          <w:highlight w:val="none"/>
          <w:lang w:val="en-US" w:eastAsia="zh-CN"/>
        </w:rPr>
        <w:t>具有（信息系统项目管理师或系统集成项目管理工程师或电子信息光电子技术专业职称）；②技术负责人具有（测绘地理信息类（高级）职称证书或注册测绘师证书或系统规划与管理师或给排水高级工程师）；③</w:t>
      </w:r>
      <w:r>
        <w:rPr>
          <w:rFonts w:hint="eastAsia"/>
          <w:color w:val="auto"/>
          <w:sz w:val="30"/>
          <w:szCs w:val="30"/>
          <w:highlight w:val="none"/>
        </w:rPr>
        <w:t>投标人为该项目拟投入的核心技术团队人员不少于5人</w:t>
      </w:r>
      <w:r>
        <w:rPr>
          <w:rFonts w:hint="eastAsia"/>
          <w:color w:val="auto"/>
          <w:sz w:val="30"/>
          <w:szCs w:val="30"/>
          <w:highlight w:val="none"/>
          <w:lang w:eastAsia="zh-CN"/>
        </w:rPr>
        <w:t>（</w:t>
      </w:r>
      <w:r>
        <w:rPr>
          <w:rFonts w:hint="eastAsia"/>
          <w:color w:val="auto"/>
          <w:sz w:val="30"/>
          <w:szCs w:val="30"/>
          <w:highlight w:val="none"/>
          <w:lang w:val="en-US" w:eastAsia="zh-CN"/>
        </w:rPr>
        <w:t>不包含</w:t>
      </w:r>
      <w:r>
        <w:rPr>
          <w:rFonts w:hint="eastAsia"/>
          <w:color w:val="auto"/>
          <w:sz w:val="30"/>
          <w:szCs w:val="30"/>
          <w:highlight w:val="none"/>
        </w:rPr>
        <w:t>项目负责人</w:t>
      </w:r>
      <w:r>
        <w:rPr>
          <w:rFonts w:hint="eastAsia"/>
          <w:color w:val="auto"/>
          <w:sz w:val="30"/>
          <w:szCs w:val="30"/>
          <w:highlight w:val="none"/>
          <w:lang w:val="en-US" w:eastAsia="zh-CN"/>
        </w:rPr>
        <w:t>和技术负责人</w:t>
      </w:r>
      <w:r>
        <w:rPr>
          <w:rFonts w:hint="eastAsia"/>
          <w:color w:val="auto"/>
          <w:sz w:val="30"/>
          <w:szCs w:val="30"/>
          <w:highlight w:val="none"/>
          <w:lang w:eastAsia="zh-CN"/>
        </w:rPr>
        <w:t>）</w:t>
      </w:r>
      <w:r>
        <w:rPr>
          <w:rFonts w:hint="eastAsia"/>
          <w:color w:val="auto"/>
          <w:sz w:val="30"/>
          <w:szCs w:val="30"/>
          <w:highlight w:val="none"/>
        </w:rPr>
        <w:t>；在合同履约期与运维期中，经采购人与投标人商讨技术团队人员工作安排后，根据项目阶段实际需求，投标人至少提供3名为该项目拟投入的核心技术团队人员进行驻场服务，所有驻场人员须接受采购人的每日考勤制度及相关工作调度，要求每天在采购人指定地点打卡，驻场人员未经采购人允许不得擅自变更人员。</w:t>
      </w:r>
    </w:p>
    <w:p w14:paraId="60A4C313">
      <w:pPr>
        <w:rPr>
          <w:rFonts w:hint="eastAsia"/>
          <w:color w:val="auto"/>
          <w:sz w:val="30"/>
          <w:szCs w:val="30"/>
          <w:highlight w:val="none"/>
        </w:rPr>
      </w:pPr>
      <w:r>
        <w:rPr>
          <w:rFonts w:hint="eastAsia"/>
          <w:color w:val="auto"/>
          <w:sz w:val="30"/>
          <w:szCs w:val="30"/>
          <w:highlight w:val="none"/>
          <w:lang w:val="en-US" w:eastAsia="zh-CN"/>
        </w:rPr>
        <w:t>8</w:t>
      </w:r>
      <w:r>
        <w:rPr>
          <w:rFonts w:hint="eastAsia"/>
          <w:color w:val="auto"/>
          <w:sz w:val="30"/>
          <w:szCs w:val="30"/>
          <w:highlight w:val="none"/>
        </w:rPr>
        <w:t>、售后响应：</w:t>
      </w:r>
    </w:p>
    <w:p w14:paraId="14B9C2A3">
      <w:pPr>
        <w:rPr>
          <w:rFonts w:hint="eastAsia"/>
          <w:color w:val="auto"/>
          <w:sz w:val="30"/>
          <w:szCs w:val="30"/>
          <w:highlight w:val="none"/>
        </w:rPr>
      </w:pPr>
      <w:r>
        <w:rPr>
          <w:rFonts w:hint="eastAsia"/>
          <w:color w:val="auto"/>
          <w:sz w:val="30"/>
          <w:szCs w:val="30"/>
          <w:highlight w:val="none"/>
        </w:rPr>
        <w:t>（1）质保期内，中标人提供7*24小时在线技术支持与服务，当出现故障后应在2小时内响应，24小时内赶到现场并解决问题，并确保采购人硬件及软件产品恢复正常。质保期内，若中标人怠于履行前述保修义务的，采购人可另请其他方代为履行，由此产生的一切费用由中标人承担，采购人可不经中标人同意，直接扣划履约保证金冲抵，履约保证金不足以冲抵该笔费用的，采购人有权向中标人追索。</w:t>
      </w:r>
    </w:p>
    <w:p w14:paraId="22963FB3">
      <w:pPr>
        <w:rPr>
          <w:rFonts w:hint="eastAsia"/>
          <w:color w:val="auto"/>
          <w:sz w:val="30"/>
          <w:szCs w:val="30"/>
          <w:highlight w:val="none"/>
        </w:rPr>
      </w:pPr>
      <w:r>
        <w:rPr>
          <w:rFonts w:hint="eastAsia"/>
          <w:color w:val="auto"/>
          <w:sz w:val="30"/>
          <w:szCs w:val="30"/>
          <w:highlight w:val="none"/>
        </w:rPr>
        <w:t>（2）超出质保期范围后，中标人对所售出的产品提供有偿售后服务，服务价格及零配件价格不得高于市场价，具体价格由使用部门和中标人进行商议。</w:t>
      </w:r>
    </w:p>
    <w:p w14:paraId="5A151C96">
      <w:pPr>
        <w:rPr>
          <w:rFonts w:hint="eastAsia"/>
          <w:color w:val="auto"/>
          <w:sz w:val="30"/>
          <w:szCs w:val="30"/>
          <w:highlight w:val="none"/>
          <w:lang w:val="en-US" w:eastAsia="zh-CN"/>
        </w:rPr>
      </w:pPr>
      <w:r>
        <w:rPr>
          <w:rFonts w:hint="eastAsia"/>
          <w:color w:val="auto"/>
          <w:sz w:val="30"/>
          <w:szCs w:val="30"/>
          <w:highlight w:val="none"/>
          <w:lang w:eastAsia="zh-CN"/>
        </w:rPr>
        <w:t>（</w:t>
      </w:r>
      <w:r>
        <w:rPr>
          <w:rFonts w:hint="eastAsia"/>
          <w:color w:val="auto"/>
          <w:sz w:val="30"/>
          <w:szCs w:val="30"/>
          <w:highlight w:val="none"/>
          <w:lang w:val="en-US" w:eastAsia="zh-CN"/>
        </w:rPr>
        <w:t>3</w:t>
      </w:r>
      <w:r>
        <w:rPr>
          <w:rFonts w:hint="eastAsia"/>
          <w:color w:val="auto"/>
          <w:sz w:val="30"/>
          <w:szCs w:val="30"/>
          <w:highlight w:val="none"/>
          <w:lang w:eastAsia="zh-CN"/>
        </w:rPr>
        <w:t>）</w:t>
      </w:r>
      <w:r>
        <w:rPr>
          <w:rFonts w:hint="eastAsia"/>
          <w:color w:val="auto"/>
          <w:sz w:val="30"/>
          <w:szCs w:val="30"/>
          <w:highlight w:val="none"/>
        </w:rPr>
        <w:t>中标人免费提供为期</w:t>
      </w:r>
      <w:r>
        <w:rPr>
          <w:rFonts w:hint="eastAsia"/>
          <w:color w:val="auto"/>
          <w:sz w:val="30"/>
          <w:szCs w:val="30"/>
          <w:highlight w:val="none"/>
          <w:lang w:val="en-US" w:eastAsia="zh-CN"/>
        </w:rPr>
        <w:t>三</w:t>
      </w:r>
      <w:r>
        <w:rPr>
          <w:rFonts w:hint="eastAsia"/>
          <w:color w:val="auto"/>
          <w:sz w:val="30"/>
          <w:szCs w:val="30"/>
          <w:highlight w:val="none"/>
        </w:rPr>
        <w:t>年的</w:t>
      </w:r>
      <w:r>
        <w:rPr>
          <w:rFonts w:hint="eastAsia"/>
          <w:color w:val="auto"/>
          <w:sz w:val="30"/>
          <w:szCs w:val="30"/>
          <w:highlight w:val="none"/>
          <w:lang w:val="en-US" w:eastAsia="zh-CN"/>
        </w:rPr>
        <w:t>软件升级服务。</w:t>
      </w:r>
    </w:p>
    <w:p w14:paraId="78BB49B8">
      <w:pPr>
        <w:rPr>
          <w:rFonts w:hint="eastAsia"/>
          <w:color w:val="auto"/>
          <w:sz w:val="30"/>
          <w:szCs w:val="30"/>
          <w:highlight w:val="none"/>
        </w:rPr>
      </w:pPr>
      <w:r>
        <w:rPr>
          <w:rFonts w:hint="eastAsia"/>
          <w:color w:val="auto"/>
          <w:sz w:val="30"/>
          <w:szCs w:val="30"/>
          <w:highlight w:val="none"/>
          <w:lang w:val="en-US" w:eastAsia="zh-CN"/>
        </w:rPr>
        <w:t>9</w:t>
      </w:r>
      <w:r>
        <w:rPr>
          <w:rFonts w:hint="eastAsia"/>
          <w:color w:val="auto"/>
          <w:sz w:val="30"/>
          <w:szCs w:val="30"/>
          <w:highlight w:val="none"/>
        </w:rPr>
        <w:t>、知识产权</w:t>
      </w:r>
    </w:p>
    <w:p w14:paraId="105A0F99">
      <w:pPr>
        <w:rPr>
          <w:rFonts w:hint="eastAsia"/>
          <w:color w:val="auto"/>
          <w:sz w:val="30"/>
          <w:szCs w:val="30"/>
          <w:highlight w:val="none"/>
        </w:rPr>
      </w:pPr>
      <w:r>
        <w:rPr>
          <w:rFonts w:hint="eastAsia"/>
          <w:color w:val="auto"/>
          <w:sz w:val="30"/>
          <w:szCs w:val="30"/>
          <w:highlight w:val="none"/>
        </w:rPr>
        <w:t>①中标人应保证采购人在使用该项目成果任何一部分不受第三方侵犯其专利权、商标权和设计权等的起诉。如果任何第三方提出侵权或赔偿责任，中标人必须与第三方交涉，并承担发生和可能发生的一切损失、费用和法律责任。</w:t>
      </w:r>
    </w:p>
    <w:p w14:paraId="3853C755">
      <w:pPr>
        <w:rPr>
          <w:rFonts w:hint="eastAsia"/>
          <w:color w:val="auto"/>
          <w:sz w:val="30"/>
          <w:szCs w:val="30"/>
          <w:highlight w:val="none"/>
        </w:rPr>
      </w:pPr>
      <w:r>
        <w:rPr>
          <w:rFonts w:hint="eastAsia"/>
          <w:color w:val="auto"/>
          <w:sz w:val="30"/>
          <w:szCs w:val="30"/>
          <w:highlight w:val="none"/>
        </w:rPr>
        <w:t>②成果的知识产权为采购人所有，双方及其工作人员对履行保密责任。</w:t>
      </w:r>
    </w:p>
    <w:p w14:paraId="1709AA44">
      <w:pPr>
        <w:rPr>
          <w:rFonts w:hint="eastAsia"/>
          <w:color w:val="auto"/>
          <w:sz w:val="30"/>
          <w:szCs w:val="30"/>
          <w:highlight w:val="none"/>
        </w:rPr>
      </w:pPr>
      <w:r>
        <w:rPr>
          <w:rFonts w:hint="eastAsia"/>
          <w:color w:val="auto"/>
          <w:sz w:val="30"/>
          <w:szCs w:val="30"/>
          <w:highlight w:val="none"/>
        </w:rPr>
        <w:t>③合同中所获取的对方的各项资料、数据等信息，应严格履行保密责任。</w:t>
      </w:r>
    </w:p>
    <w:p w14:paraId="1E2BD7BB">
      <w:pPr>
        <w:rPr>
          <w:rFonts w:hint="eastAsia"/>
          <w:color w:val="auto"/>
          <w:sz w:val="30"/>
          <w:szCs w:val="30"/>
          <w:highlight w:val="none"/>
        </w:rPr>
      </w:pPr>
      <w:r>
        <w:rPr>
          <w:rFonts w:hint="eastAsia"/>
          <w:color w:val="auto"/>
          <w:sz w:val="30"/>
          <w:szCs w:val="30"/>
          <w:highlight w:val="none"/>
        </w:rPr>
        <w:t>④保密义务。不得擅自向第三方透露或公开，否则承担损害赔偿。</w:t>
      </w:r>
    </w:p>
    <w:p w14:paraId="619D0849">
      <w:pPr>
        <w:rPr>
          <w:rFonts w:hint="eastAsia"/>
          <w:color w:val="auto"/>
          <w:sz w:val="30"/>
          <w:szCs w:val="30"/>
          <w:highlight w:val="none"/>
          <w:lang w:val="en-US" w:eastAsia="zh-CN"/>
        </w:rPr>
      </w:pPr>
      <w:r>
        <w:rPr>
          <w:rFonts w:hint="eastAsia"/>
          <w:color w:val="auto"/>
          <w:sz w:val="30"/>
          <w:szCs w:val="30"/>
          <w:highlight w:val="none"/>
          <w:lang w:val="en-US" w:eastAsia="zh-CN"/>
        </w:rPr>
        <w:t xml:space="preserve">10、培训服务 </w:t>
      </w:r>
    </w:p>
    <w:p w14:paraId="0E0EB339">
      <w:pPr>
        <w:rPr>
          <w:rFonts w:hint="eastAsia"/>
          <w:color w:val="auto"/>
          <w:sz w:val="30"/>
          <w:szCs w:val="30"/>
          <w:highlight w:val="none"/>
          <w:lang w:val="en-US" w:eastAsia="zh-CN"/>
        </w:rPr>
      </w:pPr>
      <w:r>
        <w:rPr>
          <w:rFonts w:hint="eastAsia"/>
          <w:color w:val="auto"/>
          <w:sz w:val="30"/>
          <w:szCs w:val="30"/>
          <w:highlight w:val="none"/>
          <w:lang w:val="en-US" w:eastAsia="zh-CN"/>
        </w:rPr>
        <w:t>①投标人有义务对采购方本次采购设备和软件的正常使用和维护提供必要的培训，确保采购方人员完全掌握使用及基本运维。</w:t>
      </w:r>
    </w:p>
    <w:p w14:paraId="49198311">
      <w:pPr>
        <w:rPr>
          <w:rFonts w:hint="eastAsia"/>
          <w:color w:val="auto"/>
          <w:sz w:val="30"/>
          <w:szCs w:val="30"/>
          <w:highlight w:val="none"/>
          <w:lang w:val="en-US" w:eastAsia="zh-CN"/>
        </w:rPr>
      </w:pPr>
      <w:r>
        <w:rPr>
          <w:rFonts w:hint="eastAsia"/>
          <w:color w:val="auto"/>
          <w:sz w:val="30"/>
          <w:szCs w:val="30"/>
          <w:highlight w:val="none"/>
          <w:lang w:val="en-US" w:eastAsia="zh-CN"/>
        </w:rPr>
        <w:t xml:space="preserve">②培训的内容包括软件的安装、使用、配置管理、性能优化以及相关基本维护知识； </w:t>
      </w:r>
    </w:p>
    <w:p w14:paraId="5A6CBAE2">
      <w:pPr>
        <w:rPr>
          <w:rFonts w:hint="eastAsia"/>
          <w:color w:val="auto"/>
          <w:sz w:val="30"/>
          <w:szCs w:val="30"/>
          <w:highlight w:val="none"/>
          <w:lang w:val="en-US" w:eastAsia="zh-CN"/>
        </w:rPr>
      </w:pPr>
      <w:r>
        <w:rPr>
          <w:rFonts w:hint="eastAsia"/>
          <w:color w:val="auto"/>
          <w:sz w:val="30"/>
          <w:szCs w:val="30"/>
          <w:highlight w:val="none"/>
          <w:lang w:val="en-US" w:eastAsia="zh-CN"/>
        </w:rPr>
        <w:t xml:space="preserve">③投标人应当在投标文件中明确给出培训的地点、时间安排、人数、授课内容、教材、授课人的业务背景等。 </w:t>
      </w:r>
    </w:p>
    <w:p w14:paraId="36A2D5C9">
      <w:pPr>
        <w:rPr>
          <w:rFonts w:hint="default" w:eastAsiaTheme="minorEastAsia"/>
          <w:color w:val="auto"/>
          <w:sz w:val="30"/>
          <w:szCs w:val="30"/>
          <w:highlight w:val="none"/>
          <w:lang w:val="en-US" w:eastAsia="zh-CN"/>
        </w:rPr>
      </w:pPr>
      <w:r>
        <w:rPr>
          <w:rFonts w:hint="eastAsia"/>
          <w:color w:val="auto"/>
          <w:sz w:val="30"/>
          <w:szCs w:val="30"/>
          <w:highlight w:val="none"/>
          <w:lang w:val="en-US" w:eastAsia="zh-CN"/>
        </w:rPr>
        <w:t xml:space="preserve">④投标人应将所有培训相关费用计入投标总价。 </w:t>
      </w:r>
    </w:p>
    <w:p w14:paraId="6D2B439C">
      <w:pPr>
        <w:rPr>
          <w:rFonts w:hint="eastAsia"/>
          <w:color w:val="auto"/>
          <w:sz w:val="30"/>
          <w:szCs w:val="30"/>
          <w:highlight w:val="none"/>
        </w:rPr>
      </w:pPr>
      <w:r>
        <w:rPr>
          <w:rFonts w:hint="eastAsia"/>
          <w:color w:val="auto"/>
          <w:sz w:val="30"/>
          <w:szCs w:val="30"/>
          <w:highlight w:val="none"/>
        </w:rPr>
        <w:t>11、其他责任</w:t>
      </w:r>
    </w:p>
    <w:p w14:paraId="0D17CBD9">
      <w:pPr>
        <w:rPr>
          <w:rFonts w:hint="eastAsia"/>
          <w:color w:val="auto"/>
          <w:sz w:val="30"/>
          <w:szCs w:val="30"/>
          <w:highlight w:val="none"/>
        </w:rPr>
      </w:pPr>
      <w:r>
        <w:rPr>
          <w:rFonts w:hint="eastAsia"/>
          <w:color w:val="auto"/>
          <w:sz w:val="30"/>
          <w:szCs w:val="30"/>
          <w:highlight w:val="none"/>
        </w:rPr>
        <w:t>（1）中标供应商应在中标通知书发出之日起三十日内，按照采购文件确定的事项与采购人签订政府采购合同。中标供应商放弃中标项目的，应当依法承担法律责任，可处以采购金额千分之五以上千分之十以下的罚款，列入不良行为记录名单，在一至三年内禁止参加政府采购活动，有违法所得的，并处没收违法所得，情节严重的，由工商行政管理机关吊销营</w:t>
      </w:r>
    </w:p>
    <w:p w14:paraId="2F8124CC">
      <w:pPr>
        <w:rPr>
          <w:rFonts w:hint="eastAsia"/>
          <w:color w:val="auto"/>
          <w:sz w:val="30"/>
          <w:szCs w:val="30"/>
          <w:highlight w:val="none"/>
        </w:rPr>
      </w:pPr>
      <w:r>
        <w:rPr>
          <w:rFonts w:hint="eastAsia"/>
          <w:color w:val="auto"/>
          <w:sz w:val="30"/>
          <w:szCs w:val="30"/>
          <w:highlight w:val="none"/>
        </w:rPr>
        <w:t>业执照；构成犯罪的，依法追究刑事责任。（依据：①《中华人民共和国政府采购法》第四十六条、第七十七条，②《中华人民共和国政府采购法实施条例》第七十二条）</w:t>
      </w:r>
    </w:p>
    <w:p w14:paraId="46891FD3">
      <w:pPr>
        <w:rPr>
          <w:rFonts w:hint="eastAsia"/>
          <w:color w:val="auto"/>
          <w:sz w:val="30"/>
          <w:szCs w:val="30"/>
          <w:highlight w:val="none"/>
        </w:rPr>
      </w:pPr>
      <w:r>
        <w:rPr>
          <w:rFonts w:hint="eastAsia"/>
          <w:color w:val="auto"/>
          <w:sz w:val="30"/>
          <w:szCs w:val="30"/>
          <w:highlight w:val="none"/>
        </w:rPr>
        <w:t>（2）中标供应商拒绝与采购人签订合同的，采购人可以按照评审报告推荐的中标或者成交候选人名单排序，确定下一候选人为中标供应商，也可以重新开展政府采购活动。（依据：《中华人民共和国政府采购法实施条例》第四十九条）</w:t>
      </w:r>
    </w:p>
    <w:p w14:paraId="2FE0ECAC">
      <w:pPr>
        <w:rPr>
          <w:color w:val="auto"/>
          <w:sz w:val="30"/>
          <w:szCs w:val="30"/>
          <w:highlight w:val="none"/>
        </w:rPr>
      </w:pPr>
      <w:r>
        <w:rPr>
          <w:rFonts w:hint="eastAsia"/>
          <w:color w:val="auto"/>
          <w:sz w:val="30"/>
          <w:szCs w:val="30"/>
          <w:highlight w:val="none"/>
        </w:rPr>
        <w:t>注：以上商务条件为基本商务要求，投标人必须全部响应（即满足或优于商务条件），否则其投标响应无效。</w:t>
      </w:r>
    </w:p>
    <w:p w14:paraId="567F68DB">
      <w:pPr>
        <w:rPr>
          <w:rFonts w:hint="default" w:ascii="宋体" w:hAnsi="宋体" w:eastAsia="宋体" w:cs="宋体"/>
          <w:i w:val="0"/>
          <w:iCs w:val="0"/>
          <w:caps w:val="0"/>
          <w:color w:val="auto"/>
          <w:spacing w:val="0"/>
          <w:sz w:val="28"/>
          <w:szCs w:val="28"/>
          <w:highlight w:val="none"/>
          <w:shd w:val="clear" w:fill="FFFFFF"/>
        </w:rPr>
      </w:pPr>
      <w:r>
        <w:rPr>
          <w:rFonts w:hint="default" w:ascii="宋体" w:hAnsi="宋体" w:eastAsia="宋体" w:cs="宋体"/>
          <w:i w:val="0"/>
          <w:iCs w:val="0"/>
          <w:caps w:val="0"/>
          <w:color w:val="auto"/>
          <w:spacing w:val="0"/>
          <w:sz w:val="28"/>
          <w:szCs w:val="28"/>
          <w:highlight w:val="none"/>
          <w:shd w:val="clear" w:fill="FFFFFF"/>
        </w:rPr>
        <w:br w:type="page"/>
      </w:r>
    </w:p>
    <w:p w14:paraId="4F874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宋体" w:hAnsi="宋体" w:eastAsia="宋体" w:cs="宋体"/>
          <w:i w:val="0"/>
          <w:iCs w:val="0"/>
          <w:caps w:val="0"/>
          <w:color w:val="auto"/>
          <w:spacing w:val="0"/>
          <w:sz w:val="28"/>
          <w:szCs w:val="28"/>
          <w:highlight w:val="none"/>
          <w:shd w:val="clear" w:fill="FFFFFF"/>
        </w:rPr>
        <w:sectPr>
          <w:pgSz w:w="11906" w:h="16838"/>
          <w:pgMar w:top="1440" w:right="1800" w:bottom="1440" w:left="1800" w:header="851" w:footer="992" w:gutter="0"/>
          <w:cols w:space="425" w:num="1"/>
          <w:docGrid w:type="lines" w:linePitch="312" w:charSpace="0"/>
        </w:sectPr>
      </w:pPr>
    </w:p>
    <w:p w14:paraId="2E8658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default" w:ascii="宋体" w:hAnsi="宋体" w:eastAsia="宋体" w:cs="宋体"/>
          <w:b/>
          <w:bCs/>
          <w:i w:val="0"/>
          <w:iCs w:val="0"/>
          <w:caps w:val="0"/>
          <w:color w:val="auto"/>
          <w:spacing w:val="0"/>
          <w:sz w:val="28"/>
          <w:szCs w:val="28"/>
          <w:highlight w:val="none"/>
          <w:shd w:val="clear" w:fill="FFFFFF"/>
          <w:lang w:val="en-US" w:eastAsia="zh-CN"/>
        </w:rPr>
      </w:pPr>
      <w:r>
        <w:rPr>
          <w:rFonts w:hint="eastAsia" w:ascii="宋体" w:hAnsi="宋体" w:eastAsia="宋体" w:cs="宋体"/>
          <w:b/>
          <w:bCs/>
          <w:i w:val="0"/>
          <w:iCs w:val="0"/>
          <w:caps w:val="0"/>
          <w:color w:val="auto"/>
          <w:spacing w:val="0"/>
          <w:sz w:val="28"/>
          <w:szCs w:val="28"/>
          <w:highlight w:val="none"/>
          <w:shd w:val="clear" w:fill="FFFFFF"/>
          <w:lang w:val="en-US" w:eastAsia="zh-CN"/>
        </w:rPr>
        <w:t>技术需求</w:t>
      </w:r>
    </w:p>
    <w:p w14:paraId="705EBAED">
      <w:pPr>
        <w:pStyle w:val="2"/>
        <w:bidi w:val="0"/>
        <w:ind w:left="0" w:leftChars="0" w:firstLine="0" w:firstLineChars="0"/>
        <w:rPr>
          <w:rFonts w:hint="eastAsia"/>
          <w:color w:val="auto"/>
          <w:highlight w:val="none"/>
        </w:rPr>
      </w:pPr>
      <w:bookmarkStart w:id="1" w:name="_Toc6505"/>
      <w:bookmarkStart w:id="2" w:name="_Toc2218"/>
      <w:r>
        <w:rPr>
          <w:rFonts w:hint="eastAsia"/>
          <w:color w:val="auto"/>
          <w:highlight w:val="none"/>
        </w:rPr>
        <w:t>基础设施建设</w:t>
      </w:r>
      <w:bookmarkEnd w:id="1"/>
      <w:bookmarkEnd w:id="2"/>
    </w:p>
    <w:p w14:paraId="38068630">
      <w:pPr>
        <w:pStyle w:val="3"/>
        <w:bidi w:val="0"/>
        <w:rPr>
          <w:rFonts w:hint="eastAsia"/>
          <w:color w:val="auto"/>
          <w:highlight w:val="none"/>
        </w:rPr>
      </w:pPr>
      <w:bookmarkStart w:id="3" w:name="_Toc18201"/>
      <w:bookmarkStart w:id="4" w:name="_Toc30557"/>
      <w:r>
        <w:rPr>
          <w:rFonts w:hint="eastAsia"/>
          <w:color w:val="auto"/>
          <w:highlight w:val="none"/>
        </w:rPr>
        <w:t>感知监测设备</w:t>
      </w:r>
      <w:bookmarkEnd w:id="3"/>
      <w:bookmarkEnd w:id="4"/>
    </w:p>
    <w:p w14:paraId="42844A36">
      <w:pPr>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在排水管网关键位置布设8套</w:t>
      </w:r>
      <w:r>
        <w:rPr>
          <w:rFonts w:hint="eastAsia" w:ascii="Times New Roman" w:hAnsi="Times New Roman" w:eastAsia="宋体" w:cs="Times New Roman"/>
          <w:color w:val="auto"/>
          <w:highlight w:val="yellow"/>
          <w:lang w:eastAsia="zh-CN"/>
        </w:rPr>
        <w:t>（</w:t>
      </w:r>
      <w:r>
        <w:rPr>
          <w:rFonts w:hint="eastAsia" w:ascii="Times New Roman" w:hAnsi="Times New Roman" w:eastAsia="宋体" w:cs="Times New Roman"/>
          <w:color w:val="auto"/>
          <w:highlight w:val="yellow"/>
          <w:lang w:val="en-US" w:eastAsia="zh-CN"/>
        </w:rPr>
        <w:t>暂估</w:t>
      </w:r>
      <w:r>
        <w:rPr>
          <w:rFonts w:hint="eastAsia" w:ascii="Times New Roman" w:hAnsi="Times New Roman" w:eastAsia="宋体" w:cs="Times New Roman"/>
          <w:color w:val="auto"/>
          <w:highlight w:val="yellow"/>
          <w:lang w:eastAsia="zh-CN"/>
        </w:rPr>
        <w:t>）</w:t>
      </w:r>
      <w:r>
        <w:rPr>
          <w:rFonts w:hint="default" w:ascii="Times New Roman" w:hAnsi="Times New Roman" w:eastAsia="宋体" w:cs="Times New Roman"/>
          <w:color w:val="auto"/>
          <w:highlight w:val="none"/>
        </w:rPr>
        <w:t>涵盖多普勒流量计、COD传感器、氨氮传感器的集成设备，监测排水管网安全风险与运行效率。</w:t>
      </w:r>
    </w:p>
    <w:p w14:paraId="2986153C">
      <w:pPr>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设备技术要求如下：</w:t>
      </w:r>
    </w:p>
    <w:p w14:paraId="36968E3B">
      <w:pPr>
        <w:bidi w:val="0"/>
        <w:ind w:left="0" w:leftChars="0" w:right="0" w:rightChars="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 感知监测设备技术要求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5957"/>
        <w:gridCol w:w="725"/>
        <w:gridCol w:w="740"/>
      </w:tblGrid>
      <w:tr w14:paraId="0382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45" w:type="pct"/>
            <w:vAlign w:val="center"/>
          </w:tcPr>
          <w:p w14:paraId="4A3CD4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设备名称</w:t>
            </w:r>
          </w:p>
        </w:tc>
        <w:tc>
          <w:tcPr>
            <w:tcW w:w="3494" w:type="pct"/>
            <w:vAlign w:val="center"/>
          </w:tcPr>
          <w:p w14:paraId="56811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技术参数</w:t>
            </w:r>
          </w:p>
        </w:tc>
        <w:tc>
          <w:tcPr>
            <w:tcW w:w="425" w:type="pct"/>
            <w:vAlign w:val="center"/>
          </w:tcPr>
          <w:p w14:paraId="6C206F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c>
          <w:tcPr>
            <w:tcW w:w="434" w:type="pct"/>
            <w:vAlign w:val="center"/>
          </w:tcPr>
          <w:p w14:paraId="179782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r>
      <w:tr w14:paraId="129F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6B8D5B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多普勒超声波流量计</w:t>
            </w:r>
          </w:p>
        </w:tc>
        <w:tc>
          <w:tcPr>
            <w:tcW w:w="3494" w:type="pct"/>
            <w:vAlign w:val="center"/>
          </w:tcPr>
          <w:p w14:paraId="308D6F1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流速量程：±6 m/s</w:t>
            </w:r>
          </w:p>
          <w:p w14:paraId="6E7A99D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流速精度：≤1.0%</w:t>
            </w:r>
          </w:p>
          <w:p w14:paraId="6AC964B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流速分辨率：≤1mm/s</w:t>
            </w:r>
          </w:p>
          <w:p w14:paraId="6BC9774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（水深量程压力水位计）：0～7m，分辨率：≤1mm，精度：±1cm</w:t>
            </w:r>
          </w:p>
          <w:p w14:paraId="790E69E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温度量程：0～60℃</w:t>
            </w:r>
          </w:p>
          <w:p w14:paraId="5433D6A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温度分辨率：≤0.1℃</w:t>
            </w:r>
          </w:p>
          <w:p w14:paraId="36D1E1E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流量量程：0.001m3/s～1000m3/s</w:t>
            </w:r>
          </w:p>
          <w:p w14:paraId="72591A8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流量分辨率；≤0.0001m3/s</w:t>
            </w:r>
          </w:p>
          <w:p w14:paraId="49E054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流量精度：测量流量的±3％</w:t>
            </w:r>
          </w:p>
          <w:p w14:paraId="19E60E9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供电：DC7.2V～12V</w:t>
            </w:r>
          </w:p>
          <w:p w14:paraId="5A6B8EB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设备功耗：≤2W</w:t>
            </w:r>
          </w:p>
          <w:p w14:paraId="239C532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输出信号：RS485（Modbus-RTU）</w:t>
            </w:r>
          </w:p>
          <w:p w14:paraId="176916D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存储容量：≥2M（可扩展）</w:t>
            </w:r>
          </w:p>
          <w:p w14:paraId="1E50DC8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防护等级：IP68（探头）</w:t>
            </w:r>
          </w:p>
          <w:p w14:paraId="2222598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工作温度：-10℃～60℃</w:t>
            </w:r>
          </w:p>
          <w:p w14:paraId="2AD4F2A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储存温度：-20℃～65℃</w:t>
            </w:r>
          </w:p>
        </w:tc>
        <w:tc>
          <w:tcPr>
            <w:tcW w:w="425" w:type="pct"/>
            <w:vAlign w:val="center"/>
          </w:tcPr>
          <w:p w14:paraId="130D86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434" w:type="pct"/>
            <w:vAlign w:val="center"/>
          </w:tcPr>
          <w:p w14:paraId="08D5E5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套</w:t>
            </w:r>
          </w:p>
        </w:tc>
      </w:tr>
      <w:tr w14:paraId="5383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9B8EC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化学需氧量COD传感器</w:t>
            </w:r>
          </w:p>
        </w:tc>
        <w:tc>
          <w:tcPr>
            <w:tcW w:w="3494" w:type="pct"/>
            <w:vAlign w:val="center"/>
          </w:tcPr>
          <w:p w14:paraId="69F5E2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测量：0～300mg/L</w:t>
            </w:r>
          </w:p>
          <w:p w14:paraId="43A9172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分辨率：≤0.1mg/L</w:t>
            </w:r>
          </w:p>
          <w:p w14:paraId="6ED6957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精确度：±10％F.S</w:t>
            </w:r>
          </w:p>
          <w:p w14:paraId="5BA4A37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光源：254nm紫外LED+400mm光源LED</w:t>
            </w:r>
          </w:p>
          <w:p w14:paraId="48AE231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信号输出：RS485</w:t>
            </w:r>
          </w:p>
          <w:p w14:paraId="5DDF8EC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供电：DC6.8V～24V</w:t>
            </w:r>
          </w:p>
          <w:p w14:paraId="18DC0D9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使用温度：0～40℃</w:t>
            </w:r>
          </w:p>
          <w:p w14:paraId="293C459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存储温度：10℃～60℃</w:t>
            </w:r>
          </w:p>
          <w:p w14:paraId="1D3D07D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传感器材质：不锈钢</w:t>
            </w:r>
          </w:p>
          <w:p w14:paraId="322BF0B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传感器镜片：石英玻璃</w:t>
            </w:r>
          </w:p>
          <w:p w14:paraId="171A4DF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流速：最大1m/s</w:t>
            </w:r>
          </w:p>
          <w:p w14:paraId="5BCA3E0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传感器清洗装置：自带清洁刷</w:t>
            </w:r>
          </w:p>
          <w:p w14:paraId="2C7F153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防护等级：IP68</w:t>
            </w:r>
          </w:p>
          <w:p w14:paraId="6B4DA1E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功耗：≤0.5W</w:t>
            </w:r>
          </w:p>
        </w:tc>
        <w:tc>
          <w:tcPr>
            <w:tcW w:w="425" w:type="pct"/>
            <w:vAlign w:val="center"/>
          </w:tcPr>
          <w:p w14:paraId="084ED7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434" w:type="pct"/>
            <w:vAlign w:val="center"/>
          </w:tcPr>
          <w:p w14:paraId="59C5DA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套</w:t>
            </w:r>
          </w:p>
        </w:tc>
      </w:tr>
      <w:tr w14:paraId="61A8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63034C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氨氮传感器</w:t>
            </w:r>
          </w:p>
        </w:tc>
        <w:tc>
          <w:tcPr>
            <w:tcW w:w="3494" w:type="pct"/>
            <w:vAlign w:val="center"/>
          </w:tcPr>
          <w:p w14:paraId="0A57668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量程：0.2</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100mg/L</w:t>
            </w:r>
          </w:p>
          <w:p w14:paraId="131E421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精度：±10％或者0.2mg/L</w:t>
            </w:r>
          </w:p>
          <w:p w14:paraId="139FAB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pH测量范围：4-10</w:t>
            </w:r>
          </w:p>
          <w:p w14:paraId="5F33FED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分辨率：≤0.01mg/L</w:t>
            </w:r>
          </w:p>
          <w:p w14:paraId="205A370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测量方法：离子选择电极法</w:t>
            </w:r>
          </w:p>
          <w:p w14:paraId="5EA7D1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信号输出：RS485</w:t>
            </w:r>
          </w:p>
          <w:p w14:paraId="47D16DA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供电：DC5V～36V</w:t>
            </w:r>
          </w:p>
          <w:p w14:paraId="0FEAA61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防护等级：IP68</w:t>
            </w:r>
          </w:p>
          <w:p w14:paraId="1601845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功耗：≤0.2W</w:t>
            </w:r>
          </w:p>
        </w:tc>
        <w:tc>
          <w:tcPr>
            <w:tcW w:w="425" w:type="pct"/>
            <w:vAlign w:val="center"/>
          </w:tcPr>
          <w:p w14:paraId="5C33EE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434" w:type="pct"/>
            <w:vAlign w:val="center"/>
          </w:tcPr>
          <w:p w14:paraId="49A847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套</w:t>
            </w:r>
          </w:p>
        </w:tc>
      </w:tr>
      <w:tr w14:paraId="51B3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645" w:type="pct"/>
            <w:vAlign w:val="center"/>
          </w:tcPr>
          <w:p w14:paraId="361177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pH传感器</w:t>
            </w:r>
          </w:p>
        </w:tc>
        <w:tc>
          <w:tcPr>
            <w:tcW w:w="3494" w:type="pct"/>
            <w:vAlign w:val="center"/>
          </w:tcPr>
          <w:p w14:paraId="23DD647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工作原理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玻璃电极法</w:t>
            </w:r>
          </w:p>
          <w:p w14:paraId="1AAD01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测量范围</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0~14.00pH</w:t>
            </w:r>
          </w:p>
          <w:p w14:paraId="64563C8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分辨率</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0.01pH</w:t>
            </w:r>
          </w:p>
          <w:p w14:paraId="53E495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灵敏度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符合 Nernst 方程理论值，偏差≤±2mV/pH（25℃条件下）</w:t>
            </w:r>
          </w:p>
          <w:p w14:paraId="47EA70D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测量精度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&lt;0.1pH</w:t>
            </w:r>
          </w:p>
          <w:p w14:paraId="3A13037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响应时间</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&lt;5s</w:t>
            </w:r>
          </w:p>
          <w:p w14:paraId="77E19EF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通讯接口</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RS485</w:t>
            </w:r>
          </w:p>
          <w:p w14:paraId="77220E7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尺寸规格</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D30mm，L185mm，电缆3米</w:t>
            </w:r>
          </w:p>
          <w:p w14:paraId="34C8863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工作环境</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5℃~45℃，</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0-3</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bar</w:t>
            </w:r>
          </w:p>
          <w:p w14:paraId="4D9404E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工作电压</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12V/24VDC</w:t>
            </w:r>
          </w:p>
          <w:p w14:paraId="76F3D05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功耗</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≤0.3W</w:t>
            </w:r>
          </w:p>
        </w:tc>
        <w:tc>
          <w:tcPr>
            <w:tcW w:w="425" w:type="pct"/>
            <w:vAlign w:val="center"/>
          </w:tcPr>
          <w:p w14:paraId="5568EF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434" w:type="pct"/>
            <w:vAlign w:val="center"/>
          </w:tcPr>
          <w:p w14:paraId="00280A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套</w:t>
            </w:r>
          </w:p>
        </w:tc>
      </w:tr>
      <w:tr w14:paraId="1A94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20F2F0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遥测终端机</w:t>
            </w:r>
          </w:p>
        </w:tc>
        <w:tc>
          <w:tcPr>
            <w:tcW w:w="3494" w:type="pct"/>
            <w:vAlign w:val="center"/>
          </w:tcPr>
          <w:p w14:paraId="34D4625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供电：DC 6V～36V</w:t>
            </w:r>
          </w:p>
          <w:p w14:paraId="7C1CC30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待机电流：&lt;0.9mA（12V）</w:t>
            </w:r>
          </w:p>
          <w:p w14:paraId="048F0C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工作电流：&lt;9mA（12V）</w:t>
            </w:r>
          </w:p>
          <w:p w14:paraId="4ABD7F5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平均功耗：≤68mw（12v：5.67mA）</w:t>
            </w:r>
          </w:p>
          <w:p w14:paraId="047BB07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工作温度：-30℃～60℃</w:t>
            </w:r>
          </w:p>
          <w:p w14:paraId="09AE24F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工作湿度：＜95％RH（无凝露）</w:t>
            </w:r>
          </w:p>
          <w:p w14:paraId="7E2D157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存储温度：-40℃～80℃</w:t>
            </w:r>
          </w:p>
          <w:p w14:paraId="39425AE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通讯方式：4G全网通（支持CAT4，短信，定位，GSM）</w:t>
            </w:r>
          </w:p>
        </w:tc>
        <w:tc>
          <w:tcPr>
            <w:tcW w:w="425" w:type="pct"/>
            <w:vAlign w:val="center"/>
          </w:tcPr>
          <w:p w14:paraId="587D40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434" w:type="pct"/>
            <w:vAlign w:val="center"/>
          </w:tcPr>
          <w:p w14:paraId="738D40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套</w:t>
            </w:r>
          </w:p>
        </w:tc>
      </w:tr>
      <w:tr w14:paraId="1D23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1A54F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杆式水质在线监测系统</w:t>
            </w:r>
          </w:p>
        </w:tc>
        <w:tc>
          <w:tcPr>
            <w:tcW w:w="3494" w:type="pct"/>
            <w:vAlign w:val="center"/>
          </w:tcPr>
          <w:p w14:paraId="7E4D25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供电：太阳能：DC12V（100AH锂电池，120W太阳能板）</w:t>
            </w:r>
          </w:p>
          <w:p w14:paraId="222621C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平均功耗：≤0.7W（采集周期2小时）</w:t>
            </w:r>
          </w:p>
          <w:p w14:paraId="22A280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通信方式：4G/NB-IoT</w:t>
            </w:r>
          </w:p>
          <w:p w14:paraId="698E9E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采集频次：30min～1440min</w:t>
            </w:r>
          </w:p>
          <w:p w14:paraId="09D69C0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取水高程：&lt;20米</w:t>
            </w:r>
          </w:p>
          <w:p w14:paraId="0E766E5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材质：DN100镀锌钢管，外径不小于114mm，单边厚度不小于4mm，</w:t>
            </w:r>
            <w:r>
              <w:rPr>
                <w:rFonts w:hint="default" w:ascii="Times New Roman" w:hAnsi="Times New Roman" w:eastAsia="宋体" w:cs="Times New Roman"/>
                <w:color w:val="auto"/>
                <w:sz w:val="21"/>
                <w:szCs w:val="21"/>
                <w:highlight w:val="none"/>
                <w:lang w:eastAsia="zh-CN"/>
              </w:rPr>
              <w:t>高度</w:t>
            </w:r>
            <w:r>
              <w:rPr>
                <w:rFonts w:hint="default" w:ascii="Times New Roman" w:hAnsi="Times New Roman" w:eastAsia="宋体" w:cs="Times New Roman"/>
                <w:color w:val="auto"/>
                <w:sz w:val="21"/>
                <w:szCs w:val="21"/>
                <w:highlight w:val="none"/>
              </w:rPr>
              <w:t>不小于3305mm</w:t>
            </w:r>
          </w:p>
          <w:p w14:paraId="15C7547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工作温度：0～60℃</w:t>
            </w:r>
          </w:p>
        </w:tc>
        <w:tc>
          <w:tcPr>
            <w:tcW w:w="425" w:type="pct"/>
            <w:vAlign w:val="center"/>
          </w:tcPr>
          <w:p w14:paraId="361841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434" w:type="pct"/>
            <w:vAlign w:val="center"/>
          </w:tcPr>
          <w:p w14:paraId="014536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套</w:t>
            </w:r>
          </w:p>
        </w:tc>
      </w:tr>
      <w:tr w14:paraId="352E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2CEB15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站点安装</w:t>
            </w:r>
          </w:p>
        </w:tc>
        <w:tc>
          <w:tcPr>
            <w:tcW w:w="3494" w:type="pct"/>
            <w:vAlign w:val="center"/>
          </w:tcPr>
          <w:p w14:paraId="6777B8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基础开挖，破路、回填、线缆敷设及占地协调以及设备运输以及安装</w:t>
            </w:r>
          </w:p>
        </w:tc>
        <w:tc>
          <w:tcPr>
            <w:tcW w:w="425" w:type="pct"/>
            <w:vAlign w:val="center"/>
          </w:tcPr>
          <w:p w14:paraId="78D317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434" w:type="pct"/>
            <w:vAlign w:val="center"/>
          </w:tcPr>
          <w:p w14:paraId="2B3F64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w:t>
            </w:r>
          </w:p>
        </w:tc>
      </w:tr>
      <w:tr w14:paraId="1825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131B3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站点调试</w:t>
            </w:r>
          </w:p>
        </w:tc>
        <w:tc>
          <w:tcPr>
            <w:tcW w:w="3494" w:type="pct"/>
            <w:vAlign w:val="center"/>
          </w:tcPr>
          <w:p w14:paraId="6CC6AF2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监测站点调试</w:t>
            </w:r>
          </w:p>
        </w:tc>
        <w:tc>
          <w:tcPr>
            <w:tcW w:w="425" w:type="pct"/>
            <w:vAlign w:val="center"/>
          </w:tcPr>
          <w:p w14:paraId="372511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434" w:type="pct"/>
            <w:vAlign w:val="center"/>
          </w:tcPr>
          <w:p w14:paraId="732AF2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w:t>
            </w:r>
          </w:p>
        </w:tc>
      </w:tr>
    </w:tbl>
    <w:p w14:paraId="739032AB">
      <w:pPr>
        <w:pStyle w:val="3"/>
        <w:bidi w:val="0"/>
        <w:ind w:left="0" w:leftChars="0" w:firstLine="0" w:firstLineChars="0"/>
        <w:rPr>
          <w:rFonts w:hint="eastAsia"/>
          <w:color w:val="auto"/>
          <w:highlight w:val="none"/>
        </w:rPr>
      </w:pPr>
      <w:bookmarkStart w:id="5" w:name="_Toc15589"/>
      <w:bookmarkStart w:id="6" w:name="_Toc15896"/>
      <w:r>
        <w:rPr>
          <w:rFonts w:hint="eastAsia"/>
          <w:color w:val="auto"/>
          <w:highlight w:val="none"/>
        </w:rPr>
        <w:t>LED指挥大屏</w:t>
      </w:r>
      <w:bookmarkEnd w:id="5"/>
      <w:bookmarkEnd w:id="6"/>
    </w:p>
    <w:p w14:paraId="1101832F">
      <w:pPr>
        <w:bidi w:val="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配套1块</w:t>
      </w:r>
      <w:r>
        <w:rPr>
          <w:rFonts w:hint="eastAsia" w:ascii="宋体" w:hAnsi="宋体"/>
          <w:color w:val="auto"/>
          <w:kern w:val="0"/>
          <w:sz w:val="22"/>
          <w:szCs w:val="22"/>
          <w:highlight w:val="none"/>
          <w14:ligatures w14:val="none"/>
        </w:rPr>
        <w:t>面积9.72</w:t>
      </w:r>
      <w:r>
        <w:rPr>
          <w:rFonts w:hint="eastAsia" w:ascii="宋体" w:hAnsi="宋体"/>
          <w:color w:val="auto"/>
          <w:kern w:val="0"/>
          <w:sz w:val="22"/>
          <w:szCs w:val="22"/>
          <w:highlight w:val="none"/>
          <w:lang w:eastAsia="zh-CN"/>
          <w14:ligatures w14:val="none"/>
        </w:rPr>
        <w:t>（</w:t>
      </w:r>
      <w:r>
        <w:rPr>
          <w:rFonts w:hint="eastAsia" w:ascii="宋体" w:hAnsi="宋体"/>
          <w:color w:val="auto"/>
          <w:kern w:val="0"/>
          <w:sz w:val="22"/>
          <w:szCs w:val="22"/>
          <w:highlight w:val="none"/>
          <w:lang w:val="en-US" w:eastAsia="zh-CN"/>
          <w14:ligatures w14:val="none"/>
        </w:rPr>
        <w:t>±5%</w:t>
      </w:r>
      <w:r>
        <w:rPr>
          <w:rFonts w:hint="eastAsia" w:ascii="宋体" w:hAnsi="宋体"/>
          <w:color w:val="auto"/>
          <w:kern w:val="0"/>
          <w:sz w:val="22"/>
          <w:szCs w:val="22"/>
          <w:highlight w:val="none"/>
          <w:lang w:eastAsia="zh-CN"/>
          <w14:ligatures w14:val="none"/>
        </w:rPr>
        <w:t>）</w:t>
      </w:r>
      <w:r>
        <w:rPr>
          <w:rFonts w:hint="eastAsia" w:ascii="宋体" w:hAnsi="宋体"/>
          <w:color w:val="auto"/>
          <w:kern w:val="0"/>
          <w:sz w:val="22"/>
          <w:szCs w:val="22"/>
          <w:highlight w:val="none"/>
          <w14:ligatures w14:val="none"/>
        </w:rPr>
        <w:t>平方米</w:t>
      </w:r>
      <w:r>
        <w:rPr>
          <w:rFonts w:hint="eastAsia" w:ascii="Times New Roman" w:hAnsi="Times New Roman" w:eastAsia="宋体" w:cs="Times New Roman"/>
          <w:color w:val="auto"/>
          <w:highlight w:val="none"/>
        </w:rPr>
        <w:t>的</w:t>
      </w:r>
      <w:r>
        <w:rPr>
          <w:rFonts w:hint="eastAsia" w:cs="Times New Roman"/>
          <w:color w:val="auto"/>
          <w:highlight w:val="none"/>
          <w:lang w:val="en-US" w:eastAsia="zh-CN"/>
        </w:rPr>
        <w:t>全彩色</w:t>
      </w:r>
      <w:r>
        <w:rPr>
          <w:rFonts w:hint="eastAsia" w:ascii="Times New Roman" w:hAnsi="Times New Roman" w:eastAsia="宋体" w:cs="Times New Roman"/>
          <w:color w:val="auto"/>
          <w:highlight w:val="none"/>
        </w:rPr>
        <w:t>LED指挥大屏，用于经开区雨污水管网安全监管及其他指挥调度工作。</w:t>
      </w:r>
    </w:p>
    <w:p w14:paraId="0886675D">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设备技术要求如下：</w:t>
      </w:r>
    </w:p>
    <w:p w14:paraId="160C5F95">
      <w:pPr>
        <w:bidi w:val="0"/>
        <w:ind w:left="0" w:leftChars="0" w:right="0" w:rightChars="0" w:firstLine="0" w:firstLineChars="0"/>
        <w:jc w:val="center"/>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表 LED指挥大屏技术要求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5955"/>
        <w:gridCol w:w="708"/>
        <w:gridCol w:w="759"/>
      </w:tblGrid>
      <w:tr w14:paraId="5ACE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45" w:type="pct"/>
            <w:vAlign w:val="center"/>
          </w:tcPr>
          <w:p w14:paraId="55CEDE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设备名称</w:t>
            </w:r>
          </w:p>
        </w:tc>
        <w:tc>
          <w:tcPr>
            <w:tcW w:w="3492" w:type="pct"/>
            <w:vAlign w:val="center"/>
          </w:tcPr>
          <w:p w14:paraId="0BC8F3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技术参数</w:t>
            </w:r>
          </w:p>
        </w:tc>
        <w:tc>
          <w:tcPr>
            <w:tcW w:w="415" w:type="pct"/>
            <w:vAlign w:val="center"/>
          </w:tcPr>
          <w:p w14:paraId="425528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c>
          <w:tcPr>
            <w:tcW w:w="445" w:type="pct"/>
            <w:vAlign w:val="center"/>
          </w:tcPr>
          <w:p w14:paraId="2ED33C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r>
      <w:tr w14:paraId="1FCE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A7CAE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全彩色</w:t>
            </w:r>
            <w:r>
              <w:rPr>
                <w:rFonts w:hint="default" w:ascii="Times New Roman" w:hAnsi="Times New Roman" w:eastAsia="宋体" w:cs="Times New Roman"/>
                <w:color w:val="auto"/>
                <w:sz w:val="21"/>
                <w:szCs w:val="21"/>
                <w:highlight w:val="none"/>
              </w:rPr>
              <w:t>LED屏</w:t>
            </w:r>
          </w:p>
          <w:p w14:paraId="2E88C4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
                <w:bCs/>
                <w:color w:val="auto"/>
                <w:sz w:val="21"/>
                <w:szCs w:val="21"/>
                <w:highlight w:val="none"/>
                <w:lang w:val="en-US" w:eastAsia="zh-CN"/>
              </w:rPr>
              <w:t>(核心产品)</w:t>
            </w:r>
          </w:p>
        </w:tc>
        <w:tc>
          <w:tcPr>
            <w:tcW w:w="3492" w:type="pct"/>
            <w:vAlign w:val="center"/>
          </w:tcPr>
          <w:p w14:paraId="6B2121F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像素点间距≤1.25mm；</w:t>
            </w:r>
          </w:p>
          <w:p w14:paraId="1B242D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像素基色：红、绿、蓝三基色；</w:t>
            </w:r>
          </w:p>
          <w:p w14:paraId="1FFB911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olor w:val="auto"/>
                <w:kern w:val="0"/>
                <w:sz w:val="22"/>
                <w:szCs w:val="22"/>
                <w:highlight w:val="none"/>
                <w14:ligatures w14:val="none"/>
              </w:rPr>
            </w:pPr>
            <w:r>
              <w:rPr>
                <w:rFonts w:hint="eastAsia" w:ascii="宋体" w:hAnsi="宋体"/>
                <w:color w:val="auto"/>
                <w:kern w:val="0"/>
                <w:sz w:val="22"/>
                <w:szCs w:val="22"/>
                <w:highlight w:val="none"/>
                <w14:ligatures w14:val="none"/>
              </w:rPr>
              <w:t>屏幕尺寸：净显示面积9.72</w:t>
            </w:r>
            <w:r>
              <w:rPr>
                <w:rFonts w:hint="eastAsia" w:ascii="宋体" w:hAnsi="宋体"/>
                <w:color w:val="auto"/>
                <w:kern w:val="0"/>
                <w:sz w:val="22"/>
                <w:szCs w:val="22"/>
                <w:highlight w:val="none"/>
                <w:lang w:eastAsia="zh-CN"/>
                <w14:ligatures w14:val="none"/>
              </w:rPr>
              <w:t>（</w:t>
            </w:r>
            <w:r>
              <w:rPr>
                <w:rFonts w:hint="eastAsia" w:ascii="宋体" w:hAnsi="宋体"/>
                <w:color w:val="auto"/>
                <w:kern w:val="0"/>
                <w:sz w:val="22"/>
                <w:szCs w:val="22"/>
                <w:highlight w:val="none"/>
                <w:lang w:val="en-US" w:eastAsia="zh-CN"/>
                <w14:ligatures w14:val="none"/>
              </w:rPr>
              <w:t>±5%</w:t>
            </w:r>
            <w:r>
              <w:rPr>
                <w:rFonts w:hint="eastAsia" w:ascii="宋体" w:hAnsi="宋体"/>
                <w:color w:val="auto"/>
                <w:kern w:val="0"/>
                <w:sz w:val="22"/>
                <w:szCs w:val="22"/>
                <w:highlight w:val="none"/>
                <w:lang w:eastAsia="zh-CN"/>
                <w14:ligatures w14:val="none"/>
              </w:rPr>
              <w:t>）</w:t>
            </w:r>
            <w:r>
              <w:rPr>
                <w:rFonts w:hint="eastAsia" w:ascii="宋体" w:hAnsi="宋体"/>
                <w:color w:val="auto"/>
                <w:kern w:val="0"/>
                <w:sz w:val="22"/>
                <w:szCs w:val="22"/>
                <w:highlight w:val="none"/>
                <w14:ligatures w14:val="none"/>
              </w:rPr>
              <w:t>平方米；屏幕分辨率≥3840×1620；</w:t>
            </w:r>
          </w:p>
          <w:p w14:paraId="3114A1E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封装方式：采用COB倒装封装，采用RGB晶片全倒装技术，晶片直接焊在PCB上，无焊线，散热好；</w:t>
            </w:r>
          </w:p>
          <w:p w14:paraId="1CE7112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最大对比度≥10000:1；</w:t>
            </w:r>
          </w:p>
          <w:p w14:paraId="35B341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亮度：≥800cd/m2，符合SJ/T11141-2017标准C级；</w:t>
            </w:r>
          </w:p>
          <w:p w14:paraId="18B2F43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刷新率≥3840Hz；换帧频率（Hz）：支持≥60Hz；</w:t>
            </w:r>
          </w:p>
          <w:p w14:paraId="530E7F9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低亮高灰：支持软件实现不同亮度情况下，灰度 10-19bits 任意设置，支持软件的灰度设置：100%亮度时，最高支持19bit灰度；</w:t>
            </w:r>
          </w:p>
          <w:p w14:paraId="6FF2708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整机箱体精密压铸铝一体化加工而成，精度高，屏体拼接平整度好，箱体平整度≤0.1mm；</w:t>
            </w:r>
          </w:p>
          <w:p w14:paraId="3F23A2A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平均使用寿命≥200000小时；</w:t>
            </w:r>
          </w:p>
          <w:p w14:paraId="3E1BB0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功耗：峰值功耗≤390W/m2，平均功耗≤150W/m2。</w:t>
            </w:r>
          </w:p>
        </w:tc>
        <w:tc>
          <w:tcPr>
            <w:tcW w:w="415" w:type="pct"/>
            <w:vAlign w:val="center"/>
          </w:tcPr>
          <w:p w14:paraId="7AE4A9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9.72</w:t>
            </w:r>
          </w:p>
        </w:tc>
        <w:tc>
          <w:tcPr>
            <w:tcW w:w="445" w:type="pct"/>
            <w:vAlign w:val="center"/>
          </w:tcPr>
          <w:p w14:paraId="029DDF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r>
      <w:tr w14:paraId="67CD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CFC07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LED拼接处理器</w:t>
            </w:r>
          </w:p>
        </w:tc>
        <w:tc>
          <w:tcPr>
            <w:tcW w:w="3492" w:type="pct"/>
            <w:vAlign w:val="center"/>
          </w:tcPr>
          <w:p w14:paraId="202CBE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单台具备不少于24路千兆网口输出，带载能力可达1560万像素、最宽16384像素、最高8192像素，网口带载没有矩形带载限制，支持自由走线，最大化提高网口带载利用率；</w:t>
            </w:r>
          </w:p>
          <w:p w14:paraId="03C692F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集视频处理、视频控制以及LED屏体配置等功能于一体，具备多种类的视频信号接收能力、4K×2K@60Hz的图像处理能力和发送能力；</w:t>
            </w:r>
          </w:p>
          <w:p w14:paraId="585DC27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拥有完备的视频输入接口：1路HIDMI2.0，1路DP1.2，4路HDMI；</w:t>
            </w:r>
          </w:p>
          <w:p w14:paraId="12222F3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支持HDR输出，能够极大地增强显示屏的画质，使画面色彩更加真实生动，细节更加清晰；</w:t>
            </w:r>
          </w:p>
          <w:p w14:paraId="341099F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支持个性化的画质缩放：支持不少于三种画面缩放模式，包括点对点模式、全屏缩放、自定义缩放。搭载superview画质处理技术，画面可无极缩放；</w:t>
            </w:r>
          </w:p>
          <w:p w14:paraId="71AFD8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支持对LED显示屏输出画面的画质调节，包括但不限于：亮度、饱和度、对比度等；</w:t>
            </w:r>
          </w:p>
          <w:p w14:paraId="6D0B1FC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支持多窗口显示，不少于6窗口的任意布局，至少包含2路4K窗口+4路2K窗口；</w:t>
            </w:r>
          </w:p>
          <w:p w14:paraId="42EE878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支持OSD字幕功能，字幕颜色，内容可通过软件自定义编辑；</w:t>
            </w:r>
          </w:p>
          <w:p w14:paraId="5C6A00D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支持高位深信号输入源输入，最高支持12bit信号输入；</w:t>
            </w:r>
          </w:p>
          <w:p w14:paraId="6E3923E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支持音频功能，输入接口支持音频伴随输入，输出音频支持随信号切换而切换；</w:t>
            </w:r>
          </w:p>
          <w:p w14:paraId="5F9C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支持场景预设功能，可创建不低于10个用户场景作为模板保存，方便直接调用；</w:t>
            </w:r>
          </w:p>
          <w:p w14:paraId="6786DA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支持对输入信号进行分辨率自定义，最大可支持4096*2160@60信号输入，并向下兼容4K*1K，2K等；</w:t>
            </w:r>
          </w:p>
          <w:p w14:paraId="04C4E6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设备前面板应配备LCD显示模块，可直接观察各接口的通讯状态，设备型号，IP地址，屏幕大小及信号源状态等信息，简化系统的控制操作。</w:t>
            </w:r>
          </w:p>
        </w:tc>
        <w:tc>
          <w:tcPr>
            <w:tcW w:w="415" w:type="pct"/>
            <w:vAlign w:val="center"/>
          </w:tcPr>
          <w:p w14:paraId="1E0118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45" w:type="pct"/>
            <w:vAlign w:val="center"/>
          </w:tcPr>
          <w:p w14:paraId="0FACB2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台</w:t>
            </w:r>
          </w:p>
        </w:tc>
      </w:tr>
      <w:tr w14:paraId="5FC0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B0979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配电柜</w:t>
            </w:r>
          </w:p>
        </w:tc>
        <w:tc>
          <w:tcPr>
            <w:tcW w:w="3492" w:type="pct"/>
            <w:vAlign w:val="center"/>
          </w:tcPr>
          <w:p w14:paraId="77C5766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1.三机配电系统，功率≥15kW；</w:t>
            </w:r>
          </w:p>
          <w:p w14:paraId="476820F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2.具有过载、过流保护功能，电流超过30A、负载超过18KW时，配电柜会自动断电并向控制电脑发出过流过载信息提示；</w:t>
            </w:r>
          </w:p>
          <w:p w14:paraId="73C0DBB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3.通过定制软件控制电源系统的开关，具有温湿度采集；</w:t>
            </w:r>
          </w:p>
          <w:p w14:paraId="24AA980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4.通过PLC可设定任意时间开启和关闭LED显示屏电源；</w:t>
            </w:r>
          </w:p>
          <w:p w14:paraId="65D07CC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5.通过PLC可设定任意时间关闭计算。</w:t>
            </w:r>
          </w:p>
        </w:tc>
        <w:tc>
          <w:tcPr>
            <w:tcW w:w="415" w:type="pct"/>
            <w:vAlign w:val="center"/>
          </w:tcPr>
          <w:p w14:paraId="1241D9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45" w:type="pct"/>
            <w:vAlign w:val="center"/>
          </w:tcPr>
          <w:p w14:paraId="408A0B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台</w:t>
            </w:r>
          </w:p>
        </w:tc>
      </w:tr>
      <w:tr w14:paraId="2BD6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B4610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综合布线</w:t>
            </w:r>
          </w:p>
        </w:tc>
        <w:tc>
          <w:tcPr>
            <w:tcW w:w="3492" w:type="pct"/>
            <w:vAlign w:val="center"/>
          </w:tcPr>
          <w:p w14:paraId="0C2BEDE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通讯线：六类网线12根，距离约30米；</w:t>
            </w:r>
          </w:p>
          <w:p w14:paraId="55D57B4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输出端电源线：BVR4*4+1*2.5 1组，距离约30米；</w:t>
            </w:r>
          </w:p>
          <w:p w14:paraId="2C14AAB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配电柜控制线：六类网线1根，距离约30米；</w:t>
            </w:r>
          </w:p>
          <w:p w14:paraId="44D50F6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视频线：控制席位至机柜的光纤HDMI线2根，音频线2根，距离约20米；会议桌至机柜的光纤HDMI线2根，音频线2根，距离约30米；其他设备连接的1.5米长HDMI线4根</w:t>
            </w:r>
          </w:p>
        </w:tc>
        <w:tc>
          <w:tcPr>
            <w:tcW w:w="415" w:type="pct"/>
            <w:vAlign w:val="center"/>
          </w:tcPr>
          <w:p w14:paraId="42B3AB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45" w:type="pct"/>
            <w:vAlign w:val="center"/>
          </w:tcPr>
          <w:p w14:paraId="1E5817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w:t>
            </w:r>
          </w:p>
        </w:tc>
      </w:tr>
      <w:tr w14:paraId="5D4B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60DFA4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钢结构及包边</w:t>
            </w:r>
          </w:p>
        </w:tc>
        <w:tc>
          <w:tcPr>
            <w:tcW w:w="3492" w:type="pct"/>
            <w:vAlign w:val="center"/>
          </w:tcPr>
          <w:p w14:paraId="0E90206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落地支撑式钢结构，采用镀锌钢管制作；黑色钛金不锈钢包边</w:t>
            </w:r>
          </w:p>
        </w:tc>
        <w:tc>
          <w:tcPr>
            <w:tcW w:w="415" w:type="pct"/>
            <w:vAlign w:val="center"/>
          </w:tcPr>
          <w:p w14:paraId="2F20CE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45" w:type="pct"/>
            <w:vAlign w:val="center"/>
          </w:tcPr>
          <w:p w14:paraId="1B3975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w:t>
            </w:r>
          </w:p>
        </w:tc>
      </w:tr>
      <w:tr w14:paraId="5DD5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AE982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安装调试费</w:t>
            </w:r>
          </w:p>
        </w:tc>
        <w:tc>
          <w:tcPr>
            <w:tcW w:w="3492" w:type="pct"/>
            <w:vAlign w:val="center"/>
          </w:tcPr>
          <w:p w14:paraId="4155465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含运输、安装调试</w:t>
            </w:r>
          </w:p>
        </w:tc>
        <w:tc>
          <w:tcPr>
            <w:tcW w:w="415" w:type="pct"/>
            <w:vAlign w:val="center"/>
          </w:tcPr>
          <w:p w14:paraId="37DBA9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45" w:type="pct"/>
            <w:vAlign w:val="center"/>
          </w:tcPr>
          <w:p w14:paraId="5B4BBE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w:t>
            </w:r>
          </w:p>
        </w:tc>
      </w:tr>
    </w:tbl>
    <w:p w14:paraId="2002913B">
      <w:pPr>
        <w:pStyle w:val="3"/>
        <w:bidi w:val="0"/>
        <w:ind w:left="0" w:leftChars="0" w:firstLine="0" w:firstLineChars="0"/>
        <w:rPr>
          <w:rFonts w:hint="eastAsia"/>
          <w:color w:val="auto"/>
          <w:highlight w:val="none"/>
        </w:rPr>
      </w:pPr>
      <w:bookmarkStart w:id="7" w:name="_Toc12943"/>
      <w:bookmarkStart w:id="8" w:name="_Toc6311"/>
      <w:r>
        <w:rPr>
          <w:rFonts w:hint="eastAsia"/>
          <w:color w:val="auto"/>
          <w:highlight w:val="none"/>
        </w:rPr>
        <w:t>笔记本电脑工作站</w:t>
      </w:r>
      <w:bookmarkEnd w:id="7"/>
      <w:bookmarkEnd w:id="8"/>
    </w:p>
    <w:p w14:paraId="053E7EEC">
      <w:pPr>
        <w:bidi w:val="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配套</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台高性能的笔记本电脑工作站，用于GIS平台的操作。</w:t>
      </w:r>
    </w:p>
    <w:p w14:paraId="4368FB03">
      <w:pPr>
        <w:bidi w:val="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设备技术要求如下：</w:t>
      </w:r>
    </w:p>
    <w:p w14:paraId="7DA8F0C7">
      <w:pPr>
        <w:bidi w:val="0"/>
        <w:ind w:left="0" w:leftChars="0" w:right="0" w:rightChars="0" w:firstLine="0" w:firstLineChars="0"/>
        <w:jc w:val="center"/>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表 笔记本电脑工作站技术要求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5955"/>
        <w:gridCol w:w="708"/>
        <w:gridCol w:w="759"/>
      </w:tblGrid>
      <w:tr w14:paraId="3232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45" w:type="pct"/>
            <w:vAlign w:val="center"/>
          </w:tcPr>
          <w:p w14:paraId="02C725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设备名称</w:t>
            </w:r>
          </w:p>
        </w:tc>
        <w:tc>
          <w:tcPr>
            <w:tcW w:w="3492" w:type="pct"/>
            <w:vAlign w:val="center"/>
          </w:tcPr>
          <w:p w14:paraId="1BC396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技术参数</w:t>
            </w:r>
          </w:p>
        </w:tc>
        <w:tc>
          <w:tcPr>
            <w:tcW w:w="415" w:type="pct"/>
            <w:vAlign w:val="center"/>
          </w:tcPr>
          <w:p w14:paraId="5C2B86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c>
          <w:tcPr>
            <w:tcW w:w="445" w:type="pct"/>
            <w:vAlign w:val="center"/>
          </w:tcPr>
          <w:p w14:paraId="4DD58F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r>
      <w:tr w14:paraId="77AF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EB377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笔记本电脑工作站</w:t>
            </w:r>
          </w:p>
        </w:tc>
        <w:tc>
          <w:tcPr>
            <w:tcW w:w="3492" w:type="pct"/>
            <w:vAlign w:val="center"/>
          </w:tcPr>
          <w:p w14:paraId="61F5EBD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机身材质：金属＋复合材质</w:t>
            </w:r>
          </w:p>
          <w:p w14:paraId="51A7B8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CPU：≥</w:t>
            </w:r>
            <w:r>
              <w:rPr>
                <w:rFonts w:hint="eastAsia" w:ascii="Times New Roman" w:hAnsi="Times New Roman" w:eastAsia="宋体"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rPr>
              <w:t>核</w:t>
            </w:r>
          </w:p>
          <w:p w14:paraId="33D8C1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内存：≥32GB</w:t>
            </w:r>
          </w:p>
          <w:p w14:paraId="2314C5B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硬盘：≥1TB SSD</w:t>
            </w:r>
          </w:p>
          <w:p w14:paraId="5A1807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屏幕尺寸：15.6英寸</w:t>
            </w:r>
          </w:p>
          <w:p w14:paraId="3D8076F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屏幕分辨率：1920*1080</w:t>
            </w:r>
          </w:p>
          <w:p w14:paraId="4CB1F5B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显卡：RTX 4050</w:t>
            </w:r>
          </w:p>
        </w:tc>
        <w:tc>
          <w:tcPr>
            <w:tcW w:w="415" w:type="pct"/>
            <w:vAlign w:val="center"/>
          </w:tcPr>
          <w:p w14:paraId="17DC0F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445" w:type="pct"/>
            <w:vAlign w:val="center"/>
          </w:tcPr>
          <w:p w14:paraId="6C5BC3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台</w:t>
            </w:r>
          </w:p>
        </w:tc>
      </w:tr>
    </w:tbl>
    <w:p w14:paraId="05B7F516">
      <w:pPr>
        <w:rPr>
          <w:rFonts w:hint="eastAsia"/>
          <w:color w:val="auto"/>
          <w:highlight w:val="none"/>
        </w:rPr>
      </w:pPr>
      <w:bookmarkStart w:id="9" w:name="_Toc7333"/>
      <w:bookmarkStart w:id="10" w:name="_Toc31714"/>
      <w:r>
        <w:rPr>
          <w:rFonts w:hint="eastAsia"/>
          <w:color w:val="auto"/>
          <w:highlight w:val="none"/>
        </w:rPr>
        <w:br w:type="page"/>
      </w:r>
    </w:p>
    <w:p w14:paraId="604C370F">
      <w:pPr>
        <w:pStyle w:val="3"/>
        <w:bidi w:val="0"/>
        <w:ind w:left="0" w:leftChars="0" w:firstLine="0" w:firstLineChars="0"/>
        <w:rPr>
          <w:rFonts w:hint="eastAsia"/>
          <w:color w:val="auto"/>
          <w:highlight w:val="none"/>
        </w:rPr>
      </w:pPr>
      <w:r>
        <w:rPr>
          <w:rFonts w:hint="eastAsia"/>
          <w:color w:val="auto"/>
          <w:highlight w:val="none"/>
        </w:rPr>
        <w:t>机架式服务器</w:t>
      </w:r>
      <w:bookmarkEnd w:id="9"/>
      <w:bookmarkEnd w:id="10"/>
    </w:p>
    <w:p w14:paraId="498B85BC">
      <w:pPr>
        <w:bidi w:val="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配套1台机架式服务器用于GIS平台的部署。</w:t>
      </w:r>
    </w:p>
    <w:p w14:paraId="5E91C66F">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设备技术要求如下：</w:t>
      </w:r>
    </w:p>
    <w:p w14:paraId="4B1D485F">
      <w:pPr>
        <w:bidi w:val="0"/>
        <w:ind w:left="0" w:leftChars="0" w:right="0" w:rightChars="0" w:firstLine="0" w:firstLineChars="0"/>
        <w:jc w:val="center"/>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表 机架式服务器技术要求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5955"/>
        <w:gridCol w:w="708"/>
        <w:gridCol w:w="759"/>
      </w:tblGrid>
      <w:tr w14:paraId="7F52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645" w:type="pct"/>
            <w:vAlign w:val="center"/>
          </w:tcPr>
          <w:p w14:paraId="758B53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设备名称</w:t>
            </w:r>
          </w:p>
        </w:tc>
        <w:tc>
          <w:tcPr>
            <w:tcW w:w="3492" w:type="pct"/>
            <w:vAlign w:val="center"/>
          </w:tcPr>
          <w:p w14:paraId="545037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技术参数</w:t>
            </w:r>
          </w:p>
        </w:tc>
        <w:tc>
          <w:tcPr>
            <w:tcW w:w="415" w:type="pct"/>
            <w:vAlign w:val="center"/>
          </w:tcPr>
          <w:p w14:paraId="7078D8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c>
          <w:tcPr>
            <w:tcW w:w="445" w:type="pct"/>
            <w:vAlign w:val="center"/>
          </w:tcPr>
          <w:p w14:paraId="1D646E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r>
      <w:tr w14:paraId="4F7D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45" w:type="pct"/>
            <w:vAlign w:val="center"/>
          </w:tcPr>
          <w:p w14:paraId="3525B1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机架式服务器</w:t>
            </w:r>
          </w:p>
        </w:tc>
        <w:tc>
          <w:tcPr>
            <w:tcW w:w="3492" w:type="pct"/>
            <w:vAlign w:val="center"/>
          </w:tcPr>
          <w:p w14:paraId="7634D47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规格：2U机架式，国产</w:t>
            </w:r>
          </w:p>
          <w:p w14:paraId="4170187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CPU类型：≥20核，≤150W，≥2.3GHz处理器</w:t>
            </w:r>
          </w:p>
          <w:p w14:paraId="026CAC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内存：最大配置32条 DDR4 内存，最大支持4TB，本次配置64G内存</w:t>
            </w:r>
          </w:p>
          <w:p w14:paraId="4ADFE91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硬盘：支持20块LFF SAS／SATA热插拔硬盘，或支持≥39块SFF热插拔SAS／SATA／SSD硬盘</w:t>
            </w:r>
          </w:p>
          <w:p w14:paraId="70EA640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本次配置2*4T硬盘</w:t>
            </w:r>
          </w:p>
          <w:p w14:paraId="38AD347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阵列卡：配置SAS PM8222 12Gb PCIe RAID控制器，可支持raid0/1/5/6/10/50/60</w:t>
            </w:r>
          </w:p>
          <w:p w14:paraId="1276A15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板载网卡：配置2个万兆以太网口（含模块）；4口千兆以太网口</w:t>
            </w:r>
          </w:p>
          <w:p w14:paraId="6FECBB8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IO扩展：PCIe 4.0插槽不低于8个，支持高速扩展卡</w:t>
            </w:r>
          </w:p>
          <w:p w14:paraId="3A93E1F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电源及外设：配置2*550w冗余电源，6个热插拔风扇，机架安装导轨</w:t>
            </w:r>
          </w:p>
          <w:p w14:paraId="5C2C939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管理：支持简体中文版服务器管理软件</w:t>
            </w:r>
          </w:p>
          <w:p w14:paraId="59D8935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维护：模块化免工具拆卸</w:t>
            </w:r>
          </w:p>
          <w:p w14:paraId="0FA7517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安全：支持TPM／TCM安全可信模块</w:t>
            </w:r>
          </w:p>
        </w:tc>
        <w:tc>
          <w:tcPr>
            <w:tcW w:w="415" w:type="pct"/>
            <w:vAlign w:val="center"/>
          </w:tcPr>
          <w:p w14:paraId="7BD382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45" w:type="pct"/>
            <w:vAlign w:val="center"/>
          </w:tcPr>
          <w:p w14:paraId="798E61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台</w:t>
            </w:r>
          </w:p>
        </w:tc>
      </w:tr>
    </w:tbl>
    <w:p w14:paraId="22103C32">
      <w:pPr>
        <w:pStyle w:val="2"/>
        <w:bidi w:val="0"/>
        <w:ind w:left="0" w:leftChars="0" w:firstLine="0" w:firstLineChars="0"/>
        <w:rPr>
          <w:rFonts w:hint="eastAsia"/>
          <w:color w:val="auto"/>
          <w:highlight w:val="none"/>
        </w:rPr>
      </w:pPr>
      <w:bookmarkStart w:id="11" w:name="_Toc27060"/>
      <w:bookmarkStart w:id="12" w:name="_Toc7887"/>
      <w:r>
        <w:rPr>
          <w:rFonts w:hint="eastAsia"/>
          <w:color w:val="auto"/>
          <w:highlight w:val="none"/>
        </w:rPr>
        <w:t>数据资源建设</w:t>
      </w:r>
      <w:bookmarkEnd w:id="11"/>
      <w:bookmarkEnd w:id="12"/>
    </w:p>
    <w:p w14:paraId="1A335B56">
      <w:pPr>
        <w:pStyle w:val="3"/>
        <w:bidi w:val="0"/>
        <w:ind w:left="0" w:leftChars="0" w:firstLine="0" w:firstLineChars="0"/>
        <w:rPr>
          <w:rFonts w:hint="eastAsia"/>
          <w:color w:val="auto"/>
          <w:highlight w:val="none"/>
        </w:rPr>
      </w:pPr>
      <w:bookmarkStart w:id="13" w:name="_Toc18701"/>
      <w:bookmarkStart w:id="14" w:name="_Toc12822"/>
      <w:r>
        <w:rPr>
          <w:rFonts w:hint="eastAsia"/>
          <w:color w:val="auto"/>
          <w:highlight w:val="none"/>
        </w:rPr>
        <w:t>数据处理与建模服务</w:t>
      </w:r>
      <w:bookmarkEnd w:id="13"/>
      <w:bookmarkEnd w:id="14"/>
    </w:p>
    <w:p w14:paraId="1E6BE2C5">
      <w:pPr>
        <w:pStyle w:val="4"/>
        <w:bidi w:val="0"/>
        <w:ind w:left="0" w:leftChars="0" w:firstLine="0" w:firstLineChars="0"/>
        <w:rPr>
          <w:rFonts w:hint="eastAsia"/>
          <w:color w:val="auto"/>
          <w:highlight w:val="none"/>
        </w:rPr>
      </w:pPr>
      <w:bookmarkStart w:id="15" w:name="_Toc24076"/>
      <w:bookmarkStart w:id="16" w:name="_Toc7773"/>
      <w:r>
        <w:rPr>
          <w:rFonts w:hint="eastAsia"/>
          <w:color w:val="auto"/>
          <w:highlight w:val="none"/>
        </w:rPr>
        <w:t>数据汇聚接入</w:t>
      </w:r>
      <w:bookmarkEnd w:id="15"/>
      <w:bookmarkEnd w:id="16"/>
    </w:p>
    <w:p w14:paraId="1DB7BAAE">
      <w:pPr>
        <w:bidi w:val="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收集雨污水管网GIS系统建设所需数据信息，包含基础地形、污水处理厂、泵站、管网、排水户、排放口、河流、监测设备等数据。</w:t>
      </w:r>
    </w:p>
    <w:p w14:paraId="2B393FB2">
      <w:pPr>
        <w:pStyle w:val="4"/>
        <w:bidi w:val="0"/>
        <w:ind w:left="0" w:leftChars="0" w:firstLine="0" w:firstLineChars="0"/>
        <w:rPr>
          <w:rFonts w:hint="eastAsia"/>
          <w:color w:val="auto"/>
          <w:highlight w:val="none"/>
        </w:rPr>
      </w:pPr>
      <w:bookmarkStart w:id="17" w:name="_Toc19680"/>
      <w:bookmarkStart w:id="18" w:name="_Toc15776"/>
      <w:r>
        <w:rPr>
          <w:rFonts w:hint="eastAsia"/>
          <w:color w:val="auto"/>
          <w:highlight w:val="none"/>
        </w:rPr>
        <w:t>数据清洗治理</w:t>
      </w:r>
      <w:bookmarkEnd w:id="17"/>
      <w:bookmarkEnd w:id="18"/>
    </w:p>
    <w:p w14:paraId="67A40947">
      <w:pPr>
        <w:bidi w:val="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包括管网数据检查整理、三维场景集成治理、排水要素逻辑关联加工、台账类业务数据治理等工作。</w:t>
      </w:r>
    </w:p>
    <w:p w14:paraId="3A1FC7B0">
      <w:pPr>
        <w:pStyle w:val="3"/>
        <w:bidi w:val="0"/>
        <w:ind w:left="0" w:leftChars="0" w:firstLine="0" w:firstLineChars="0"/>
        <w:rPr>
          <w:rFonts w:hint="eastAsia"/>
          <w:color w:val="auto"/>
          <w:highlight w:val="none"/>
        </w:rPr>
      </w:pPr>
      <w:bookmarkStart w:id="19" w:name="_Toc23583"/>
      <w:bookmarkStart w:id="20" w:name="_Toc30273"/>
      <w:r>
        <w:rPr>
          <w:rFonts w:hint="eastAsia"/>
          <w:color w:val="auto"/>
          <w:highlight w:val="none"/>
        </w:rPr>
        <w:t>三维建模服务</w:t>
      </w:r>
      <w:bookmarkEnd w:id="19"/>
      <w:bookmarkEnd w:id="20"/>
    </w:p>
    <w:p w14:paraId="4E080E7A">
      <w:pPr>
        <w:pStyle w:val="4"/>
        <w:bidi w:val="0"/>
        <w:ind w:left="0" w:leftChars="0" w:firstLine="0" w:firstLineChars="0"/>
        <w:rPr>
          <w:rFonts w:hint="eastAsia"/>
          <w:color w:val="auto"/>
          <w:highlight w:val="none"/>
        </w:rPr>
      </w:pPr>
      <w:bookmarkStart w:id="21" w:name="_Toc28301"/>
      <w:bookmarkStart w:id="22" w:name="_Toc15903"/>
      <w:r>
        <w:rPr>
          <w:rFonts w:hint="eastAsia"/>
          <w:color w:val="auto"/>
          <w:highlight w:val="none"/>
        </w:rPr>
        <w:t>三维地下管网参数化建模工具</w:t>
      </w:r>
      <w:bookmarkEnd w:id="21"/>
      <w:bookmarkEnd w:id="22"/>
    </w:p>
    <w:p w14:paraId="2252C477">
      <w:pPr>
        <w:bidi w:val="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提供</w:t>
      </w:r>
      <w:r>
        <w:rPr>
          <w:rFonts w:hint="eastAsia" w:ascii="Times New Roman" w:hAnsi="Times New Roman" w:eastAsia="宋体" w:cs="Times New Roman"/>
          <w:color w:val="auto"/>
          <w:highlight w:val="none"/>
          <w:lang w:val="en-US" w:eastAsia="zh-CN"/>
        </w:rPr>
        <w:t>桌面端</w:t>
      </w:r>
      <w:r>
        <w:rPr>
          <w:rFonts w:hint="eastAsia" w:ascii="Times New Roman" w:hAnsi="Times New Roman" w:eastAsia="宋体" w:cs="Times New Roman"/>
          <w:color w:val="auto"/>
          <w:highlight w:val="none"/>
        </w:rPr>
        <w:t>三维地下管网参数化建模工具。</w:t>
      </w:r>
      <w:r>
        <w:rPr>
          <w:rFonts w:hint="eastAsia" w:ascii="Times New Roman" w:hAnsi="Times New Roman" w:eastAsia="宋体" w:cs="Times New Roman"/>
          <w:color w:val="auto"/>
          <w:highlight w:val="none"/>
          <w:lang w:val="en-US" w:eastAsia="zh-CN"/>
        </w:rPr>
        <w:t>内置模型库、纹理库，支持基于物探数据（excel格式）或数据库中的工单数据进行全量或局部范围自动生成三维管网模型进行数据更新与发布，保障二维管网数据与三维模型同步更新</w:t>
      </w:r>
      <w:r>
        <w:rPr>
          <w:rFonts w:hint="eastAsia" w:ascii="Times New Roman" w:hAnsi="Times New Roman" w:eastAsia="宋体" w:cs="Times New Roman"/>
          <w:color w:val="auto"/>
          <w:highlight w:val="none"/>
        </w:rPr>
        <w:t>。参数化建模工具具备高可配置且自动化等特性；支持输出具有基于物理光照效果PBR材质的三维模型；支持二维/三维管网可视化；支持管井特征点、附属物三维符号化配置；尺寸、连接、空间关系自动处理。建设内容包括：数据导入、</w:t>
      </w:r>
      <w:r>
        <w:rPr>
          <w:rFonts w:hint="eastAsia" w:ascii="Times New Roman" w:hAnsi="Times New Roman" w:eastAsia="宋体" w:cs="Times New Roman"/>
          <w:color w:val="auto"/>
          <w:highlight w:val="none"/>
          <w:lang w:val="en-US" w:eastAsia="zh-CN"/>
        </w:rPr>
        <w:t>GIS基础功能、</w:t>
      </w:r>
      <w:r>
        <w:rPr>
          <w:rFonts w:hint="eastAsia" w:ascii="Times New Roman" w:hAnsi="Times New Roman" w:eastAsia="宋体" w:cs="Times New Roman"/>
          <w:color w:val="auto"/>
          <w:highlight w:val="none"/>
        </w:rPr>
        <w:t>数据</w:t>
      </w:r>
      <w:r>
        <w:rPr>
          <w:rFonts w:hint="eastAsia" w:ascii="Times New Roman" w:hAnsi="Times New Roman" w:eastAsia="宋体" w:cs="Times New Roman"/>
          <w:color w:val="auto"/>
          <w:highlight w:val="none"/>
          <w:lang w:val="en-US" w:eastAsia="zh-CN"/>
        </w:rPr>
        <w:t>检查</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质检管理、建模准备、建模管理和系统管理等功能模块</w:t>
      </w:r>
      <w:r>
        <w:rPr>
          <w:rFonts w:hint="eastAsia" w:ascii="Times New Roman" w:hAnsi="Times New Roman" w:eastAsia="宋体" w:cs="Times New Roman"/>
          <w:color w:val="auto"/>
          <w:highlight w:val="none"/>
        </w:rPr>
        <w:t>。</w:t>
      </w:r>
    </w:p>
    <w:p w14:paraId="4EEACF36">
      <w:pPr>
        <w:pStyle w:val="3"/>
        <w:bidi w:val="0"/>
        <w:ind w:left="0" w:leftChars="0" w:firstLine="0" w:firstLineChars="0"/>
        <w:rPr>
          <w:rFonts w:hint="eastAsia"/>
          <w:color w:val="auto"/>
          <w:highlight w:val="none"/>
        </w:rPr>
      </w:pPr>
      <w:bookmarkStart w:id="23" w:name="_Toc16407"/>
      <w:bookmarkStart w:id="24" w:name="_Toc11982"/>
      <w:r>
        <w:rPr>
          <w:rFonts w:hint="eastAsia"/>
          <w:color w:val="auto"/>
          <w:highlight w:val="none"/>
        </w:rPr>
        <w:t>数据建库</w:t>
      </w:r>
      <w:bookmarkEnd w:id="23"/>
      <w:bookmarkEnd w:id="24"/>
    </w:p>
    <w:p w14:paraId="1B206DFD">
      <w:pPr>
        <w:pStyle w:val="4"/>
        <w:bidi w:val="0"/>
        <w:ind w:left="0" w:leftChars="0" w:firstLine="0" w:firstLineChars="0"/>
        <w:rPr>
          <w:rFonts w:hint="eastAsia"/>
          <w:color w:val="auto"/>
          <w:highlight w:val="none"/>
        </w:rPr>
      </w:pPr>
      <w:bookmarkStart w:id="25" w:name="_Toc8015"/>
      <w:bookmarkStart w:id="26" w:name="_Toc24823"/>
      <w:r>
        <w:rPr>
          <w:rFonts w:hint="eastAsia"/>
          <w:color w:val="auto"/>
          <w:highlight w:val="none"/>
        </w:rPr>
        <w:t>基础空间数据建库</w:t>
      </w:r>
      <w:bookmarkEnd w:id="25"/>
      <w:bookmarkEnd w:id="26"/>
    </w:p>
    <w:p w14:paraId="0A8FFE49">
      <w:pPr>
        <w:bidi w:val="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完成基础空间数据库设计、建库。包括基础地形、遥感影像、河流等数据，是重要参考数据。</w:t>
      </w:r>
    </w:p>
    <w:p w14:paraId="046B733C">
      <w:pPr>
        <w:pStyle w:val="4"/>
        <w:bidi w:val="0"/>
        <w:ind w:left="0" w:leftChars="0" w:firstLine="0" w:firstLineChars="0"/>
        <w:rPr>
          <w:rFonts w:hint="eastAsia"/>
          <w:color w:val="auto"/>
          <w:highlight w:val="none"/>
        </w:rPr>
      </w:pPr>
      <w:bookmarkStart w:id="27" w:name="_Toc29676"/>
      <w:bookmarkStart w:id="28" w:name="_Toc28143"/>
      <w:r>
        <w:rPr>
          <w:rFonts w:hint="eastAsia"/>
          <w:color w:val="auto"/>
          <w:highlight w:val="none"/>
        </w:rPr>
        <w:t>排水管网数据建库</w:t>
      </w:r>
      <w:bookmarkEnd w:id="27"/>
      <w:bookmarkEnd w:id="28"/>
    </w:p>
    <w:p w14:paraId="12F0D1B0">
      <w:pPr>
        <w:bidi w:val="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完成排水管网数据库设计、建库。包括雨污管线、管点的空间位置、属性信息等，形成结构化的数据库。</w:t>
      </w:r>
    </w:p>
    <w:p w14:paraId="6887C515">
      <w:pPr>
        <w:pStyle w:val="4"/>
        <w:bidi w:val="0"/>
        <w:ind w:left="0" w:leftChars="0" w:firstLine="0" w:firstLineChars="0"/>
        <w:rPr>
          <w:rFonts w:hint="eastAsia"/>
          <w:color w:val="auto"/>
          <w:highlight w:val="none"/>
        </w:rPr>
      </w:pPr>
      <w:bookmarkStart w:id="29" w:name="_Toc3183"/>
      <w:bookmarkStart w:id="30" w:name="_Toc5608"/>
      <w:r>
        <w:rPr>
          <w:rFonts w:hint="eastAsia"/>
          <w:color w:val="auto"/>
          <w:highlight w:val="none"/>
        </w:rPr>
        <w:t>三维空间数据建库</w:t>
      </w:r>
      <w:bookmarkEnd w:id="29"/>
      <w:bookmarkEnd w:id="30"/>
    </w:p>
    <w:p w14:paraId="17B01643">
      <w:pPr>
        <w:bidi w:val="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完成三维空间数据库设计、建库。包括排水管网及其附属设施三维模型、城市地形、城市地上建筑三维模型等三维数据。</w:t>
      </w:r>
    </w:p>
    <w:p w14:paraId="184CA8A0">
      <w:pPr>
        <w:pStyle w:val="4"/>
        <w:bidi w:val="0"/>
        <w:ind w:left="0" w:leftChars="0" w:firstLine="0" w:firstLineChars="0"/>
        <w:rPr>
          <w:rFonts w:hint="eastAsia"/>
          <w:color w:val="auto"/>
          <w:highlight w:val="none"/>
        </w:rPr>
      </w:pPr>
      <w:bookmarkStart w:id="31" w:name="_Toc25633"/>
      <w:bookmarkStart w:id="32" w:name="_Toc23018"/>
      <w:r>
        <w:rPr>
          <w:rFonts w:hint="eastAsia"/>
          <w:color w:val="auto"/>
          <w:highlight w:val="none"/>
        </w:rPr>
        <w:t>物联监测数据建库</w:t>
      </w:r>
      <w:bookmarkEnd w:id="31"/>
      <w:bookmarkEnd w:id="32"/>
    </w:p>
    <w:p w14:paraId="26168F1C">
      <w:pPr>
        <w:bidi w:val="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完成物联监测数据库设计、建库。包括感知监测设备获取的排水管网关键节点水量、水质数据，污水厂泵站等设施运行数据，以及相应的告警数据、处置工单数据。</w:t>
      </w:r>
    </w:p>
    <w:p w14:paraId="04EE27AC">
      <w:pPr>
        <w:pStyle w:val="4"/>
        <w:bidi w:val="0"/>
        <w:ind w:left="0" w:leftChars="0" w:firstLine="0" w:firstLineChars="0"/>
        <w:rPr>
          <w:rFonts w:hint="eastAsia"/>
          <w:color w:val="auto"/>
          <w:highlight w:val="none"/>
        </w:rPr>
      </w:pPr>
      <w:bookmarkStart w:id="33" w:name="_Toc13237"/>
      <w:bookmarkStart w:id="34" w:name="_Toc31014"/>
      <w:r>
        <w:rPr>
          <w:rFonts w:hint="eastAsia"/>
          <w:color w:val="auto"/>
          <w:highlight w:val="none"/>
        </w:rPr>
        <w:t>排水业务数据建库</w:t>
      </w:r>
      <w:bookmarkEnd w:id="33"/>
      <w:bookmarkEnd w:id="34"/>
    </w:p>
    <w:p w14:paraId="09EF801F">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完成排水业务数据库设计、建库。包括管网病害、CCTV检测视频等管网排查数据，排水户监管数据，管网巡检养护数据等。</w:t>
      </w:r>
    </w:p>
    <w:p w14:paraId="73416350">
      <w:pPr>
        <w:pStyle w:val="3"/>
        <w:bidi w:val="0"/>
        <w:ind w:left="0" w:leftChars="0" w:firstLine="0" w:firstLineChars="0"/>
        <w:rPr>
          <w:rFonts w:hint="eastAsia"/>
          <w:color w:val="auto"/>
          <w:highlight w:val="none"/>
        </w:rPr>
      </w:pPr>
      <w:bookmarkStart w:id="35" w:name="_Toc2515"/>
      <w:bookmarkStart w:id="36" w:name="_Toc1206"/>
      <w:r>
        <w:rPr>
          <w:rFonts w:hint="eastAsia"/>
          <w:color w:val="auto"/>
          <w:highlight w:val="none"/>
        </w:rPr>
        <w:t>数据共享</w:t>
      </w:r>
      <w:bookmarkEnd w:id="35"/>
      <w:bookmarkEnd w:id="36"/>
    </w:p>
    <w:p w14:paraId="451B4F03">
      <w:pPr>
        <w:pStyle w:val="4"/>
        <w:bidi w:val="0"/>
        <w:ind w:left="0" w:leftChars="0" w:firstLine="0" w:firstLineChars="0"/>
        <w:rPr>
          <w:rFonts w:hint="eastAsia"/>
          <w:color w:val="auto"/>
          <w:highlight w:val="none"/>
        </w:rPr>
      </w:pPr>
      <w:bookmarkStart w:id="37" w:name="_Toc7725"/>
      <w:bookmarkStart w:id="38" w:name="_Toc25946"/>
      <w:r>
        <w:rPr>
          <w:rFonts w:hint="eastAsia"/>
          <w:color w:val="auto"/>
          <w:highlight w:val="none"/>
          <w:lang w:eastAsia="zh-CN"/>
        </w:rPr>
        <w:t>可</w:t>
      </w:r>
      <w:r>
        <w:rPr>
          <w:rFonts w:hint="eastAsia"/>
          <w:color w:val="auto"/>
          <w:highlight w:val="none"/>
        </w:rPr>
        <w:t>接入城管部门数据</w:t>
      </w:r>
      <w:bookmarkEnd w:id="37"/>
      <w:bookmarkEnd w:id="38"/>
    </w:p>
    <w:p w14:paraId="677AA991">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可</w:t>
      </w:r>
      <w:r>
        <w:rPr>
          <w:rFonts w:hint="eastAsia" w:ascii="Times New Roman" w:hAnsi="Times New Roman" w:eastAsia="宋体" w:cs="Times New Roman"/>
          <w:color w:val="auto"/>
          <w:highlight w:val="none"/>
        </w:rPr>
        <w:t>接入城管部门数据。</w:t>
      </w:r>
    </w:p>
    <w:p w14:paraId="7EF6F661">
      <w:pPr>
        <w:pStyle w:val="4"/>
        <w:bidi w:val="0"/>
        <w:ind w:left="0" w:leftChars="0" w:firstLine="0" w:firstLineChars="0"/>
        <w:rPr>
          <w:rFonts w:hint="eastAsia"/>
          <w:color w:val="auto"/>
          <w:highlight w:val="none"/>
        </w:rPr>
      </w:pPr>
      <w:bookmarkStart w:id="39" w:name="_Toc6513"/>
      <w:bookmarkStart w:id="40" w:name="_Toc20453"/>
      <w:r>
        <w:rPr>
          <w:rFonts w:hint="eastAsia"/>
          <w:color w:val="auto"/>
          <w:highlight w:val="none"/>
          <w:lang w:eastAsia="zh-CN"/>
        </w:rPr>
        <w:t>可</w:t>
      </w:r>
      <w:r>
        <w:rPr>
          <w:rFonts w:hint="eastAsia"/>
          <w:color w:val="auto"/>
          <w:highlight w:val="none"/>
        </w:rPr>
        <w:t>接入环保部门数据</w:t>
      </w:r>
      <w:bookmarkEnd w:id="39"/>
      <w:bookmarkEnd w:id="40"/>
    </w:p>
    <w:p w14:paraId="4F52949F">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可</w:t>
      </w:r>
      <w:r>
        <w:rPr>
          <w:rFonts w:hint="eastAsia" w:ascii="Times New Roman" w:hAnsi="Times New Roman" w:eastAsia="宋体" w:cs="Times New Roman"/>
          <w:color w:val="auto"/>
          <w:highlight w:val="none"/>
        </w:rPr>
        <w:t>接入环保部门数据。</w:t>
      </w:r>
    </w:p>
    <w:p w14:paraId="09E1033D">
      <w:pPr>
        <w:pStyle w:val="2"/>
        <w:bidi w:val="0"/>
        <w:ind w:left="0" w:leftChars="0" w:firstLine="0" w:firstLineChars="0"/>
        <w:rPr>
          <w:rFonts w:hint="eastAsia"/>
          <w:color w:val="auto"/>
          <w:highlight w:val="none"/>
        </w:rPr>
      </w:pPr>
      <w:bookmarkStart w:id="41" w:name="_Toc18780"/>
      <w:bookmarkStart w:id="42" w:name="_Toc26509"/>
      <w:r>
        <w:rPr>
          <w:rFonts w:hint="eastAsia"/>
          <w:color w:val="auto"/>
          <w:highlight w:val="none"/>
        </w:rPr>
        <w:t>支撑平台建设</w:t>
      </w:r>
      <w:bookmarkEnd w:id="41"/>
      <w:bookmarkEnd w:id="42"/>
    </w:p>
    <w:p w14:paraId="5CFF28AB">
      <w:pPr>
        <w:pStyle w:val="3"/>
        <w:bidi w:val="0"/>
        <w:ind w:left="0" w:leftChars="0" w:firstLine="0" w:firstLineChars="0"/>
        <w:rPr>
          <w:rFonts w:hint="eastAsia"/>
          <w:color w:val="auto"/>
          <w:highlight w:val="none"/>
        </w:rPr>
      </w:pPr>
      <w:bookmarkStart w:id="43" w:name="_Toc25769"/>
      <w:bookmarkStart w:id="44" w:name="_Toc13414"/>
      <w:r>
        <w:rPr>
          <w:rFonts w:hint="eastAsia"/>
          <w:color w:val="auto"/>
          <w:highlight w:val="none"/>
        </w:rPr>
        <w:t>网页端GIS平台</w:t>
      </w:r>
      <w:bookmarkEnd w:id="43"/>
      <w:bookmarkEnd w:id="44"/>
    </w:p>
    <w:p w14:paraId="2311A19E">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面向Web三维GIS平台进行数据优化与处理，提供系统相关BIM、GIS数据等多源异构空间数据的轻量化、标准化处理和格式互转换等功能，同时支持对轻量化后的三维场景进行预览，预览时可进行优化调整和城市小品模型构建。</w:t>
      </w:r>
    </w:p>
    <w:p w14:paraId="27726C76">
      <w:pPr>
        <w:pStyle w:val="3"/>
        <w:bidi w:val="0"/>
        <w:ind w:left="0" w:leftChars="0" w:firstLine="0" w:firstLineChars="0"/>
        <w:rPr>
          <w:rFonts w:hint="eastAsia"/>
          <w:color w:val="auto"/>
          <w:highlight w:val="none"/>
        </w:rPr>
      </w:pPr>
      <w:bookmarkStart w:id="45" w:name="_Toc843"/>
      <w:bookmarkStart w:id="46" w:name="_Toc8985"/>
      <w:r>
        <w:rPr>
          <w:rFonts w:hint="eastAsia"/>
          <w:color w:val="auto"/>
          <w:highlight w:val="none"/>
        </w:rPr>
        <w:t>数据发布管理</w:t>
      </w:r>
      <w:bookmarkEnd w:id="45"/>
      <w:bookmarkEnd w:id="46"/>
    </w:p>
    <w:p w14:paraId="333F96E7">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通过跨平台的服务方式面向网络客户端提供数据管理与整合的功能，可以无缝地聚合多源数据服务。支持海量多源多尺度数据的统一接入及多标准服务发布；支持云端与跨平台部署，多平台数据统一管理；支持场景编辑与分享，方便场景定制与展示，同时提供矢量数据、模型要素、点位数据、管线数据等数据服务的查询和分析接口，拥有从数据发布、场景创建到服务分享与分析等完整功能。</w:t>
      </w:r>
    </w:p>
    <w:p w14:paraId="36CD99C3">
      <w:pPr>
        <w:bidi w:val="0"/>
        <w:rPr>
          <w:color w:val="auto"/>
          <w:highlight w:val="none"/>
        </w:rPr>
      </w:pPr>
      <w:r>
        <w:rPr>
          <w:rFonts w:hint="eastAsia" w:ascii="Times New Roman" w:hAnsi="Times New Roman" w:eastAsia="宋体" w:cs="Times New Roman"/>
          <w:color w:val="auto"/>
          <w:highlight w:val="none"/>
        </w:rPr>
        <w:t>软件支持适配兼容国产操作系统、处理器、数据库、中间件。</w:t>
      </w:r>
    </w:p>
    <w:p w14:paraId="5D2768F6">
      <w:pPr>
        <w:pStyle w:val="3"/>
        <w:bidi w:val="0"/>
        <w:ind w:left="0" w:leftChars="0" w:firstLine="0" w:firstLineChars="0"/>
        <w:rPr>
          <w:rFonts w:hint="eastAsia"/>
          <w:color w:val="auto"/>
          <w:highlight w:val="none"/>
        </w:rPr>
      </w:pPr>
      <w:bookmarkStart w:id="47" w:name="_Toc32494"/>
      <w:bookmarkStart w:id="48" w:name="_Toc9981"/>
      <w:r>
        <w:rPr>
          <w:rFonts w:hint="eastAsia"/>
          <w:color w:val="auto"/>
          <w:highlight w:val="none"/>
        </w:rPr>
        <w:t>数字孪生引擎</w:t>
      </w:r>
      <w:bookmarkEnd w:id="47"/>
      <w:bookmarkEnd w:id="48"/>
    </w:p>
    <w:p w14:paraId="0FAFB14D">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实现高性能、大范围地上下、室内外、二三维实景三维场景数据的一体化展示以及三维分析应用，包括空间量测、空间分析、场景展示、标绘工具、查询统计、物联网对接、GPS移动轨迹接入等功能。</w:t>
      </w:r>
    </w:p>
    <w:p w14:paraId="24081B47">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软件支持适配兼容国产操作系统、处理器。</w:t>
      </w:r>
    </w:p>
    <w:p w14:paraId="6B683226">
      <w:pPr>
        <w:pStyle w:val="2"/>
        <w:bidi w:val="0"/>
        <w:ind w:left="0" w:leftChars="0" w:firstLine="0" w:firstLineChars="0"/>
        <w:rPr>
          <w:rFonts w:hint="eastAsia"/>
          <w:color w:val="auto"/>
          <w:highlight w:val="none"/>
        </w:rPr>
      </w:pPr>
      <w:bookmarkStart w:id="49" w:name="_Toc31002"/>
      <w:bookmarkStart w:id="50" w:name="_Toc19721"/>
      <w:r>
        <w:rPr>
          <w:rFonts w:hint="eastAsia"/>
          <w:color w:val="auto"/>
          <w:highlight w:val="none"/>
        </w:rPr>
        <w:t>业务应用建设</w:t>
      </w:r>
      <w:bookmarkEnd w:id="49"/>
      <w:bookmarkEnd w:id="50"/>
    </w:p>
    <w:p w14:paraId="15AE22CD">
      <w:pPr>
        <w:pStyle w:val="3"/>
        <w:bidi w:val="0"/>
        <w:ind w:left="0" w:leftChars="0" w:firstLine="0" w:firstLineChars="0"/>
        <w:rPr>
          <w:rFonts w:hint="eastAsia"/>
          <w:color w:val="auto"/>
          <w:highlight w:val="none"/>
        </w:rPr>
      </w:pPr>
      <w:bookmarkStart w:id="51" w:name="_Toc10313"/>
      <w:bookmarkStart w:id="52" w:name="_Toc8360"/>
      <w:r>
        <w:rPr>
          <w:rFonts w:hint="eastAsia"/>
          <w:color w:val="auto"/>
          <w:highlight w:val="none"/>
        </w:rPr>
        <w:t>排水管网二维GIS系统（B/S）</w:t>
      </w:r>
      <w:bookmarkEnd w:id="51"/>
      <w:bookmarkEnd w:id="52"/>
    </w:p>
    <w:p w14:paraId="75288B9E">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排水管网二维GIS系统（B/S）以</w:t>
      </w:r>
      <w:r>
        <w:rPr>
          <w:rFonts w:hint="eastAsia" w:cs="Times New Roman"/>
          <w:color w:val="auto"/>
          <w:highlight w:val="none"/>
          <w:lang w:eastAsia="zh-CN"/>
        </w:rPr>
        <w:t>“</w:t>
      </w:r>
      <w:r>
        <w:rPr>
          <w:rFonts w:hint="eastAsia" w:ascii="Times New Roman" w:hAnsi="Times New Roman" w:eastAsia="宋体" w:cs="Times New Roman"/>
          <w:color w:val="auto"/>
          <w:highlight w:val="none"/>
        </w:rPr>
        <w:t>一张图</w:t>
      </w:r>
      <w:r>
        <w:rPr>
          <w:rFonts w:hint="eastAsia" w:cs="Times New Roman"/>
          <w:color w:val="auto"/>
          <w:highlight w:val="none"/>
          <w:lang w:eastAsia="zh-CN"/>
        </w:rPr>
        <w:t>”</w:t>
      </w:r>
      <w:r>
        <w:rPr>
          <w:rFonts w:hint="eastAsia" w:ascii="Times New Roman" w:hAnsi="Times New Roman" w:eastAsia="宋体" w:cs="Times New Roman"/>
          <w:color w:val="auto"/>
          <w:highlight w:val="none"/>
        </w:rPr>
        <w:t>为核心，集成排水设施的二维地图浏览、属性查询、专业分析、运行监测、病害检测和养护管理六大能力，实现</w:t>
      </w:r>
      <w:r>
        <w:rPr>
          <w:rFonts w:hint="eastAsia" w:cs="Times New Roman"/>
          <w:color w:val="auto"/>
          <w:highlight w:val="none"/>
          <w:lang w:eastAsia="zh-CN"/>
        </w:rPr>
        <w:t>“</w:t>
      </w:r>
      <w:r>
        <w:rPr>
          <w:rFonts w:hint="eastAsia" w:ascii="Times New Roman" w:hAnsi="Times New Roman" w:eastAsia="宋体" w:cs="Times New Roman"/>
          <w:color w:val="auto"/>
          <w:highlight w:val="none"/>
        </w:rPr>
        <w:t>看、查、析、监、检、养</w:t>
      </w:r>
      <w:r>
        <w:rPr>
          <w:rFonts w:hint="eastAsia" w:cs="Times New Roman"/>
          <w:color w:val="auto"/>
          <w:highlight w:val="none"/>
          <w:lang w:eastAsia="zh-CN"/>
        </w:rPr>
        <w:t>”</w:t>
      </w:r>
      <w:r>
        <w:rPr>
          <w:rFonts w:hint="eastAsia" w:ascii="Times New Roman" w:hAnsi="Times New Roman" w:eastAsia="宋体" w:cs="Times New Roman"/>
          <w:color w:val="auto"/>
          <w:highlight w:val="none"/>
        </w:rPr>
        <w:t>全链条闭环。系统通过统一GIS底座汇聚排水空间与业务数据，为管理者提供可视化的现状掌控、风险预警和决策支撑工具，全面提升城镇排水管网的精细化、智能化管理水平。</w:t>
      </w:r>
    </w:p>
    <w:p w14:paraId="60203A04">
      <w:pPr>
        <w:pStyle w:val="4"/>
        <w:bidi w:val="0"/>
        <w:ind w:left="0" w:leftChars="0" w:firstLine="0" w:firstLineChars="0"/>
        <w:rPr>
          <w:rFonts w:hint="eastAsia"/>
          <w:color w:val="auto"/>
          <w:highlight w:val="none"/>
        </w:rPr>
      </w:pPr>
      <w:bookmarkStart w:id="53" w:name="_Toc948"/>
      <w:bookmarkStart w:id="54" w:name="_Toc21204"/>
      <w:r>
        <w:rPr>
          <w:rFonts w:hint="eastAsia"/>
          <w:color w:val="auto"/>
          <w:highlight w:val="none"/>
        </w:rPr>
        <w:t>地图工具</w:t>
      </w:r>
      <w:bookmarkEnd w:id="53"/>
      <w:bookmarkEnd w:id="54"/>
    </w:p>
    <w:p w14:paraId="551C16A4">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提供标准的排水设施二维地图显示功能，支持</w:t>
      </w:r>
      <w:r>
        <w:rPr>
          <w:rFonts w:hint="eastAsia" w:ascii="Times New Roman" w:hAnsi="Times New Roman" w:eastAsia="宋体" w:cs="Times New Roman"/>
          <w:color w:val="auto"/>
          <w:highlight w:val="none"/>
          <w:lang w:val="en-US" w:eastAsia="zh-CN"/>
        </w:rPr>
        <w:t>二维GIS</w:t>
      </w:r>
      <w:r>
        <w:rPr>
          <w:rFonts w:hint="eastAsia" w:ascii="Times New Roman" w:hAnsi="Times New Roman" w:eastAsia="宋体" w:cs="Times New Roman"/>
          <w:color w:val="auto"/>
          <w:highlight w:val="none"/>
        </w:rPr>
        <w:t>视图操作、图层控制、底图切换、图例展示、地图打印、</w:t>
      </w:r>
      <w:r>
        <w:rPr>
          <w:rFonts w:hint="eastAsia" w:ascii="Times New Roman" w:hAnsi="Times New Roman" w:eastAsia="宋体" w:cs="Times New Roman"/>
          <w:color w:val="auto"/>
          <w:highlight w:val="none"/>
          <w:lang w:val="en-US" w:eastAsia="zh-CN"/>
        </w:rPr>
        <w:t>量算功能</w:t>
      </w:r>
      <w:r>
        <w:rPr>
          <w:rFonts w:hint="eastAsia" w:ascii="Times New Roman" w:hAnsi="Times New Roman" w:eastAsia="宋体" w:cs="Times New Roman"/>
          <w:color w:val="auto"/>
          <w:highlight w:val="none"/>
        </w:rPr>
        <w:t>、地图书签</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属性查看、标注配置</w:t>
      </w:r>
      <w:r>
        <w:rPr>
          <w:rFonts w:hint="eastAsia" w:ascii="Times New Roman" w:hAnsi="Times New Roman" w:eastAsia="宋体" w:cs="Times New Roman"/>
          <w:color w:val="auto"/>
          <w:highlight w:val="none"/>
        </w:rPr>
        <w:t>等工具。</w:t>
      </w:r>
    </w:p>
    <w:p w14:paraId="7B65D61A">
      <w:pPr>
        <w:pStyle w:val="4"/>
        <w:bidi w:val="0"/>
        <w:ind w:left="0" w:leftChars="0" w:firstLine="0" w:firstLineChars="0"/>
        <w:rPr>
          <w:rFonts w:hint="eastAsia"/>
          <w:color w:val="auto"/>
          <w:highlight w:val="none"/>
        </w:rPr>
      </w:pPr>
      <w:bookmarkStart w:id="55" w:name="_Toc14170"/>
      <w:bookmarkStart w:id="56" w:name="_Toc29507"/>
      <w:r>
        <w:rPr>
          <w:rFonts w:hint="eastAsia"/>
          <w:color w:val="auto"/>
          <w:highlight w:val="none"/>
        </w:rPr>
        <w:t>管网查询</w:t>
      </w:r>
      <w:bookmarkEnd w:id="55"/>
      <w:bookmarkEnd w:id="56"/>
    </w:p>
    <w:p w14:paraId="656C7253">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提供管网查询功能，</w:t>
      </w:r>
      <w:r>
        <w:rPr>
          <w:rFonts w:hint="eastAsia" w:ascii="Times New Roman" w:hAnsi="Times New Roman" w:eastAsia="宋体" w:cs="Times New Roman"/>
          <w:color w:val="auto"/>
          <w:highlight w:val="none"/>
        </w:rPr>
        <w:t>包括</w:t>
      </w:r>
      <w:r>
        <w:rPr>
          <w:rFonts w:hint="eastAsia" w:ascii="Times New Roman" w:hAnsi="Times New Roman" w:eastAsia="宋体" w:cs="Times New Roman"/>
          <w:color w:val="auto"/>
          <w:highlight w:val="none"/>
          <w:lang w:val="en-US" w:eastAsia="zh-CN"/>
        </w:rPr>
        <w:t>坐标查询、地名查询、属性查询、条件查询、范围查询、缓冲区查询</w:t>
      </w:r>
      <w:r>
        <w:rPr>
          <w:rFonts w:hint="eastAsia" w:ascii="Times New Roman" w:hAnsi="Times New Roman" w:eastAsia="宋体" w:cs="Times New Roman"/>
          <w:color w:val="auto"/>
          <w:highlight w:val="none"/>
        </w:rPr>
        <w:t>等功能。</w:t>
      </w:r>
      <w:r>
        <w:rPr>
          <w:rFonts w:hint="eastAsia" w:ascii="Times New Roman" w:hAnsi="Times New Roman" w:eastAsia="宋体" w:cs="Times New Roman"/>
          <w:color w:val="auto"/>
          <w:highlight w:val="none"/>
          <w:lang w:val="en-US" w:eastAsia="zh-CN"/>
        </w:rPr>
        <w:t>覆盖</w:t>
      </w:r>
      <w:r>
        <w:rPr>
          <w:rFonts w:hint="eastAsia" w:ascii="Times New Roman" w:hAnsi="Times New Roman" w:eastAsia="宋体" w:cs="Times New Roman"/>
          <w:color w:val="auto"/>
          <w:highlight w:val="none"/>
        </w:rPr>
        <w:t>管点数据查询和管线数据查询，支持按点号、附属物、特征、管径、材质、道路名等信息查询管点或管线数据，支持管点或管线的定位展示。查询</w:t>
      </w:r>
      <w:r>
        <w:rPr>
          <w:rFonts w:hint="eastAsia" w:ascii="Times New Roman" w:hAnsi="Times New Roman" w:eastAsia="宋体" w:cs="Times New Roman"/>
          <w:color w:val="auto"/>
          <w:highlight w:val="none"/>
          <w:lang w:val="en-US" w:eastAsia="zh-CN"/>
        </w:rPr>
        <w:t>结果支持生成报表、定位</w:t>
      </w:r>
      <w:r>
        <w:rPr>
          <w:rFonts w:hint="eastAsia" w:ascii="Times New Roman" w:hAnsi="Times New Roman" w:eastAsia="宋体" w:cs="Times New Roman"/>
          <w:color w:val="auto"/>
          <w:highlight w:val="none"/>
        </w:rPr>
        <w:t>高亮显示查询对象，展示其对操作用户开放的属性信息和图形信息。</w:t>
      </w:r>
    </w:p>
    <w:p w14:paraId="176A81DB">
      <w:pPr>
        <w:pStyle w:val="4"/>
        <w:bidi w:val="0"/>
        <w:ind w:left="0" w:leftChars="0" w:firstLine="0" w:firstLineChars="0"/>
        <w:rPr>
          <w:rFonts w:hint="eastAsia"/>
          <w:color w:val="auto"/>
          <w:highlight w:val="none"/>
        </w:rPr>
      </w:pPr>
      <w:bookmarkStart w:id="57" w:name="_Toc815"/>
      <w:bookmarkStart w:id="58" w:name="_Toc30725"/>
      <w:r>
        <w:rPr>
          <w:rFonts w:hint="eastAsia"/>
          <w:color w:val="auto"/>
          <w:highlight w:val="none"/>
        </w:rPr>
        <w:t>管网分析专题</w:t>
      </w:r>
      <w:bookmarkEnd w:id="57"/>
      <w:bookmarkEnd w:id="58"/>
    </w:p>
    <w:p w14:paraId="6F52773E">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包含统计分析、空间分析与决策分析三个大类：统计分析支持对全区或选定区域的管点/管线进行多维度聚合分析</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支持根据管网的属性、范围进行统计，根据结果支持生成报表、柱图、折线图和饼图，统计范围内专题管线长度、管点数量，包括设施统计、范围统计、缓冲区统计、沿线统计。</w:t>
      </w:r>
      <w:r>
        <w:rPr>
          <w:rFonts w:hint="eastAsia" w:ascii="Times New Roman" w:hAnsi="Times New Roman" w:eastAsia="宋体" w:cs="Times New Roman"/>
          <w:color w:val="auto"/>
          <w:highlight w:val="none"/>
        </w:rPr>
        <w:t>空间分析包括横断面分析、纵断面分析、缓冲区分析、连通性分析等。决策分析包括覆土分析、流向分析、溯源分析、</w:t>
      </w:r>
      <w:r>
        <w:rPr>
          <w:rFonts w:hint="eastAsia" w:ascii="Times New Roman" w:hAnsi="Times New Roman" w:eastAsia="宋体" w:cs="Times New Roman"/>
          <w:color w:val="auto"/>
          <w:highlight w:val="none"/>
          <w:lang w:val="en-US" w:eastAsia="zh-CN"/>
        </w:rPr>
        <w:t>老旧管线</w:t>
      </w:r>
      <w:r>
        <w:rPr>
          <w:rFonts w:hint="eastAsia" w:ascii="Times New Roman" w:hAnsi="Times New Roman" w:eastAsia="宋体" w:cs="Times New Roman"/>
          <w:color w:val="auto"/>
          <w:highlight w:val="none"/>
        </w:rPr>
        <w:t>分析等。</w:t>
      </w:r>
    </w:p>
    <w:p w14:paraId="02DF1335">
      <w:pPr>
        <w:pStyle w:val="4"/>
        <w:bidi w:val="0"/>
        <w:ind w:left="0" w:leftChars="0" w:firstLine="0" w:firstLineChars="0"/>
        <w:rPr>
          <w:rFonts w:hint="eastAsia"/>
          <w:color w:val="auto"/>
          <w:highlight w:val="none"/>
        </w:rPr>
      </w:pPr>
      <w:bookmarkStart w:id="59" w:name="_Toc23363"/>
      <w:bookmarkStart w:id="60" w:name="_Toc32145"/>
      <w:r>
        <w:rPr>
          <w:rFonts w:hint="eastAsia"/>
          <w:color w:val="auto"/>
          <w:highlight w:val="none"/>
        </w:rPr>
        <w:t>管网运行专题</w:t>
      </w:r>
      <w:bookmarkEnd w:id="59"/>
      <w:bookmarkEnd w:id="60"/>
    </w:p>
    <w:p w14:paraId="6372EAD9">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以二维GIS地图为支撑，融合管网运行专题数据，</w:t>
      </w:r>
      <w:r>
        <w:rPr>
          <w:rFonts w:hint="eastAsia" w:ascii="Times New Roman" w:hAnsi="Times New Roman" w:eastAsia="宋体" w:cs="Times New Roman"/>
          <w:color w:val="auto"/>
          <w:highlight w:val="none"/>
        </w:rPr>
        <w:t>展示管网运行监测预警数据，提供管网监测专题地图、丰富数据看板及穿透式信息查询；对管网数据进行分级展示。</w:t>
      </w:r>
    </w:p>
    <w:p w14:paraId="7038738D">
      <w:pPr>
        <w:pStyle w:val="4"/>
        <w:bidi w:val="0"/>
        <w:ind w:left="0" w:leftChars="0" w:firstLine="0" w:firstLineChars="0"/>
        <w:rPr>
          <w:rFonts w:hint="eastAsia"/>
          <w:color w:val="auto"/>
          <w:highlight w:val="none"/>
        </w:rPr>
      </w:pPr>
      <w:bookmarkStart w:id="61" w:name="_Toc12798"/>
      <w:bookmarkStart w:id="62" w:name="_Toc32297"/>
      <w:r>
        <w:rPr>
          <w:rFonts w:hint="eastAsia"/>
          <w:color w:val="auto"/>
          <w:highlight w:val="none"/>
        </w:rPr>
        <w:t>管网检测专题</w:t>
      </w:r>
      <w:bookmarkEnd w:id="61"/>
      <w:bookmarkEnd w:id="62"/>
    </w:p>
    <w:p w14:paraId="3E39277A">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以二维GIS地图为支撑，</w:t>
      </w:r>
      <w:r>
        <w:rPr>
          <w:rFonts w:hint="eastAsia" w:ascii="Times New Roman" w:hAnsi="Times New Roman" w:eastAsia="宋体" w:cs="Times New Roman"/>
          <w:color w:val="auto"/>
          <w:highlight w:val="none"/>
        </w:rPr>
        <w:t>展示管网病害的空间分布情况、分级分类统计情况，提供病害的新增、查询、编辑、修复上传、删除等操作功能。</w:t>
      </w:r>
    </w:p>
    <w:p w14:paraId="64688864">
      <w:pPr>
        <w:pStyle w:val="4"/>
        <w:bidi w:val="0"/>
        <w:ind w:left="0" w:leftChars="0" w:firstLine="0" w:firstLineChars="0"/>
        <w:rPr>
          <w:rFonts w:hint="eastAsia"/>
          <w:color w:val="auto"/>
          <w:highlight w:val="none"/>
        </w:rPr>
      </w:pPr>
      <w:bookmarkStart w:id="63" w:name="_Toc8854"/>
      <w:bookmarkStart w:id="64" w:name="_Toc7133"/>
      <w:r>
        <w:rPr>
          <w:rFonts w:hint="eastAsia"/>
          <w:color w:val="auto"/>
          <w:highlight w:val="none"/>
        </w:rPr>
        <w:t>管网养护专题</w:t>
      </w:r>
      <w:bookmarkEnd w:id="63"/>
      <w:bookmarkEnd w:id="64"/>
    </w:p>
    <w:p w14:paraId="3F552A16">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以二维GIS地图为支撑，</w:t>
      </w:r>
      <w:r>
        <w:rPr>
          <w:rFonts w:hint="eastAsia" w:ascii="Times New Roman" w:hAnsi="Times New Roman" w:eastAsia="宋体" w:cs="Times New Roman"/>
          <w:color w:val="auto"/>
          <w:highlight w:val="none"/>
        </w:rPr>
        <w:t>展示管网养护任务的空间分布情况；统计展示巡检任务情况；展示管网设施整改前后信息。</w:t>
      </w:r>
    </w:p>
    <w:p w14:paraId="6D094B03">
      <w:pPr>
        <w:pStyle w:val="3"/>
        <w:bidi w:val="0"/>
        <w:ind w:left="0" w:leftChars="0" w:firstLine="0" w:firstLineChars="0"/>
        <w:rPr>
          <w:rFonts w:hint="eastAsia"/>
          <w:color w:val="auto"/>
          <w:highlight w:val="none"/>
        </w:rPr>
      </w:pPr>
      <w:bookmarkStart w:id="65" w:name="_Toc8803"/>
      <w:bookmarkStart w:id="66" w:name="_Toc1469"/>
      <w:r>
        <w:rPr>
          <w:rFonts w:hint="eastAsia"/>
          <w:color w:val="auto"/>
          <w:highlight w:val="none"/>
          <w:lang w:val="en-US" w:eastAsia="zh-CN"/>
        </w:rPr>
        <w:t>排</w:t>
      </w:r>
      <w:r>
        <w:rPr>
          <w:rFonts w:hint="eastAsia"/>
          <w:color w:val="auto"/>
          <w:highlight w:val="none"/>
        </w:rPr>
        <w:t>水管网三维GIS系统（B/S）</w:t>
      </w:r>
      <w:bookmarkEnd w:id="65"/>
      <w:bookmarkEnd w:id="66"/>
    </w:p>
    <w:p w14:paraId="2FEAC072">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排水管网三维GIS系统（B/S）可以实现三维模式下的地图浏览、信息查询、数据统计和空间分析等功能。三维可视化子系统可以提供多种在二维模式下难以实现的分析功能，更好</w:t>
      </w:r>
      <w:r>
        <w:rPr>
          <w:rFonts w:hint="eastAsia" w:ascii="Times New Roman" w:hAnsi="Times New Roman" w:eastAsia="宋体" w:cs="Times New Roman"/>
          <w:color w:val="auto"/>
          <w:highlight w:val="none"/>
          <w:lang w:eastAsia="zh-CN"/>
        </w:rPr>
        <w:t>地</w:t>
      </w:r>
      <w:r>
        <w:rPr>
          <w:rFonts w:hint="eastAsia" w:ascii="Times New Roman" w:hAnsi="Times New Roman" w:eastAsia="宋体" w:cs="Times New Roman"/>
          <w:color w:val="auto"/>
          <w:highlight w:val="none"/>
        </w:rPr>
        <w:t>满足用户管理和利用排水管网数据的需要，为用户提供决策支持。</w:t>
      </w:r>
    </w:p>
    <w:p w14:paraId="20C9476D">
      <w:pPr>
        <w:pStyle w:val="4"/>
        <w:bidi w:val="0"/>
        <w:ind w:left="0" w:leftChars="0" w:firstLine="0" w:firstLineChars="0"/>
        <w:rPr>
          <w:rFonts w:hint="eastAsia"/>
          <w:color w:val="auto"/>
          <w:highlight w:val="none"/>
        </w:rPr>
      </w:pPr>
      <w:bookmarkStart w:id="67" w:name="_Toc15508"/>
      <w:bookmarkStart w:id="68" w:name="_Toc31921"/>
      <w:r>
        <w:rPr>
          <w:rFonts w:hint="eastAsia"/>
          <w:color w:val="auto"/>
          <w:highlight w:val="none"/>
        </w:rPr>
        <w:t>三维工具</w:t>
      </w:r>
      <w:bookmarkEnd w:id="67"/>
      <w:bookmarkEnd w:id="68"/>
    </w:p>
    <w:p w14:paraId="7DEB281D">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提供三维GIS平台基础操作，并提供</w:t>
      </w:r>
      <w:r>
        <w:rPr>
          <w:rFonts w:hint="eastAsia" w:ascii="Times New Roman" w:hAnsi="Times New Roman" w:eastAsia="宋体" w:cs="Times New Roman"/>
          <w:color w:val="auto"/>
          <w:highlight w:val="none"/>
        </w:rPr>
        <w:t>支持场景控制、天气效果</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图层管理、书签管理、属性查看、三维量算等功能。</w:t>
      </w:r>
    </w:p>
    <w:p w14:paraId="242E265B">
      <w:pPr>
        <w:pStyle w:val="4"/>
        <w:bidi w:val="0"/>
        <w:ind w:left="0" w:leftChars="0" w:firstLine="0" w:firstLineChars="0"/>
        <w:rPr>
          <w:rFonts w:hint="eastAsia"/>
          <w:color w:val="auto"/>
          <w:highlight w:val="none"/>
        </w:rPr>
      </w:pPr>
      <w:bookmarkStart w:id="69" w:name="_Toc15829"/>
      <w:bookmarkStart w:id="70" w:name="_Toc14813"/>
      <w:r>
        <w:rPr>
          <w:rFonts w:hint="eastAsia"/>
          <w:color w:val="auto"/>
          <w:highlight w:val="none"/>
        </w:rPr>
        <w:t>三维展示</w:t>
      </w:r>
      <w:bookmarkEnd w:id="69"/>
      <w:bookmarkEnd w:id="70"/>
    </w:p>
    <w:p w14:paraId="15201F1A">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利用三维建模技术，将排水系统的各个组成部分，如管线、管点、泵站等，以三维模型的形式展现出来，方便用户直观地查看和理解排水系统的结构和布局。可以对三维场景进行放大、缩小、漫游、旋转等操作。并可以对当前三维场景进行视角、视点的设置。</w:t>
      </w:r>
    </w:p>
    <w:p w14:paraId="2643B9FC">
      <w:pPr>
        <w:pStyle w:val="4"/>
        <w:bidi w:val="0"/>
        <w:ind w:left="0" w:leftChars="0" w:firstLine="0" w:firstLineChars="0"/>
        <w:rPr>
          <w:rFonts w:hint="eastAsia"/>
          <w:color w:val="auto"/>
          <w:highlight w:val="none"/>
        </w:rPr>
      </w:pPr>
      <w:bookmarkStart w:id="71" w:name="_Toc7945"/>
      <w:bookmarkStart w:id="72" w:name="_Toc12973"/>
      <w:r>
        <w:rPr>
          <w:rFonts w:hint="eastAsia"/>
          <w:color w:val="auto"/>
          <w:highlight w:val="none"/>
        </w:rPr>
        <w:t>管网查询</w:t>
      </w:r>
      <w:bookmarkEnd w:id="71"/>
      <w:bookmarkEnd w:id="72"/>
    </w:p>
    <w:p w14:paraId="469F8FA1">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支持属性查询、空间查询，可根据相应条件筛选管线、管点后，在查询结果列表中选中目标管线或管点，查看具体位置、属性信息和关联CCTV检测视频。</w:t>
      </w:r>
    </w:p>
    <w:p w14:paraId="6201A571">
      <w:pPr>
        <w:pStyle w:val="4"/>
        <w:bidi w:val="0"/>
        <w:ind w:left="0" w:leftChars="0" w:firstLine="0" w:firstLineChars="0"/>
        <w:rPr>
          <w:rFonts w:hint="eastAsia"/>
          <w:color w:val="auto"/>
          <w:highlight w:val="none"/>
        </w:rPr>
      </w:pPr>
      <w:bookmarkStart w:id="73" w:name="_Toc20770"/>
      <w:bookmarkStart w:id="74" w:name="_Toc29200"/>
      <w:r>
        <w:rPr>
          <w:rFonts w:hint="eastAsia"/>
          <w:color w:val="auto"/>
          <w:highlight w:val="none"/>
        </w:rPr>
        <w:t>管网统计</w:t>
      </w:r>
      <w:bookmarkEnd w:id="73"/>
      <w:bookmarkEnd w:id="74"/>
    </w:p>
    <w:p w14:paraId="7E989696">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提供全域统计、区域统计功能，通过管线类型、所在道路、材质等字段对一定区域内的管线或管点数据进行统计，提供各类综合指标看板</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统计结果支持生成报表、柱图、饼图和线图</w:t>
      </w:r>
      <w:r>
        <w:rPr>
          <w:rFonts w:hint="eastAsia" w:ascii="Times New Roman" w:hAnsi="Times New Roman" w:eastAsia="宋体" w:cs="Times New Roman"/>
          <w:color w:val="auto"/>
          <w:highlight w:val="none"/>
        </w:rPr>
        <w:t>。</w:t>
      </w:r>
    </w:p>
    <w:p w14:paraId="0B50C62C">
      <w:pPr>
        <w:ind w:firstLine="480"/>
        <w:rPr>
          <w:color w:val="auto"/>
          <w:highlight w:val="none"/>
        </w:rPr>
      </w:pPr>
    </w:p>
    <w:p w14:paraId="09CBC10E">
      <w:pPr>
        <w:pStyle w:val="4"/>
        <w:bidi w:val="0"/>
        <w:ind w:left="0" w:leftChars="0" w:firstLine="0" w:firstLineChars="0"/>
        <w:rPr>
          <w:rFonts w:hint="eastAsia"/>
          <w:color w:val="auto"/>
          <w:highlight w:val="none"/>
        </w:rPr>
      </w:pPr>
      <w:bookmarkStart w:id="75" w:name="_Toc27632"/>
      <w:bookmarkStart w:id="76" w:name="_Toc17943"/>
      <w:r>
        <w:rPr>
          <w:rFonts w:hint="eastAsia"/>
          <w:color w:val="auto"/>
          <w:highlight w:val="none"/>
        </w:rPr>
        <w:t>三维空间分析</w:t>
      </w:r>
      <w:bookmarkEnd w:id="75"/>
      <w:bookmarkEnd w:id="76"/>
    </w:p>
    <w:p w14:paraId="14F1BA54">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支持在三维场景下，实现包括地面开挖分析、管线流向分析、可视域分析、碰撞分析、覆土分析、</w:t>
      </w:r>
      <w:r>
        <w:rPr>
          <w:rFonts w:hint="eastAsia" w:ascii="Times New Roman" w:hAnsi="Times New Roman" w:eastAsia="宋体" w:cs="Times New Roman"/>
          <w:color w:val="auto"/>
          <w:highlight w:val="none"/>
          <w:lang w:val="en-US" w:eastAsia="zh-CN"/>
        </w:rPr>
        <w:t>水平净距分析、垂直净距分析</w:t>
      </w:r>
      <w:r>
        <w:rPr>
          <w:rFonts w:hint="eastAsia" w:ascii="Times New Roman" w:hAnsi="Times New Roman" w:eastAsia="宋体" w:cs="Times New Roman"/>
          <w:color w:val="auto"/>
          <w:highlight w:val="none"/>
        </w:rPr>
        <w:t>、连通性分析、横断面分析、纵断面分析、</w:t>
      </w:r>
      <w:r>
        <w:rPr>
          <w:rFonts w:hint="eastAsia" w:ascii="Times New Roman" w:hAnsi="Times New Roman" w:eastAsia="宋体" w:cs="Times New Roman"/>
          <w:color w:val="auto"/>
          <w:highlight w:val="none"/>
          <w:lang w:val="en-US" w:eastAsia="zh-CN"/>
        </w:rPr>
        <w:t>飞行漫游</w:t>
      </w:r>
      <w:r>
        <w:rPr>
          <w:rFonts w:hint="eastAsia" w:ascii="Times New Roman" w:hAnsi="Times New Roman" w:eastAsia="宋体" w:cs="Times New Roman"/>
          <w:color w:val="auto"/>
          <w:highlight w:val="none"/>
        </w:rPr>
        <w:t>等功能。</w:t>
      </w:r>
    </w:p>
    <w:p w14:paraId="6BCADE1C">
      <w:pPr>
        <w:pStyle w:val="4"/>
        <w:bidi w:val="0"/>
        <w:ind w:left="0" w:leftChars="0" w:firstLine="0" w:firstLineChars="0"/>
        <w:rPr>
          <w:rFonts w:hint="eastAsia"/>
          <w:color w:val="auto"/>
          <w:highlight w:val="none"/>
        </w:rPr>
      </w:pPr>
      <w:bookmarkStart w:id="77" w:name="_Toc3998"/>
      <w:bookmarkStart w:id="78" w:name="_Toc18023"/>
      <w:r>
        <w:rPr>
          <w:rFonts w:hint="eastAsia"/>
          <w:color w:val="auto"/>
          <w:highlight w:val="none"/>
        </w:rPr>
        <w:t>管网监测预警</w:t>
      </w:r>
      <w:bookmarkEnd w:id="77"/>
      <w:bookmarkEnd w:id="78"/>
    </w:p>
    <w:p w14:paraId="57FA4EF1">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在三维场景接入感知监测设备、监控设备数据，提供设备空间筛选功能，支持设备基础信息、历史数据、历史报警查看。</w:t>
      </w:r>
    </w:p>
    <w:p w14:paraId="75C722C4">
      <w:pPr>
        <w:pStyle w:val="4"/>
        <w:bidi w:val="0"/>
        <w:ind w:left="0" w:leftChars="0" w:firstLine="0" w:firstLineChars="0"/>
        <w:rPr>
          <w:rFonts w:hint="eastAsia"/>
          <w:color w:val="auto"/>
          <w:highlight w:val="none"/>
        </w:rPr>
      </w:pPr>
      <w:bookmarkStart w:id="79" w:name="_Toc15308"/>
      <w:bookmarkStart w:id="80" w:name="_Toc11685"/>
      <w:r>
        <w:rPr>
          <w:rFonts w:hint="eastAsia"/>
          <w:color w:val="auto"/>
          <w:highlight w:val="none"/>
        </w:rPr>
        <w:t>二三维联动分析</w:t>
      </w:r>
      <w:bookmarkEnd w:id="79"/>
      <w:bookmarkEnd w:id="80"/>
    </w:p>
    <w:p w14:paraId="58336BAD">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支持</w:t>
      </w:r>
      <w:r>
        <w:rPr>
          <w:rFonts w:hint="eastAsia" w:ascii="Times New Roman" w:hAnsi="Times New Roman" w:eastAsia="宋体" w:cs="Times New Roman"/>
          <w:color w:val="auto"/>
          <w:highlight w:val="none"/>
        </w:rPr>
        <w:t>场景</w:t>
      </w:r>
      <w:r>
        <w:rPr>
          <w:rFonts w:hint="eastAsia" w:ascii="Times New Roman" w:hAnsi="Times New Roman" w:eastAsia="宋体" w:cs="Times New Roman"/>
          <w:color w:val="auto"/>
          <w:highlight w:val="none"/>
          <w:lang w:val="en-US" w:eastAsia="zh-CN"/>
        </w:rPr>
        <w:t>切换功能，包括二维视图、三维视图和二三维分屏视图</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二三维视图下</w:t>
      </w:r>
      <w:r>
        <w:rPr>
          <w:rFonts w:hint="eastAsia" w:ascii="Times New Roman" w:hAnsi="Times New Roman" w:eastAsia="宋体" w:cs="Times New Roman"/>
          <w:color w:val="auto"/>
          <w:highlight w:val="none"/>
        </w:rPr>
        <w:t>支持在同一界面同时显示一定范围内地下管线与地下设施的二维视图和三维视图，实现二维地图和三维模型之间的联动。</w:t>
      </w:r>
    </w:p>
    <w:p w14:paraId="2CC75AE1">
      <w:pPr>
        <w:pStyle w:val="3"/>
        <w:bidi w:val="0"/>
        <w:ind w:left="0" w:leftChars="0" w:firstLine="0" w:firstLineChars="0"/>
        <w:rPr>
          <w:rFonts w:hint="eastAsia"/>
          <w:color w:val="auto"/>
          <w:highlight w:val="none"/>
        </w:rPr>
      </w:pPr>
      <w:bookmarkStart w:id="81" w:name="_Toc16748"/>
      <w:bookmarkStart w:id="82" w:name="_Toc31988"/>
      <w:r>
        <w:rPr>
          <w:rFonts w:hint="eastAsia"/>
          <w:color w:val="auto"/>
          <w:highlight w:val="none"/>
        </w:rPr>
        <w:t>孪生驾驶舱</w:t>
      </w:r>
      <w:bookmarkEnd w:id="81"/>
      <w:bookmarkEnd w:id="82"/>
    </w:p>
    <w:p w14:paraId="48250B27">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孪生驾驶舱在GIS地图上叠加各类排水数据，在一张图上对排水系统整体情况进行分析和展示。系统集成满足分析需求的地图数据，对区域范围的排水设施、物联感知、监测概览、排水户概览、报警信息等数据等进行集中展示与专题分析。系统结合排水管网设施的拓扑关系和监测报警数据，实现对排水系统综合评价、实时监测、运行分析等多维信息汇总展示。</w:t>
      </w:r>
    </w:p>
    <w:p w14:paraId="704A4DF5">
      <w:pPr>
        <w:pStyle w:val="4"/>
        <w:bidi w:val="0"/>
        <w:ind w:left="0" w:leftChars="0" w:firstLine="0" w:firstLineChars="0"/>
        <w:rPr>
          <w:rFonts w:hint="eastAsia"/>
          <w:color w:val="auto"/>
          <w:highlight w:val="none"/>
        </w:rPr>
      </w:pPr>
      <w:bookmarkStart w:id="83" w:name="_Toc25457"/>
      <w:bookmarkStart w:id="84" w:name="_Toc1637"/>
      <w:r>
        <w:rPr>
          <w:rFonts w:hint="eastAsia"/>
          <w:color w:val="auto"/>
          <w:highlight w:val="none"/>
        </w:rPr>
        <w:t>驾驶舱主场景</w:t>
      </w:r>
      <w:bookmarkEnd w:id="83"/>
      <w:bookmarkEnd w:id="84"/>
    </w:p>
    <w:p w14:paraId="2880A2E3">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以</w:t>
      </w:r>
      <w:r>
        <w:rPr>
          <w:rFonts w:hint="eastAsia" w:cs="Times New Roman"/>
          <w:color w:val="auto"/>
          <w:highlight w:val="none"/>
          <w:lang w:eastAsia="zh-CN"/>
        </w:rPr>
        <w:t>“</w:t>
      </w:r>
      <w:r>
        <w:rPr>
          <w:rFonts w:hint="eastAsia" w:ascii="Times New Roman" w:hAnsi="Times New Roman" w:eastAsia="宋体" w:cs="Times New Roman"/>
          <w:color w:val="auto"/>
          <w:highlight w:val="none"/>
        </w:rPr>
        <w:t>一张图</w:t>
      </w:r>
      <w:r>
        <w:rPr>
          <w:rFonts w:hint="eastAsia" w:cs="Times New Roman"/>
          <w:color w:val="auto"/>
          <w:highlight w:val="none"/>
          <w:lang w:eastAsia="zh-CN"/>
        </w:rPr>
        <w:t>”</w:t>
      </w:r>
      <w:r>
        <w:rPr>
          <w:rFonts w:hint="eastAsia" w:ascii="Times New Roman" w:hAnsi="Times New Roman" w:eastAsia="宋体" w:cs="Times New Roman"/>
          <w:color w:val="auto"/>
          <w:highlight w:val="none"/>
        </w:rPr>
        <w:t>模式集成管网、厂站、监测点、排水户及事件全要素信息，通过动态看板实现宏观态势总览，支持从统计看板下钻至明细数据查询，结合工单滚动跟踪驱动事件闭环处置，并依托多模式地图实现设施点击定位与空间联动。</w:t>
      </w:r>
    </w:p>
    <w:p w14:paraId="10D626DC">
      <w:pPr>
        <w:pStyle w:val="4"/>
        <w:bidi w:val="0"/>
        <w:ind w:left="0" w:leftChars="0" w:firstLine="0" w:firstLineChars="0"/>
        <w:rPr>
          <w:rFonts w:hint="eastAsia"/>
          <w:color w:val="auto"/>
          <w:highlight w:val="none"/>
        </w:rPr>
      </w:pPr>
      <w:bookmarkStart w:id="85" w:name="_Toc12422"/>
      <w:bookmarkStart w:id="86" w:name="_Toc5946"/>
      <w:r>
        <w:rPr>
          <w:rFonts w:hint="eastAsia"/>
          <w:color w:val="auto"/>
          <w:highlight w:val="none"/>
        </w:rPr>
        <w:t>智慧监测</w:t>
      </w:r>
      <w:bookmarkEnd w:id="85"/>
      <w:bookmarkEnd w:id="86"/>
    </w:p>
    <w:p w14:paraId="13D70908">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依托监测总览看板实现系统运行态势全局掌控，支持从事件分类列表快速下钻至地图定位、详情分析及工单下发；通过管网/厂站/排口等可定制监测专题视图满足场景化运维聚焦需求，并集成二三维一体化地图引擎实现监测点位动态可视与设施点击穿透查询。</w:t>
      </w:r>
    </w:p>
    <w:p w14:paraId="153685CA">
      <w:pPr>
        <w:pStyle w:val="4"/>
        <w:bidi w:val="0"/>
        <w:ind w:left="0" w:leftChars="0" w:firstLine="0" w:firstLineChars="0"/>
        <w:rPr>
          <w:rFonts w:hint="eastAsia"/>
          <w:color w:val="auto"/>
          <w:highlight w:val="none"/>
        </w:rPr>
      </w:pPr>
      <w:bookmarkStart w:id="87" w:name="_Toc3657"/>
      <w:bookmarkStart w:id="88" w:name="_Toc19083"/>
      <w:r>
        <w:rPr>
          <w:rFonts w:hint="eastAsia"/>
          <w:color w:val="auto"/>
          <w:highlight w:val="none"/>
        </w:rPr>
        <w:t>隐患处置</w:t>
      </w:r>
      <w:bookmarkEnd w:id="87"/>
      <w:bookmarkEnd w:id="88"/>
    </w:p>
    <w:p w14:paraId="5825AC7A">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通过处置情况看板聚合隐患处置概况、下发统计、巡检数据及完成率排行，实现处置效能可视化；同步构建隐患处置地图，动态渲染不同状态的设施空间分布，辅助识别隐患空间分布、优化资源调度。</w:t>
      </w:r>
    </w:p>
    <w:p w14:paraId="3D292C03">
      <w:pPr>
        <w:pStyle w:val="4"/>
        <w:bidi w:val="0"/>
        <w:ind w:left="0" w:leftChars="0" w:firstLine="0" w:firstLineChars="0"/>
        <w:rPr>
          <w:rFonts w:hint="eastAsia"/>
          <w:color w:val="auto"/>
          <w:highlight w:val="none"/>
        </w:rPr>
      </w:pPr>
      <w:bookmarkStart w:id="89" w:name="_Toc19114"/>
      <w:bookmarkStart w:id="90" w:name="_Toc30268"/>
      <w:r>
        <w:rPr>
          <w:rFonts w:hint="eastAsia"/>
          <w:color w:val="auto"/>
          <w:highlight w:val="none"/>
        </w:rPr>
        <w:t>菜单导航</w:t>
      </w:r>
      <w:bookmarkEnd w:id="89"/>
      <w:bookmarkEnd w:id="90"/>
    </w:p>
    <w:p w14:paraId="2343AEDF">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集中展示各子系统入口，支持一键跳转，实现平台功能无缝衔接。</w:t>
      </w:r>
    </w:p>
    <w:p w14:paraId="3F7F0324">
      <w:pPr>
        <w:pStyle w:val="3"/>
        <w:bidi w:val="0"/>
        <w:ind w:left="0" w:leftChars="0" w:firstLine="0" w:firstLineChars="0"/>
        <w:rPr>
          <w:rFonts w:hint="eastAsia"/>
          <w:color w:val="auto"/>
          <w:highlight w:val="none"/>
        </w:rPr>
      </w:pPr>
      <w:bookmarkStart w:id="91" w:name="_Toc26229"/>
      <w:bookmarkStart w:id="92" w:name="_Toc28267"/>
      <w:r>
        <w:rPr>
          <w:rFonts w:hint="eastAsia"/>
          <w:color w:val="auto"/>
          <w:highlight w:val="none"/>
        </w:rPr>
        <w:t>综合监测</w:t>
      </w:r>
      <w:bookmarkEnd w:id="91"/>
      <w:bookmarkEnd w:id="92"/>
    </w:p>
    <w:p w14:paraId="495188C3">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综合监测汇聚感知监测设备数据，结合管网GIS平台，实现排水系统运行状态透彻感知，实时展现排水系统关键节点在线监测信息和运行数据，并实现运行异常状况预警报警。</w:t>
      </w:r>
    </w:p>
    <w:p w14:paraId="7EC24362">
      <w:pPr>
        <w:pStyle w:val="4"/>
        <w:bidi w:val="0"/>
        <w:ind w:left="0" w:leftChars="0" w:firstLine="0" w:firstLineChars="0"/>
        <w:rPr>
          <w:rFonts w:hint="eastAsia"/>
          <w:color w:val="auto"/>
          <w:highlight w:val="none"/>
        </w:rPr>
      </w:pPr>
      <w:bookmarkStart w:id="93" w:name="_Toc28556"/>
      <w:bookmarkStart w:id="94" w:name="_Toc27263"/>
      <w:r>
        <w:rPr>
          <w:rFonts w:hint="eastAsia"/>
          <w:color w:val="auto"/>
          <w:highlight w:val="none"/>
        </w:rPr>
        <w:t>监测数据总览</w:t>
      </w:r>
      <w:bookmarkEnd w:id="93"/>
      <w:bookmarkEnd w:id="94"/>
    </w:p>
    <w:p w14:paraId="3F160F15">
      <w:pPr>
        <w:ind w:firstLine="480"/>
        <w:rPr>
          <w:color w:val="auto"/>
          <w:highlight w:val="none"/>
        </w:rPr>
      </w:pPr>
      <w:r>
        <w:rPr>
          <w:rFonts w:hint="eastAsia" w:ascii="Times New Roman" w:hAnsi="Times New Roman" w:eastAsia="宋体" w:cs="Times New Roman"/>
          <w:color w:val="auto"/>
          <w:highlight w:val="none"/>
        </w:rPr>
        <w:t>通过设备运行状况分析与报警日历视图实现设备级异常精准定位，结合卡片化实时监测动态呈现站点状态，并基于算法模型输出管网健康定性诊断看板。</w:t>
      </w:r>
    </w:p>
    <w:p w14:paraId="176B4763">
      <w:pPr>
        <w:pStyle w:val="4"/>
        <w:bidi w:val="0"/>
        <w:ind w:left="0" w:leftChars="0" w:firstLine="0" w:firstLineChars="0"/>
        <w:rPr>
          <w:rFonts w:hint="eastAsia"/>
          <w:color w:val="auto"/>
          <w:highlight w:val="none"/>
        </w:rPr>
      </w:pPr>
      <w:bookmarkStart w:id="95" w:name="_Toc23753"/>
      <w:bookmarkStart w:id="96" w:name="_Toc14738"/>
      <w:r>
        <w:rPr>
          <w:rFonts w:hint="eastAsia"/>
          <w:color w:val="auto"/>
          <w:highlight w:val="none"/>
        </w:rPr>
        <w:t>设备台账管理</w:t>
      </w:r>
      <w:bookmarkEnd w:id="95"/>
      <w:bookmarkEnd w:id="96"/>
    </w:p>
    <w:p w14:paraId="48723678">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对感知监测设备的全生命周期信息进行动态跟踪记录。将每台物联监测设备自采购入库起所有的型号参数、变更使用情况记录在案，方便管理人员随时掌握设备情况和盘点资产。支持设备台账的增删改查、分页列表、详情查看及导出。</w:t>
      </w:r>
    </w:p>
    <w:p w14:paraId="05E87B21">
      <w:pPr>
        <w:pStyle w:val="4"/>
        <w:bidi w:val="0"/>
        <w:ind w:left="0" w:leftChars="0" w:firstLine="0" w:firstLineChars="0"/>
        <w:rPr>
          <w:rFonts w:hint="eastAsia"/>
          <w:color w:val="auto"/>
          <w:highlight w:val="none"/>
        </w:rPr>
      </w:pPr>
      <w:bookmarkStart w:id="97" w:name="_Toc31264"/>
      <w:bookmarkStart w:id="98" w:name="_Toc22130"/>
      <w:r>
        <w:rPr>
          <w:rFonts w:hint="eastAsia"/>
          <w:color w:val="auto"/>
          <w:highlight w:val="none"/>
        </w:rPr>
        <w:t>管网监测</w:t>
      </w:r>
      <w:bookmarkEnd w:id="97"/>
      <w:bookmarkEnd w:id="98"/>
    </w:p>
    <w:p w14:paraId="5ABDCA2B">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包含管网监测站点的筛选查询、基本信息、历史数据、报警历史、报警设置等。</w:t>
      </w:r>
    </w:p>
    <w:p w14:paraId="7D824C32">
      <w:pPr>
        <w:pStyle w:val="4"/>
        <w:bidi w:val="0"/>
        <w:ind w:left="0" w:leftChars="0" w:firstLine="0" w:firstLineChars="0"/>
        <w:rPr>
          <w:rFonts w:hint="eastAsia"/>
          <w:color w:val="auto"/>
          <w:highlight w:val="none"/>
        </w:rPr>
      </w:pPr>
      <w:bookmarkStart w:id="99" w:name="_Toc3622"/>
      <w:bookmarkStart w:id="100" w:name="_Toc20095"/>
      <w:r>
        <w:rPr>
          <w:rFonts w:hint="eastAsia"/>
          <w:color w:val="auto"/>
          <w:highlight w:val="none"/>
        </w:rPr>
        <w:t>设备一张图</w:t>
      </w:r>
      <w:bookmarkEnd w:id="99"/>
      <w:bookmarkEnd w:id="100"/>
    </w:p>
    <w:p w14:paraId="6026A7CF">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以地图的形式，汇总展示各类设备位置及状态信息，支持设备</w:t>
      </w:r>
      <w:r>
        <w:rPr>
          <w:rFonts w:hint="eastAsia" w:ascii="Times New Roman" w:hAnsi="Times New Roman" w:eastAsia="宋体" w:cs="Times New Roman"/>
          <w:color w:val="auto"/>
          <w:highlight w:val="none"/>
          <w:lang w:val="en-US" w:eastAsia="zh-CN"/>
        </w:rPr>
        <w:t>资源树，提供</w:t>
      </w:r>
      <w:r>
        <w:rPr>
          <w:rFonts w:hint="eastAsia" w:ascii="Times New Roman" w:hAnsi="Times New Roman" w:eastAsia="宋体" w:cs="Times New Roman"/>
          <w:color w:val="auto"/>
          <w:highlight w:val="none"/>
        </w:rPr>
        <w:t>查询、图层控制，支持点击查询设备实时及历史数据信息。</w:t>
      </w:r>
    </w:p>
    <w:p w14:paraId="2E2A2379">
      <w:pPr>
        <w:pStyle w:val="4"/>
        <w:bidi w:val="0"/>
        <w:ind w:left="0" w:leftChars="0" w:firstLine="0" w:firstLineChars="0"/>
        <w:rPr>
          <w:rFonts w:hint="eastAsia"/>
          <w:color w:val="auto"/>
          <w:highlight w:val="none"/>
        </w:rPr>
      </w:pPr>
      <w:bookmarkStart w:id="101" w:name="_Toc31849"/>
      <w:bookmarkStart w:id="102" w:name="_Toc29570"/>
      <w:r>
        <w:rPr>
          <w:rFonts w:hint="eastAsia"/>
          <w:color w:val="auto"/>
          <w:highlight w:val="none"/>
        </w:rPr>
        <w:t>设备预警记录</w:t>
      </w:r>
      <w:bookmarkEnd w:id="101"/>
      <w:bookmarkEnd w:id="102"/>
    </w:p>
    <w:p w14:paraId="4D568842">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对产生的报警记录进行管理，提供报警记录查询、导出、分类统计等功能。点击可查看设备实时数据，历史数据信息。支持通过设备名称查询设备。</w:t>
      </w:r>
    </w:p>
    <w:p w14:paraId="648302CE">
      <w:pPr>
        <w:pStyle w:val="4"/>
        <w:bidi w:val="0"/>
        <w:ind w:left="0" w:leftChars="0" w:firstLine="0" w:firstLineChars="0"/>
        <w:rPr>
          <w:rFonts w:hint="eastAsia"/>
          <w:color w:val="auto"/>
          <w:highlight w:val="none"/>
        </w:rPr>
      </w:pPr>
      <w:bookmarkStart w:id="103" w:name="_Toc12650"/>
      <w:bookmarkStart w:id="104" w:name="_Toc10062"/>
      <w:r>
        <w:rPr>
          <w:rFonts w:hint="eastAsia"/>
          <w:color w:val="auto"/>
          <w:highlight w:val="none"/>
        </w:rPr>
        <w:t>综合分析</w:t>
      </w:r>
      <w:bookmarkEnd w:id="103"/>
      <w:bookmarkEnd w:id="104"/>
    </w:p>
    <w:p w14:paraId="285669D9">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提供综合监测数据分析功能，</w:t>
      </w:r>
      <w:r>
        <w:rPr>
          <w:rFonts w:hint="eastAsia" w:ascii="Times New Roman" w:hAnsi="Times New Roman" w:eastAsia="宋体" w:cs="Times New Roman"/>
          <w:color w:val="auto"/>
          <w:highlight w:val="none"/>
        </w:rPr>
        <w:t>包括</w:t>
      </w:r>
      <w:r>
        <w:rPr>
          <w:rFonts w:hint="eastAsia" w:ascii="Times New Roman" w:hAnsi="Times New Roman" w:eastAsia="宋体" w:cs="Times New Roman"/>
          <w:color w:val="auto"/>
          <w:highlight w:val="none"/>
          <w:lang w:val="en-US" w:eastAsia="zh-CN"/>
        </w:rPr>
        <w:t>流量、水位、水质等分析功能，支持时段</w:t>
      </w:r>
      <w:r>
        <w:rPr>
          <w:rFonts w:hint="eastAsia" w:ascii="Times New Roman" w:hAnsi="Times New Roman" w:eastAsia="宋体" w:cs="Times New Roman"/>
          <w:color w:val="auto"/>
          <w:highlight w:val="none"/>
        </w:rPr>
        <w:t>分析、</w:t>
      </w:r>
      <w:r>
        <w:rPr>
          <w:rFonts w:hint="eastAsia" w:ascii="Times New Roman" w:hAnsi="Times New Roman" w:eastAsia="宋体" w:cs="Times New Roman"/>
          <w:color w:val="auto"/>
          <w:highlight w:val="none"/>
          <w:lang w:val="en-US" w:eastAsia="zh-CN"/>
        </w:rPr>
        <w:t>日数据</w:t>
      </w:r>
      <w:r>
        <w:rPr>
          <w:rFonts w:hint="eastAsia" w:ascii="Times New Roman" w:hAnsi="Times New Roman" w:eastAsia="宋体" w:cs="Times New Roman"/>
          <w:color w:val="auto"/>
          <w:highlight w:val="none"/>
        </w:rPr>
        <w:t>分析、</w:t>
      </w:r>
      <w:r>
        <w:rPr>
          <w:rFonts w:hint="eastAsia" w:ascii="Times New Roman" w:hAnsi="Times New Roman" w:eastAsia="宋体" w:cs="Times New Roman"/>
          <w:color w:val="auto"/>
          <w:highlight w:val="none"/>
          <w:lang w:val="en-US" w:eastAsia="zh-CN"/>
        </w:rPr>
        <w:t>月数据</w:t>
      </w:r>
      <w:r>
        <w:rPr>
          <w:rFonts w:hint="eastAsia" w:ascii="Times New Roman" w:hAnsi="Times New Roman" w:eastAsia="宋体" w:cs="Times New Roman"/>
          <w:color w:val="auto"/>
          <w:highlight w:val="none"/>
        </w:rPr>
        <w:t>分析</w:t>
      </w:r>
      <w:r>
        <w:rPr>
          <w:rFonts w:hint="eastAsia" w:ascii="Times New Roman" w:hAnsi="Times New Roman" w:eastAsia="宋体" w:cs="Times New Roman"/>
          <w:color w:val="auto"/>
          <w:highlight w:val="none"/>
          <w:lang w:val="en-US" w:eastAsia="zh-CN"/>
        </w:rPr>
        <w:t>，生成报表和曲线，支持分析最值、均值及相应时间，支持多个站点对比</w:t>
      </w:r>
      <w:r>
        <w:rPr>
          <w:rFonts w:hint="eastAsia" w:ascii="Times New Roman" w:hAnsi="Times New Roman" w:eastAsia="宋体" w:cs="Times New Roman"/>
          <w:color w:val="auto"/>
          <w:highlight w:val="none"/>
        </w:rPr>
        <w:t>分析。</w:t>
      </w:r>
    </w:p>
    <w:p w14:paraId="4E69403E">
      <w:pPr>
        <w:pStyle w:val="3"/>
        <w:bidi w:val="0"/>
        <w:ind w:left="0" w:leftChars="0" w:firstLine="0" w:firstLineChars="0"/>
        <w:rPr>
          <w:rFonts w:hint="eastAsia"/>
          <w:color w:val="auto"/>
          <w:highlight w:val="none"/>
        </w:rPr>
      </w:pPr>
      <w:bookmarkStart w:id="105" w:name="_Toc13198"/>
      <w:bookmarkStart w:id="106" w:name="_Toc10114"/>
      <w:r>
        <w:rPr>
          <w:rFonts w:hint="eastAsia"/>
          <w:color w:val="auto"/>
          <w:highlight w:val="none"/>
        </w:rPr>
        <w:t>排查数据管理</w:t>
      </w:r>
      <w:bookmarkEnd w:id="105"/>
      <w:bookmarkEnd w:id="106"/>
    </w:p>
    <w:p w14:paraId="32C6214A">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排查数据管理对排水管网病害、CCTV检测视频等排查数据信息进行数字化管理，同时结合排水管网GIS提供病害专题图，辅助管理人员全面了解管网病害信息，做好病害治理决策。</w:t>
      </w:r>
    </w:p>
    <w:p w14:paraId="0E1602BA">
      <w:pPr>
        <w:pStyle w:val="4"/>
        <w:bidi w:val="0"/>
        <w:ind w:left="0" w:leftChars="0" w:firstLine="0" w:firstLineChars="0"/>
        <w:rPr>
          <w:rFonts w:hint="eastAsia"/>
          <w:color w:val="auto"/>
          <w:highlight w:val="none"/>
        </w:rPr>
      </w:pPr>
      <w:bookmarkStart w:id="107" w:name="_Toc29051"/>
      <w:bookmarkStart w:id="108" w:name="_Toc15987"/>
      <w:r>
        <w:rPr>
          <w:rFonts w:hint="eastAsia"/>
          <w:color w:val="auto"/>
          <w:highlight w:val="none"/>
        </w:rPr>
        <w:t>病害信息管理</w:t>
      </w:r>
      <w:bookmarkEnd w:id="107"/>
      <w:bookmarkEnd w:id="108"/>
    </w:p>
    <w:p w14:paraId="5D4B063A">
      <w:pPr>
        <w:bidi w:val="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以</w:t>
      </w:r>
      <w:r>
        <w:rPr>
          <w:rFonts w:hint="eastAsia" w:cs="Times New Roman"/>
          <w:color w:val="auto"/>
          <w:highlight w:val="none"/>
          <w:lang w:eastAsia="zh-CN"/>
        </w:rPr>
        <w:t>“</w:t>
      </w:r>
      <w:r>
        <w:rPr>
          <w:rFonts w:hint="eastAsia" w:ascii="Times New Roman" w:hAnsi="Times New Roman" w:eastAsia="宋体" w:cs="Times New Roman"/>
          <w:color w:val="auto"/>
          <w:highlight w:val="none"/>
        </w:rPr>
        <w:t>病害全生命周期数字化治理</w:t>
      </w:r>
      <w:r>
        <w:rPr>
          <w:rFonts w:hint="eastAsia" w:cs="Times New Roman"/>
          <w:color w:val="auto"/>
          <w:highlight w:val="none"/>
          <w:lang w:eastAsia="zh-CN"/>
        </w:rPr>
        <w:t>”</w:t>
      </w:r>
      <w:r>
        <w:rPr>
          <w:rFonts w:hint="eastAsia" w:ascii="Times New Roman" w:hAnsi="Times New Roman" w:eastAsia="宋体" w:cs="Times New Roman"/>
          <w:color w:val="auto"/>
          <w:highlight w:val="none"/>
        </w:rPr>
        <w:t>为核心，支持</w:t>
      </w:r>
      <w:r>
        <w:rPr>
          <w:rFonts w:hint="eastAsia" w:ascii="Times New Roman" w:hAnsi="Times New Roman" w:eastAsia="宋体" w:cs="Times New Roman"/>
          <w:color w:val="auto"/>
          <w:highlight w:val="none"/>
          <w:lang w:val="en-US" w:eastAsia="zh-CN"/>
        </w:rPr>
        <w:t>CCTV</w:t>
      </w:r>
      <w:r>
        <w:rPr>
          <w:rFonts w:hint="eastAsia" w:ascii="Times New Roman" w:hAnsi="Times New Roman" w:eastAsia="宋体" w:cs="Times New Roman"/>
          <w:color w:val="auto"/>
          <w:highlight w:val="none"/>
        </w:rPr>
        <w:t>检测</w:t>
      </w:r>
      <w:r>
        <w:rPr>
          <w:rFonts w:hint="eastAsia" w:ascii="Times New Roman" w:hAnsi="Times New Roman" w:eastAsia="宋体" w:cs="Times New Roman"/>
          <w:color w:val="auto"/>
          <w:highlight w:val="none"/>
          <w:lang w:val="en-US" w:eastAsia="zh-CN"/>
        </w:rPr>
        <w:t>数据导入、QV检测数据导入、声呐检测数据导入，数据包括视频、图片、检测图表等，提供模板下载，数据导入、查询、导出、删除等操作，导入的数据支持自动挂接到GIS系统中对于管道，支持点击查看病害信息。</w:t>
      </w:r>
      <w:r>
        <w:rPr>
          <w:rFonts w:hint="eastAsia" w:ascii="Times New Roman" w:hAnsi="Times New Roman" w:eastAsia="宋体" w:cs="Times New Roman"/>
          <w:color w:val="auto"/>
          <w:highlight w:val="none"/>
        </w:rPr>
        <w:t>支持检测报告有序管理、病害状态动态追踪及CCTV视频空间关联三大能力，实现管网病害闭环管控</w:t>
      </w:r>
      <w:r>
        <w:rPr>
          <w:rFonts w:hint="eastAsia" w:ascii="Times New Roman" w:hAnsi="Times New Roman" w:eastAsia="宋体" w:cs="Times New Roman"/>
          <w:color w:val="auto"/>
          <w:highlight w:val="none"/>
          <w:lang w:eastAsia="zh-CN"/>
        </w:rPr>
        <w:t>。</w:t>
      </w:r>
    </w:p>
    <w:p w14:paraId="2BA45055">
      <w:pPr>
        <w:pStyle w:val="4"/>
        <w:bidi w:val="0"/>
        <w:ind w:left="0" w:leftChars="0" w:firstLine="0" w:firstLineChars="0"/>
        <w:rPr>
          <w:rFonts w:hint="eastAsia"/>
          <w:color w:val="auto"/>
          <w:highlight w:val="none"/>
        </w:rPr>
      </w:pPr>
      <w:bookmarkStart w:id="109" w:name="_Toc9317"/>
      <w:bookmarkStart w:id="110" w:name="_Toc17115"/>
      <w:r>
        <w:rPr>
          <w:rFonts w:hint="eastAsia"/>
          <w:color w:val="auto"/>
          <w:highlight w:val="none"/>
        </w:rPr>
        <w:t>病害专题图</w:t>
      </w:r>
      <w:bookmarkEnd w:id="109"/>
      <w:bookmarkEnd w:id="110"/>
    </w:p>
    <w:p w14:paraId="64E34D1E">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以地图的形式展示区域内排水管网病害分布情况，并按病害严重程度对病害分级显示；支持查询病害点位的具体信息，以及相应管段的CCTV检测视频。</w:t>
      </w:r>
    </w:p>
    <w:p w14:paraId="4A40B42A">
      <w:pPr>
        <w:pStyle w:val="4"/>
        <w:bidi w:val="0"/>
        <w:ind w:left="0" w:leftChars="0" w:firstLine="0" w:firstLineChars="0"/>
        <w:rPr>
          <w:rFonts w:hint="eastAsia"/>
          <w:color w:val="auto"/>
          <w:highlight w:val="none"/>
        </w:rPr>
      </w:pPr>
      <w:bookmarkStart w:id="111" w:name="_Toc25781"/>
      <w:bookmarkStart w:id="112" w:name="_Toc24042"/>
      <w:r>
        <w:rPr>
          <w:rFonts w:hint="eastAsia"/>
          <w:color w:val="auto"/>
          <w:highlight w:val="none"/>
        </w:rPr>
        <w:t>病害统计报表</w:t>
      </w:r>
      <w:bookmarkEnd w:id="111"/>
      <w:bookmarkEnd w:id="112"/>
    </w:p>
    <w:p w14:paraId="36F0E45E">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病害数量及病害长度分类统计，通过列表与柱状图等形式展示统计分析结果，帮助掌握管网健康度总体态势。</w:t>
      </w:r>
    </w:p>
    <w:p w14:paraId="727D58FF">
      <w:pPr>
        <w:pStyle w:val="3"/>
        <w:bidi w:val="0"/>
        <w:ind w:left="0" w:leftChars="0" w:firstLine="0" w:firstLineChars="0"/>
        <w:rPr>
          <w:rFonts w:hint="eastAsia"/>
          <w:color w:val="auto"/>
          <w:highlight w:val="none"/>
        </w:rPr>
      </w:pPr>
      <w:bookmarkStart w:id="113" w:name="_Toc27707"/>
      <w:bookmarkStart w:id="114" w:name="_Toc22246"/>
      <w:r>
        <w:rPr>
          <w:rFonts w:hint="eastAsia"/>
          <w:color w:val="auto"/>
          <w:highlight w:val="none"/>
        </w:rPr>
        <w:t>巡检养护管理</w:t>
      </w:r>
      <w:bookmarkEnd w:id="113"/>
      <w:bookmarkEnd w:id="114"/>
    </w:p>
    <w:p w14:paraId="3E68AC86">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管网巡检管理系统主要用于有序规划巡检任务，实时监控及量化考核巡检养护作业流程，支持巡检计划制定、巡检任务下达、巡检轨迹记录等功能，实现隐患上报、任务下发、作业监管、完工验收的闭环管理，确保隐患的动态清零。</w:t>
      </w:r>
    </w:p>
    <w:p w14:paraId="59F74D7F">
      <w:pPr>
        <w:pStyle w:val="4"/>
        <w:bidi w:val="0"/>
        <w:ind w:left="0" w:leftChars="0" w:firstLine="0" w:firstLineChars="0"/>
        <w:rPr>
          <w:rFonts w:hint="eastAsia"/>
          <w:color w:val="auto"/>
          <w:highlight w:val="none"/>
        </w:rPr>
      </w:pPr>
      <w:bookmarkStart w:id="115" w:name="_Toc22999"/>
      <w:bookmarkStart w:id="116" w:name="_Toc27653"/>
      <w:r>
        <w:rPr>
          <w:rFonts w:hint="eastAsia"/>
          <w:color w:val="auto"/>
          <w:highlight w:val="none"/>
        </w:rPr>
        <w:t>巡检管理</w:t>
      </w:r>
      <w:bookmarkEnd w:id="115"/>
      <w:bookmarkEnd w:id="116"/>
    </w:p>
    <w:p w14:paraId="5F9E787F">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通过标准巡检计划与任务空间锚定构建管理基座；依托人员轨迹地图渲染、工单状态穿透查询的实时动态看板实现巡检过程全透明，并基于轨迹溯源分析与巡检统计图形成</w:t>
      </w:r>
      <w:r>
        <w:rPr>
          <w:rFonts w:hint="eastAsia" w:cs="Times New Roman"/>
          <w:color w:val="auto"/>
          <w:highlight w:val="none"/>
          <w:lang w:eastAsia="zh-CN"/>
        </w:rPr>
        <w:t>“</w:t>
      </w:r>
      <w:r>
        <w:rPr>
          <w:rFonts w:hint="eastAsia" w:ascii="Times New Roman" w:hAnsi="Times New Roman" w:eastAsia="宋体" w:cs="Times New Roman"/>
          <w:color w:val="auto"/>
          <w:highlight w:val="none"/>
        </w:rPr>
        <w:t>计划—执行—监控—优化</w:t>
      </w:r>
      <w:r>
        <w:rPr>
          <w:rFonts w:hint="eastAsia" w:cs="Times New Roman"/>
          <w:color w:val="auto"/>
          <w:highlight w:val="none"/>
          <w:lang w:eastAsia="zh-CN"/>
        </w:rPr>
        <w:t>”</w:t>
      </w:r>
      <w:r>
        <w:rPr>
          <w:rFonts w:hint="eastAsia" w:ascii="Times New Roman" w:hAnsi="Times New Roman" w:eastAsia="宋体" w:cs="Times New Roman"/>
          <w:color w:val="auto"/>
          <w:highlight w:val="none"/>
        </w:rPr>
        <w:t>的数字化闭环，赋能巡检效率提升与养护决策精准化。</w:t>
      </w:r>
      <w:r>
        <w:rPr>
          <w:rFonts w:hint="eastAsia" w:ascii="Times New Roman" w:hAnsi="Times New Roman" w:eastAsia="宋体" w:cs="Times New Roman"/>
          <w:color w:val="auto"/>
          <w:highlight w:val="none"/>
          <w:lang w:val="en-US" w:eastAsia="zh-CN"/>
        </w:rPr>
        <w:t>包括巡检片区管理、巡检方案管理、巡检计划制定、巡检任务管理、问题管理等模块。</w:t>
      </w:r>
    </w:p>
    <w:p w14:paraId="3A3A956A">
      <w:pPr>
        <w:pStyle w:val="4"/>
        <w:bidi w:val="0"/>
        <w:ind w:left="0" w:leftChars="0" w:firstLine="0" w:firstLineChars="0"/>
        <w:rPr>
          <w:rFonts w:hint="eastAsia"/>
          <w:color w:val="auto"/>
          <w:highlight w:val="none"/>
        </w:rPr>
      </w:pPr>
      <w:bookmarkStart w:id="117" w:name="_Toc20679"/>
      <w:bookmarkStart w:id="118" w:name="_Toc11208"/>
      <w:r>
        <w:rPr>
          <w:rFonts w:hint="eastAsia"/>
          <w:color w:val="auto"/>
          <w:highlight w:val="none"/>
        </w:rPr>
        <w:t>养护管理</w:t>
      </w:r>
      <w:bookmarkEnd w:id="117"/>
      <w:bookmarkEnd w:id="118"/>
    </w:p>
    <w:p w14:paraId="6B231B5B">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支持工单上报时地图绘制任务范围，实现问题精准锚定；依托多状态工单分页追踪构建透明化管控链条；结合智能统计看板，形成</w:t>
      </w:r>
      <w:r>
        <w:rPr>
          <w:rFonts w:hint="eastAsia" w:cs="Times New Roman"/>
          <w:color w:val="auto"/>
          <w:highlight w:val="none"/>
          <w:lang w:eastAsia="zh-CN"/>
        </w:rPr>
        <w:t>“</w:t>
      </w:r>
      <w:r>
        <w:rPr>
          <w:rFonts w:hint="eastAsia" w:ascii="Times New Roman" w:hAnsi="Times New Roman" w:eastAsia="宋体" w:cs="Times New Roman"/>
          <w:color w:val="auto"/>
          <w:highlight w:val="none"/>
        </w:rPr>
        <w:t>上报—分派—执行—分析</w:t>
      </w:r>
      <w:r>
        <w:rPr>
          <w:rFonts w:hint="eastAsia" w:cs="Times New Roman"/>
          <w:color w:val="auto"/>
          <w:highlight w:val="none"/>
          <w:lang w:eastAsia="zh-CN"/>
        </w:rPr>
        <w:t>”</w:t>
      </w:r>
      <w:r>
        <w:rPr>
          <w:rFonts w:hint="eastAsia" w:ascii="Times New Roman" w:hAnsi="Times New Roman" w:eastAsia="宋体" w:cs="Times New Roman"/>
          <w:color w:val="auto"/>
          <w:highlight w:val="none"/>
        </w:rPr>
        <w:t>的数字化闭环，赋能养护资源精准调度与处置效能动态优化。</w:t>
      </w:r>
      <w:r>
        <w:rPr>
          <w:rFonts w:hint="eastAsia" w:ascii="Times New Roman" w:hAnsi="Times New Roman" w:eastAsia="宋体" w:cs="Times New Roman"/>
          <w:color w:val="auto"/>
          <w:highlight w:val="none"/>
          <w:lang w:val="en-US" w:eastAsia="zh-CN"/>
        </w:rPr>
        <w:t>包括养护片区管理、养护计划制定、养护任务管理等模块。</w:t>
      </w:r>
    </w:p>
    <w:p w14:paraId="6FE19B58">
      <w:pPr>
        <w:pStyle w:val="4"/>
        <w:bidi w:val="0"/>
        <w:ind w:left="0" w:leftChars="0" w:firstLine="0" w:firstLineChars="0"/>
        <w:rPr>
          <w:rFonts w:hint="eastAsia"/>
          <w:color w:val="auto"/>
          <w:highlight w:val="none"/>
        </w:rPr>
      </w:pPr>
      <w:bookmarkStart w:id="119" w:name="_Toc30808"/>
      <w:bookmarkStart w:id="120" w:name="_Toc16530"/>
      <w:r>
        <w:rPr>
          <w:rFonts w:hint="eastAsia"/>
          <w:color w:val="auto"/>
          <w:highlight w:val="none"/>
        </w:rPr>
        <w:t>考核管理</w:t>
      </w:r>
      <w:bookmarkEnd w:id="119"/>
      <w:bookmarkEnd w:id="120"/>
    </w:p>
    <w:p w14:paraId="2F74C515">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根据巡检养护流程闭环运行过程中的留档数据，制定相应的考核指标，如到位率、任务完成率、有效巡检时间等，系统定期对巡检养护人员、管理人员进行考核评价。</w:t>
      </w:r>
    </w:p>
    <w:p w14:paraId="21A3043F">
      <w:pPr>
        <w:pStyle w:val="3"/>
        <w:bidi w:val="0"/>
        <w:ind w:left="0" w:leftChars="0" w:firstLine="0" w:firstLineChars="0"/>
        <w:rPr>
          <w:rFonts w:hint="eastAsia"/>
          <w:color w:val="auto"/>
          <w:highlight w:val="none"/>
        </w:rPr>
      </w:pPr>
      <w:bookmarkStart w:id="121" w:name="_Toc14254"/>
      <w:bookmarkStart w:id="122" w:name="_Toc21363"/>
      <w:r>
        <w:rPr>
          <w:rFonts w:hint="eastAsia"/>
          <w:color w:val="auto"/>
          <w:highlight w:val="none"/>
        </w:rPr>
        <w:t>移动端GIS基础平台</w:t>
      </w:r>
      <w:bookmarkEnd w:id="121"/>
      <w:bookmarkEnd w:id="122"/>
    </w:p>
    <w:p w14:paraId="2D67DB4E">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针对排水日常管理中的移动端应用需求，构建包括运行监测、数据报警、巡检养护、设备一张图的移动管理系统。</w:t>
      </w:r>
    </w:p>
    <w:p w14:paraId="547FF5C4">
      <w:pPr>
        <w:pStyle w:val="4"/>
        <w:bidi w:val="0"/>
        <w:ind w:left="0" w:leftChars="0" w:firstLine="0" w:firstLineChars="0"/>
        <w:rPr>
          <w:rFonts w:hint="eastAsia"/>
          <w:color w:val="auto"/>
          <w:highlight w:val="none"/>
        </w:rPr>
      </w:pPr>
      <w:bookmarkStart w:id="123" w:name="_Toc23759"/>
      <w:bookmarkStart w:id="124" w:name="_Toc10220"/>
      <w:r>
        <w:rPr>
          <w:rFonts w:hint="eastAsia"/>
          <w:color w:val="auto"/>
          <w:highlight w:val="none"/>
        </w:rPr>
        <w:t>首页</w:t>
      </w:r>
      <w:bookmarkEnd w:id="123"/>
      <w:bookmarkEnd w:id="124"/>
    </w:p>
    <w:p w14:paraId="7A6800AE">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通过定制运行监测、报警管理、巡检养护、通用信息四大看板构建移动端聚合式指挥门户。</w:t>
      </w:r>
    </w:p>
    <w:p w14:paraId="6AC0141F">
      <w:pPr>
        <w:pStyle w:val="4"/>
        <w:bidi w:val="0"/>
        <w:ind w:left="0" w:leftChars="0" w:firstLine="0" w:firstLineChars="0"/>
        <w:rPr>
          <w:rFonts w:hint="eastAsia"/>
          <w:color w:val="auto"/>
          <w:highlight w:val="none"/>
        </w:rPr>
      </w:pPr>
      <w:bookmarkStart w:id="125" w:name="_Toc16528"/>
      <w:bookmarkStart w:id="126" w:name="_Toc29760"/>
      <w:r>
        <w:rPr>
          <w:rFonts w:hint="eastAsia"/>
          <w:color w:val="auto"/>
          <w:highlight w:val="none"/>
        </w:rPr>
        <w:t>运行监测</w:t>
      </w:r>
      <w:bookmarkEnd w:id="125"/>
      <w:bookmarkEnd w:id="126"/>
    </w:p>
    <w:p w14:paraId="6CD41915">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在移动端总览设备状态信息，结合站点监测的卡片化列表查询及下钻能力快速调取站点基本信息、历史数据与报警记录；同步支持污水厂与泵站运行报表的移动端筛选查阅。</w:t>
      </w:r>
    </w:p>
    <w:p w14:paraId="7F0A5D49">
      <w:pPr>
        <w:pStyle w:val="4"/>
        <w:bidi w:val="0"/>
        <w:ind w:left="0" w:leftChars="0" w:firstLine="0" w:firstLineChars="0"/>
        <w:rPr>
          <w:rFonts w:hint="eastAsia"/>
          <w:color w:val="auto"/>
          <w:highlight w:val="none"/>
        </w:rPr>
      </w:pPr>
      <w:bookmarkStart w:id="127" w:name="_Toc26334"/>
      <w:bookmarkStart w:id="128" w:name="_Toc7721"/>
      <w:r>
        <w:rPr>
          <w:rFonts w:hint="eastAsia"/>
          <w:color w:val="auto"/>
          <w:highlight w:val="none"/>
        </w:rPr>
        <w:t>数据报警</w:t>
      </w:r>
      <w:bookmarkEnd w:id="127"/>
      <w:bookmarkEnd w:id="128"/>
    </w:p>
    <w:p w14:paraId="19AB5134">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在移动端统计设备报警频次并集成报警日历视图，支持点击特定日期下钻查询当日报警明细；同步提供轻量化报警管理工具，支持报警标记、查看、转发、生成工单及下钻关联站点详情。</w:t>
      </w:r>
    </w:p>
    <w:p w14:paraId="62BB29E3">
      <w:pPr>
        <w:pStyle w:val="4"/>
        <w:bidi w:val="0"/>
        <w:ind w:left="0" w:leftChars="0" w:firstLine="0" w:firstLineChars="0"/>
        <w:rPr>
          <w:rFonts w:hint="eastAsia"/>
          <w:color w:val="auto"/>
          <w:highlight w:val="none"/>
        </w:rPr>
      </w:pPr>
      <w:bookmarkStart w:id="129" w:name="_Toc4546"/>
      <w:bookmarkStart w:id="130" w:name="_Toc15326"/>
      <w:r>
        <w:rPr>
          <w:rFonts w:hint="eastAsia"/>
          <w:color w:val="auto"/>
          <w:highlight w:val="none"/>
        </w:rPr>
        <w:t>巡检养护</w:t>
      </w:r>
      <w:bookmarkEnd w:id="129"/>
      <w:bookmarkEnd w:id="130"/>
    </w:p>
    <w:p w14:paraId="718D9E66">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支持巡检人员实时查看与接收巡检计划任务，结合GIS精准定位与设施赋码技术实现作业数字化留痕，同步集成养护工单上报、推送、处置记录上传及巡检养护数据统计分析能力，赋能外勤人员高效完成现场作业与数据协同。</w:t>
      </w:r>
    </w:p>
    <w:p w14:paraId="7AFA0BF9">
      <w:pPr>
        <w:pStyle w:val="4"/>
        <w:bidi w:val="0"/>
        <w:ind w:left="0" w:leftChars="0" w:firstLine="0" w:firstLineChars="0"/>
        <w:rPr>
          <w:rFonts w:hint="eastAsia"/>
          <w:color w:val="auto"/>
          <w:highlight w:val="none"/>
        </w:rPr>
      </w:pPr>
      <w:bookmarkStart w:id="131" w:name="_Toc28483"/>
      <w:bookmarkStart w:id="132" w:name="_Toc18681"/>
      <w:r>
        <w:rPr>
          <w:rFonts w:hint="eastAsia"/>
          <w:color w:val="auto"/>
          <w:highlight w:val="none"/>
        </w:rPr>
        <w:t>设备</w:t>
      </w:r>
      <w:r>
        <w:rPr>
          <w:rFonts w:hint="eastAsia"/>
          <w:color w:val="auto"/>
          <w:highlight w:val="none"/>
          <w:lang w:eastAsia="zh-CN"/>
        </w:rPr>
        <w:t>“</w:t>
      </w:r>
      <w:r>
        <w:rPr>
          <w:rFonts w:hint="eastAsia"/>
          <w:color w:val="auto"/>
          <w:highlight w:val="none"/>
        </w:rPr>
        <w:t>一张图</w:t>
      </w:r>
      <w:bookmarkEnd w:id="131"/>
      <w:r>
        <w:rPr>
          <w:rFonts w:hint="eastAsia"/>
          <w:color w:val="auto"/>
          <w:highlight w:val="none"/>
          <w:lang w:eastAsia="zh-CN"/>
        </w:rPr>
        <w:t>”</w:t>
      </w:r>
      <w:bookmarkEnd w:id="132"/>
    </w:p>
    <w:p w14:paraId="42D78721">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通过本地化存储与实时渲染技术实现设施分布地图可视化，支持点击下钻查看设备详情信息，结合动态数据标签与报警状态分级渲染，实现运行异常感知，并可穿透查询报警记录及监测数据曲线。</w:t>
      </w:r>
    </w:p>
    <w:p w14:paraId="41DD8A0C">
      <w:pPr>
        <w:pStyle w:val="4"/>
        <w:bidi w:val="0"/>
        <w:ind w:left="0" w:leftChars="0" w:firstLine="0" w:firstLineChars="0"/>
        <w:rPr>
          <w:rFonts w:hint="eastAsia"/>
          <w:color w:val="auto"/>
          <w:highlight w:val="none"/>
        </w:rPr>
      </w:pPr>
      <w:bookmarkStart w:id="133" w:name="_Toc1977"/>
      <w:bookmarkStart w:id="134" w:name="_Toc21272"/>
      <w:r>
        <w:rPr>
          <w:rFonts w:hint="eastAsia"/>
          <w:color w:val="auto"/>
          <w:highlight w:val="none"/>
        </w:rPr>
        <w:t>个人中心</w:t>
      </w:r>
      <w:bookmarkEnd w:id="133"/>
      <w:bookmarkEnd w:id="134"/>
    </w:p>
    <w:p w14:paraId="25EED8FC">
      <w:pPr>
        <w:ind w:firstLine="480"/>
        <w:rPr>
          <w:color w:val="auto"/>
          <w:highlight w:val="none"/>
        </w:rPr>
      </w:pPr>
      <w:r>
        <w:rPr>
          <w:rFonts w:hint="eastAsia" w:ascii="Times New Roman" w:hAnsi="Times New Roman" w:eastAsia="宋体" w:cs="Times New Roman"/>
          <w:color w:val="auto"/>
          <w:highlight w:val="none"/>
        </w:rPr>
        <w:t>支持个人信息修改/查看、应用版本信息查看与升级。</w:t>
      </w:r>
    </w:p>
    <w:p w14:paraId="2E2FDF77">
      <w:pPr>
        <w:pStyle w:val="3"/>
        <w:bidi w:val="0"/>
        <w:ind w:left="0" w:leftChars="0" w:firstLine="0" w:firstLineChars="0"/>
        <w:rPr>
          <w:rFonts w:hint="eastAsia"/>
          <w:color w:val="auto"/>
          <w:highlight w:val="none"/>
        </w:rPr>
      </w:pPr>
      <w:bookmarkStart w:id="135" w:name="_Toc11771"/>
      <w:bookmarkStart w:id="136" w:name="_Toc3838"/>
      <w:r>
        <w:rPr>
          <w:rFonts w:hint="eastAsia"/>
          <w:color w:val="auto"/>
          <w:highlight w:val="none"/>
        </w:rPr>
        <w:t>系统管理</w:t>
      </w:r>
      <w:bookmarkEnd w:id="135"/>
      <w:bookmarkEnd w:id="136"/>
    </w:p>
    <w:p w14:paraId="316FE9E6">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系统管理用于配置系统菜单、数据字典，维护组织、用户，管理权限，监控系统操作日志等。</w:t>
      </w:r>
    </w:p>
    <w:p w14:paraId="22187782">
      <w:pPr>
        <w:pStyle w:val="4"/>
        <w:bidi w:val="0"/>
        <w:ind w:left="0" w:leftChars="0" w:firstLine="0" w:firstLineChars="0"/>
        <w:rPr>
          <w:rFonts w:hint="eastAsia"/>
          <w:color w:val="auto"/>
          <w:highlight w:val="none"/>
        </w:rPr>
      </w:pPr>
      <w:bookmarkStart w:id="137" w:name="_Toc18658"/>
      <w:bookmarkStart w:id="138" w:name="_Toc7318"/>
      <w:r>
        <w:rPr>
          <w:rFonts w:hint="eastAsia"/>
          <w:color w:val="auto"/>
          <w:highlight w:val="none"/>
        </w:rPr>
        <w:t>字典管理</w:t>
      </w:r>
      <w:bookmarkEnd w:id="137"/>
      <w:bookmarkEnd w:id="138"/>
    </w:p>
    <w:p w14:paraId="7D7F6CF7">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数据字典配置功能支持用户添加、修改或删除字典、分类以及记录信息。</w:t>
      </w:r>
    </w:p>
    <w:p w14:paraId="588DFAAB">
      <w:pPr>
        <w:pStyle w:val="4"/>
        <w:bidi w:val="0"/>
        <w:ind w:left="0" w:leftChars="0" w:firstLine="0" w:firstLineChars="0"/>
        <w:rPr>
          <w:rFonts w:hint="eastAsia"/>
          <w:color w:val="auto"/>
          <w:highlight w:val="none"/>
        </w:rPr>
      </w:pPr>
      <w:bookmarkStart w:id="139" w:name="_Toc31082"/>
      <w:bookmarkStart w:id="140" w:name="_Toc32710"/>
      <w:r>
        <w:rPr>
          <w:rFonts w:hint="eastAsia"/>
          <w:color w:val="auto"/>
          <w:highlight w:val="none"/>
        </w:rPr>
        <w:t>菜单管理</w:t>
      </w:r>
      <w:bookmarkEnd w:id="139"/>
      <w:bookmarkEnd w:id="140"/>
    </w:p>
    <w:p w14:paraId="3B097280">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调节页面上的功能菜单，调节各功能的菜单类型、上级菜单、菜单名称（中文），菜单名称（英文）、前端组件。</w:t>
      </w:r>
    </w:p>
    <w:p w14:paraId="39EEFAEF">
      <w:pPr>
        <w:pStyle w:val="4"/>
        <w:bidi w:val="0"/>
        <w:ind w:left="0" w:leftChars="0" w:firstLine="0" w:firstLineChars="0"/>
        <w:rPr>
          <w:rFonts w:hint="eastAsia"/>
          <w:color w:val="auto"/>
          <w:highlight w:val="none"/>
        </w:rPr>
      </w:pPr>
      <w:bookmarkStart w:id="141" w:name="_Toc4027"/>
      <w:bookmarkStart w:id="142" w:name="_Toc6213"/>
      <w:r>
        <w:rPr>
          <w:rFonts w:hint="eastAsia"/>
          <w:color w:val="auto"/>
          <w:highlight w:val="none"/>
        </w:rPr>
        <w:t>日志管理</w:t>
      </w:r>
      <w:bookmarkEnd w:id="141"/>
      <w:bookmarkEnd w:id="142"/>
    </w:p>
    <w:p w14:paraId="49D90591">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记录了各个使用者的用户名称、用户角色、操作时间、操作类型、操作模块、操作说明、IP地址等保障系统的安全和稳定。</w:t>
      </w:r>
    </w:p>
    <w:p w14:paraId="6579CBAB">
      <w:pPr>
        <w:pStyle w:val="4"/>
        <w:bidi w:val="0"/>
        <w:ind w:left="0" w:leftChars="0" w:firstLine="0" w:firstLineChars="0"/>
        <w:rPr>
          <w:rFonts w:hint="eastAsia"/>
          <w:color w:val="auto"/>
          <w:highlight w:val="none"/>
        </w:rPr>
      </w:pPr>
      <w:bookmarkStart w:id="143" w:name="_Toc19919"/>
      <w:bookmarkStart w:id="144" w:name="_Toc23290"/>
      <w:r>
        <w:rPr>
          <w:rFonts w:hint="eastAsia"/>
          <w:color w:val="auto"/>
          <w:highlight w:val="none"/>
        </w:rPr>
        <w:t>权限管理</w:t>
      </w:r>
      <w:bookmarkEnd w:id="143"/>
      <w:bookmarkEnd w:id="144"/>
    </w:p>
    <w:p w14:paraId="658E00EA">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通过勾选的方式，配置不同系统的不同角色的功能模块。</w:t>
      </w:r>
    </w:p>
    <w:p w14:paraId="67E20F37">
      <w:pPr>
        <w:pStyle w:val="4"/>
        <w:bidi w:val="0"/>
        <w:ind w:left="0" w:leftChars="0" w:firstLine="0" w:firstLineChars="0"/>
        <w:rPr>
          <w:rFonts w:hint="eastAsia"/>
          <w:color w:val="auto"/>
          <w:highlight w:val="none"/>
        </w:rPr>
      </w:pPr>
      <w:bookmarkStart w:id="145" w:name="_Toc19603"/>
      <w:bookmarkStart w:id="146" w:name="_Toc20693"/>
      <w:r>
        <w:rPr>
          <w:rFonts w:hint="eastAsia"/>
          <w:color w:val="auto"/>
          <w:highlight w:val="none"/>
        </w:rPr>
        <w:t>用户管理</w:t>
      </w:r>
      <w:bookmarkEnd w:id="145"/>
      <w:bookmarkEnd w:id="146"/>
    </w:p>
    <w:p w14:paraId="7A5B7D67">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对系统</w:t>
      </w:r>
      <w:r>
        <w:rPr>
          <w:rFonts w:hint="eastAsia" w:ascii="Times New Roman" w:hAnsi="Times New Roman" w:eastAsia="宋体" w:cs="Times New Roman"/>
          <w:color w:val="auto"/>
          <w:highlight w:val="none"/>
          <w:lang w:eastAsia="zh-CN"/>
        </w:rPr>
        <w:t>所有的</w:t>
      </w:r>
      <w:r>
        <w:rPr>
          <w:rFonts w:hint="eastAsia" w:ascii="Times New Roman" w:hAnsi="Times New Roman" w:eastAsia="宋体" w:cs="Times New Roman"/>
          <w:color w:val="auto"/>
          <w:highlight w:val="none"/>
        </w:rPr>
        <w:t>用户进行管理，实现用户的新增、修改、删除。</w:t>
      </w:r>
    </w:p>
    <w:p w14:paraId="73779F3C">
      <w:pPr>
        <w:pStyle w:val="4"/>
        <w:bidi w:val="0"/>
        <w:ind w:left="0" w:leftChars="0" w:firstLine="0" w:firstLineChars="0"/>
        <w:rPr>
          <w:rFonts w:hint="eastAsia"/>
          <w:color w:val="auto"/>
          <w:highlight w:val="none"/>
        </w:rPr>
      </w:pPr>
      <w:bookmarkStart w:id="147" w:name="_Toc19887"/>
      <w:bookmarkStart w:id="148" w:name="_Toc12557"/>
      <w:r>
        <w:rPr>
          <w:rFonts w:hint="eastAsia"/>
          <w:color w:val="auto"/>
          <w:highlight w:val="none"/>
        </w:rPr>
        <w:t>单位管理</w:t>
      </w:r>
      <w:bookmarkEnd w:id="147"/>
      <w:bookmarkEnd w:id="148"/>
    </w:p>
    <w:p w14:paraId="4535B5B9">
      <w:pPr>
        <w:bidi w:val="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可以添加、编辑、删除单位和部门。点击组织结构的单位可以查看单位的详细信息，并可以编辑修改。</w:t>
      </w:r>
    </w:p>
    <w:p w14:paraId="5253E0F4">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HTJW--GB1-0-Identity-H">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81D88"/>
    <w:multiLevelType w:val="singleLevel"/>
    <w:tmpl w:val="8F581D88"/>
    <w:lvl w:ilvl="0" w:tentative="0">
      <w:start w:val="1"/>
      <w:numFmt w:val="decimal"/>
      <w:suff w:val="nothing"/>
      <w:lvlText w:val="%1、"/>
      <w:lvlJc w:val="left"/>
    </w:lvl>
  </w:abstractNum>
  <w:abstractNum w:abstractNumId="1">
    <w:nsid w:val="BA1D9E5A"/>
    <w:multiLevelType w:val="singleLevel"/>
    <w:tmpl w:val="BA1D9E5A"/>
    <w:lvl w:ilvl="0" w:tentative="0">
      <w:start w:val="1"/>
      <w:numFmt w:val="decimal"/>
      <w:suff w:val="nothing"/>
      <w:lvlText w:val="%1、"/>
      <w:lvlJc w:val="left"/>
    </w:lvl>
  </w:abstractNum>
  <w:abstractNum w:abstractNumId="2">
    <w:nsid w:val="62669DA0"/>
    <w:multiLevelType w:val="multilevel"/>
    <w:tmpl w:val="62669DA0"/>
    <w:lvl w:ilvl="0" w:tentative="0">
      <w:start w:val="1"/>
      <w:numFmt w:val="decimal"/>
      <w:pStyle w:val="2"/>
      <w:suff w:val="nothing"/>
      <w:lvlText w:val="%1."/>
      <w:lvlJc w:val="left"/>
      <w:pPr>
        <w:ind w:left="0" w:firstLine="0"/>
      </w:pPr>
      <w:rPr>
        <w:rFonts w:hint="default" w:ascii="Times New Roman" w:hAnsi="Times New Roman" w:eastAsia="宋体" w:cs="宋体"/>
      </w:rPr>
    </w:lvl>
    <w:lvl w:ilvl="1" w:tentative="0">
      <w:start w:val="1"/>
      <w:numFmt w:val="decimal"/>
      <w:isLgl/>
      <w:suff w:val="nothing"/>
      <w:lvlText w:val="%1.%2."/>
      <w:lvlJc w:val="left"/>
      <w:pPr>
        <w:ind w:left="0" w:firstLine="0"/>
      </w:pPr>
      <w:rPr>
        <w:rFonts w:hint="default" w:ascii="Times New Roman" w:hAnsi="Times New Roman" w:eastAsia="宋体"/>
      </w:rPr>
    </w:lvl>
    <w:lvl w:ilvl="2" w:tentative="0">
      <w:start w:val="1"/>
      <w:numFmt w:val="decimal"/>
      <w:isLgl/>
      <w:suff w:val="nothing"/>
      <w:lvlText w:val="%1.%2.%3."/>
      <w:lvlJc w:val="left"/>
      <w:pPr>
        <w:ind w:left="0" w:firstLine="0"/>
      </w:pPr>
      <w:rPr>
        <w:rFonts w:hint="default" w:ascii="Times New Roman" w:hAnsi="Times New Roman" w:eastAsia="宋体"/>
      </w:rPr>
    </w:lvl>
    <w:lvl w:ilvl="3" w:tentative="0">
      <w:start w:val="1"/>
      <w:numFmt w:val="decimal"/>
      <w:isLgl/>
      <w:suff w:val="nothing"/>
      <w:lvlText w:val="%1.%2.%3.%4."/>
      <w:lvlJc w:val="left"/>
      <w:pPr>
        <w:ind w:left="0" w:firstLine="0"/>
      </w:pPr>
      <w:rPr>
        <w:rFonts w:hint="default" w:ascii="Times New Roman" w:hAnsi="Times New Roman" w:eastAsia="宋体"/>
      </w:rPr>
    </w:lvl>
    <w:lvl w:ilvl="4" w:tentative="0">
      <w:start w:val="1"/>
      <w:numFmt w:val="decimal"/>
      <w:isLgl/>
      <w:suff w:val="nothing"/>
      <w:lvlText w:val="%1.%2.%3.%4.%5."/>
      <w:lvlJc w:val="left"/>
      <w:pPr>
        <w:ind w:left="1400" w:firstLine="0"/>
      </w:pPr>
      <w:rPr>
        <w:rFonts w:hint="default" w:ascii="Times New Roman" w:hAnsi="Times New Roman" w:eastAsia="宋体"/>
      </w:rPr>
    </w:lvl>
    <w:lvl w:ilvl="5" w:tentative="0">
      <w:start w:val="1"/>
      <w:numFmt w:val="decimal"/>
      <w:isLgl/>
      <w:suff w:val="nothing"/>
      <w:lvlText w:val="%1.%2.%3.%4.%5.%6."/>
      <w:lvlJc w:val="left"/>
      <w:pPr>
        <w:ind w:left="0" w:firstLine="0"/>
      </w:pPr>
      <w:rPr>
        <w:rFonts w:hint="default" w:ascii="Times New Roman" w:hAnsi="Times New Roman" w:eastAsia="宋体"/>
      </w:rPr>
    </w:lvl>
    <w:lvl w:ilvl="6" w:tentative="0">
      <w:start w:val="1"/>
      <w:numFmt w:val="decimal"/>
      <w:isLgl/>
      <w:suff w:val="nothing"/>
      <w:lvlText w:val="%1.%2.%3.%4.%5.%6.%7."/>
      <w:lvlJc w:val="left"/>
      <w:pPr>
        <w:ind w:left="0" w:firstLine="0"/>
      </w:pPr>
      <w:rPr>
        <w:rFonts w:hint="default" w:ascii="Times New Roman" w:hAnsi="Times New Roman" w:eastAsia="宋体"/>
      </w:rPr>
    </w:lvl>
    <w:lvl w:ilvl="7" w:tentative="0">
      <w:start w:val="1"/>
      <w:numFmt w:val="decimal"/>
      <w:isLgl/>
      <w:suff w:val="nothing"/>
      <w:lvlText w:val="%1.%2.%3.%4.%5.%6.%7.%8."/>
      <w:lvlJc w:val="left"/>
      <w:pPr>
        <w:ind w:left="0" w:firstLine="0"/>
      </w:pPr>
      <w:rPr>
        <w:rFonts w:hint="default" w:ascii="Times New Roman" w:hAnsi="Times New Roman" w:eastAsia="宋体"/>
      </w:rPr>
    </w:lvl>
    <w:lvl w:ilvl="8" w:tentative="0">
      <w:start w:val="1"/>
      <w:numFmt w:val="decimal"/>
      <w:isLgl/>
      <w:suff w:val="nothing"/>
      <w:lvlText w:val="%1.%2.%3.%4.%5.%6.%7.%8.%9."/>
      <w:lvlJc w:val="left"/>
      <w:pPr>
        <w:ind w:left="0" w:firstLine="0"/>
      </w:pPr>
      <w:rPr>
        <w:rFonts w:hint="default" w:ascii="Times New Roman" w:hAnsi="Times New Roman" w:eastAsia="宋体"/>
      </w:rPr>
    </w:lvl>
  </w:abstractNum>
  <w:abstractNum w:abstractNumId="3">
    <w:nsid w:val="79B0FF7F"/>
    <w:multiLevelType w:val="singleLevel"/>
    <w:tmpl w:val="79B0FF7F"/>
    <w:lvl w:ilvl="0" w:tentative="0">
      <w:start w:val="4"/>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E178D"/>
    <w:rsid w:val="009D0EA3"/>
    <w:rsid w:val="037C0353"/>
    <w:rsid w:val="05C237BA"/>
    <w:rsid w:val="0B590047"/>
    <w:rsid w:val="0C322DE7"/>
    <w:rsid w:val="0DA62D5F"/>
    <w:rsid w:val="0E433E52"/>
    <w:rsid w:val="0FED59A3"/>
    <w:rsid w:val="118439AE"/>
    <w:rsid w:val="13B83DB2"/>
    <w:rsid w:val="16AE5760"/>
    <w:rsid w:val="1B4D19EC"/>
    <w:rsid w:val="1C0876C1"/>
    <w:rsid w:val="201613C7"/>
    <w:rsid w:val="209239FD"/>
    <w:rsid w:val="23C6058D"/>
    <w:rsid w:val="29DB01C2"/>
    <w:rsid w:val="2CFA4E04"/>
    <w:rsid w:val="2DE41D3C"/>
    <w:rsid w:val="2F5E178D"/>
    <w:rsid w:val="33065DC9"/>
    <w:rsid w:val="3424001A"/>
    <w:rsid w:val="38655AE5"/>
    <w:rsid w:val="3A011DC8"/>
    <w:rsid w:val="3A871F12"/>
    <w:rsid w:val="42E271BB"/>
    <w:rsid w:val="4ACB00B3"/>
    <w:rsid w:val="4BB663DB"/>
    <w:rsid w:val="4C4A325A"/>
    <w:rsid w:val="4D0478AD"/>
    <w:rsid w:val="4EA71845"/>
    <w:rsid w:val="4F946B67"/>
    <w:rsid w:val="4FF97471"/>
    <w:rsid w:val="5005686C"/>
    <w:rsid w:val="5100482F"/>
    <w:rsid w:val="51DD691E"/>
    <w:rsid w:val="521117AA"/>
    <w:rsid w:val="52AA6800"/>
    <w:rsid w:val="54A34BAE"/>
    <w:rsid w:val="56FC3213"/>
    <w:rsid w:val="58701D55"/>
    <w:rsid w:val="5A751DEA"/>
    <w:rsid w:val="5AB20948"/>
    <w:rsid w:val="5BAC183B"/>
    <w:rsid w:val="5C8E5BD5"/>
    <w:rsid w:val="5ED52E57"/>
    <w:rsid w:val="61500EBB"/>
    <w:rsid w:val="61D32818"/>
    <w:rsid w:val="63C811DC"/>
    <w:rsid w:val="648C220A"/>
    <w:rsid w:val="665B634A"/>
    <w:rsid w:val="66D103A8"/>
    <w:rsid w:val="67144738"/>
    <w:rsid w:val="68AD09A1"/>
    <w:rsid w:val="6BA65339"/>
    <w:rsid w:val="6BD732BE"/>
    <w:rsid w:val="6C2D3162"/>
    <w:rsid w:val="724C4D86"/>
    <w:rsid w:val="75736D1E"/>
    <w:rsid w:val="778E7BEF"/>
    <w:rsid w:val="77F663DB"/>
    <w:rsid w:val="79246A5D"/>
    <w:rsid w:val="7A232871"/>
    <w:rsid w:val="7E1150D6"/>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s>
      <w:spacing w:before="340" w:after="40" w:afterLines="40" w:line="579" w:lineRule="auto"/>
      <w:ind w:firstLineChars="0"/>
      <w:outlineLvl w:val="0"/>
    </w:pPr>
    <w:rPr>
      <w:rFonts w:ascii="Times New Roman" w:hAnsi="Times New Roman" w:eastAsia="宋体" w:cs="Times New Roman"/>
      <w:b/>
      <w:bCs/>
      <w:kern w:val="44"/>
      <w:sz w:val="2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20"/>
    </w:pPr>
    <w:rPr>
      <w:rFonts w:ascii="仿宋_GB2312" w:hAnsi="仿宋_GB2312" w:eastAsia="仿宋_GB2312" w:cs="仿宋_GB2312"/>
      <w:sz w:val="32"/>
      <w:szCs w:val="32"/>
      <w:lang w:val="zh-CN" w:bidi="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fontstyle01"/>
    <w:qFormat/>
    <w:uiPriority w:val="0"/>
    <w:rPr>
      <w:rFonts w:hint="default" w:ascii="FZHTJW--GB1-0-Identity-H" w:hAnsi="FZHTJW--GB1-0-Identity-H"/>
      <w:color w:val="FFFFFF"/>
      <w:sz w:val="20"/>
      <w:szCs w:val="20"/>
    </w:rPr>
  </w:style>
  <w:style w:type="character" w:customStyle="1" w:styleId="1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3880</Words>
  <Characters>4195</Characters>
  <Lines>0</Lines>
  <Paragraphs>0</Paragraphs>
  <TotalTime>174</TotalTime>
  <ScaleCrop>false</ScaleCrop>
  <LinksUpToDate>false</LinksUpToDate>
  <CharactersWithSpaces>4242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2025-12-01T13:00:00Z</dcterms:created>
  <dc:creator>刘慧</dc:creator>
  <cp:lastModifiedBy>Clytze</cp:lastModifiedBy>
  <dcterms:modified xsi:type="dcterms:W3CDTF">2026-02-06T02:13:14Z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3C9680D8355845DD91D8E8621F7B6C25_13</vt:lpwstr>
  </property>
  <property fmtid="{D5CDD505-2E9C-101B-9397-08002B2CF9AE}" pid="4" name="KSOTemplateDocerSaveRecord">
    <vt:lpwstr>eyJoZGlkIjoiYzI4NDlmMDhjNjE5NThkMzI5YzUwOTM0OTg3YzQ1ZDEiLCJ1c2VySWQiOiIyODAzMzM3OTUifQ==</vt:lpwstr>
  </property>
</Properties>
</file>