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666AD">
      <w:pPr>
        <w:pageBreakBefore w:val="0"/>
        <w:widowControl w:val="0"/>
        <w:wordWrap/>
        <w:overflowPunct/>
        <w:topLinePunct w:val="0"/>
        <w:bidi w:val="0"/>
        <w:spacing w:before="270" w:line="221" w:lineRule="auto"/>
        <w:jc w:val="center"/>
        <w:outlineLvl w:val="0"/>
        <w:rPr>
          <w:rFonts w:hint="eastAsia" w:ascii="宋体" w:hAnsi="宋体" w:eastAsia="宋体" w:cs="宋体"/>
          <w:b w:val="0"/>
          <w:bCs w:val="0"/>
          <w:color w:val="auto"/>
          <w:spacing w:val="6"/>
          <w:sz w:val="56"/>
          <w:szCs w:val="56"/>
          <w:highlight w:val="none"/>
          <w:lang w:eastAsia="zh-CN"/>
        </w:rPr>
      </w:pPr>
      <w:bookmarkStart w:id="0" w:name="_Toc6146"/>
    </w:p>
    <w:p w14:paraId="15FEAA94">
      <w:pPr>
        <w:pageBreakBefore w:val="0"/>
        <w:widowControl w:val="0"/>
        <w:wordWrap/>
        <w:overflowPunct/>
        <w:topLinePunct w:val="0"/>
        <w:bidi w:val="0"/>
        <w:spacing w:before="270" w:line="221" w:lineRule="auto"/>
        <w:jc w:val="center"/>
        <w:outlineLvl w:val="0"/>
        <w:rPr>
          <w:rFonts w:hint="eastAsia" w:ascii="宋体" w:hAnsi="宋体" w:eastAsia="宋体" w:cs="宋体"/>
          <w:b w:val="0"/>
          <w:bCs w:val="0"/>
          <w:color w:val="auto"/>
          <w:spacing w:val="6"/>
          <w:sz w:val="56"/>
          <w:szCs w:val="56"/>
          <w:highlight w:val="none"/>
          <w:lang w:eastAsia="zh-CN"/>
        </w:rPr>
      </w:pPr>
    </w:p>
    <w:p w14:paraId="35C638B0">
      <w:pPr>
        <w:pageBreakBefore w:val="0"/>
        <w:widowControl w:val="0"/>
        <w:wordWrap/>
        <w:overflowPunct/>
        <w:topLinePunct w:val="0"/>
        <w:bidi w:val="0"/>
        <w:spacing w:before="270" w:line="221" w:lineRule="auto"/>
        <w:jc w:val="center"/>
        <w:outlineLvl w:val="0"/>
        <w:rPr>
          <w:rFonts w:hint="eastAsia" w:ascii="宋体" w:hAnsi="宋体" w:eastAsia="宋体" w:cs="宋体"/>
          <w:b w:val="0"/>
          <w:bCs w:val="0"/>
          <w:color w:val="auto"/>
          <w:spacing w:val="6"/>
          <w:sz w:val="56"/>
          <w:szCs w:val="56"/>
          <w:highlight w:val="none"/>
          <w:lang w:eastAsia="zh-CN"/>
        </w:rPr>
      </w:pPr>
    </w:p>
    <w:p w14:paraId="4FAD86A3">
      <w:pPr>
        <w:pageBreakBefore w:val="0"/>
        <w:widowControl w:val="0"/>
        <w:wordWrap/>
        <w:overflowPunct/>
        <w:topLinePunct w:val="0"/>
        <w:bidi w:val="0"/>
        <w:spacing w:before="270" w:line="221" w:lineRule="auto"/>
        <w:jc w:val="center"/>
        <w:outlineLvl w:val="0"/>
        <w:rPr>
          <w:rFonts w:hint="eastAsia" w:ascii="宋体" w:hAnsi="宋体" w:eastAsia="宋体" w:cs="宋体"/>
          <w:b/>
          <w:bCs/>
          <w:color w:val="auto"/>
          <w:spacing w:val="2"/>
          <w:sz w:val="56"/>
          <w:szCs w:val="56"/>
          <w:highlight w:val="none"/>
          <w:lang w:eastAsia="zh-CN"/>
        </w:rPr>
      </w:pPr>
      <w:bookmarkStart w:id="1" w:name="_Toc11618"/>
      <w:bookmarkStart w:id="2" w:name="_Toc29519"/>
      <w:r>
        <w:rPr>
          <w:rFonts w:hint="eastAsia" w:ascii="宋体" w:hAnsi="宋体" w:eastAsia="宋体" w:cs="宋体"/>
          <w:b/>
          <w:bCs/>
          <w:color w:val="auto"/>
          <w:spacing w:val="6"/>
          <w:sz w:val="56"/>
          <w:szCs w:val="56"/>
          <w:highlight w:val="none"/>
          <w:lang w:eastAsia="zh-CN"/>
        </w:rPr>
        <w:t>阳光采购</w:t>
      </w:r>
      <w:r>
        <w:rPr>
          <w:rFonts w:hint="eastAsia" w:ascii="宋体" w:hAnsi="宋体" w:eastAsia="宋体" w:cs="宋体"/>
          <w:b/>
          <w:bCs/>
          <w:color w:val="auto"/>
          <w:spacing w:val="2"/>
          <w:sz w:val="56"/>
          <w:szCs w:val="56"/>
          <w:highlight w:val="none"/>
          <w:lang w:val="en-US" w:eastAsia="zh-CN"/>
        </w:rPr>
        <w:t>竞争性磋商</w:t>
      </w:r>
      <w:r>
        <w:rPr>
          <w:rFonts w:hint="eastAsia" w:ascii="宋体" w:hAnsi="宋体" w:eastAsia="宋体" w:cs="宋体"/>
          <w:b/>
          <w:bCs/>
          <w:color w:val="auto"/>
          <w:spacing w:val="2"/>
          <w:sz w:val="56"/>
          <w:szCs w:val="56"/>
          <w:highlight w:val="none"/>
          <w:lang w:eastAsia="zh-CN"/>
        </w:rPr>
        <w:t>文件</w:t>
      </w:r>
      <w:bookmarkEnd w:id="0"/>
      <w:bookmarkEnd w:id="1"/>
      <w:bookmarkEnd w:id="2"/>
    </w:p>
    <w:p w14:paraId="38972A87">
      <w:pPr>
        <w:pageBreakBefore w:val="0"/>
        <w:widowControl w:val="0"/>
        <w:wordWrap/>
        <w:overflowPunct/>
        <w:topLinePunct w:val="0"/>
        <w:bidi w:val="0"/>
        <w:spacing w:before="101" w:line="224" w:lineRule="auto"/>
        <w:ind w:left="3725" w:leftChars="0" w:hanging="3725" w:hangingChars="1179"/>
        <w:jc w:val="center"/>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pPr>
    </w:p>
    <w:p w14:paraId="2002F561">
      <w:pPr>
        <w:pageBreakBefore w:val="0"/>
        <w:widowControl w:val="0"/>
        <w:wordWrap/>
        <w:overflowPunct/>
        <w:topLinePunct w:val="0"/>
        <w:bidi w:val="0"/>
        <w:spacing w:before="101" w:line="224" w:lineRule="auto"/>
        <w:ind w:left="3725" w:leftChars="0" w:hanging="3725" w:hangingChars="1179"/>
        <w:jc w:val="center"/>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pPr>
    </w:p>
    <w:p w14:paraId="67F0F80F">
      <w:pPr>
        <w:pageBreakBefore w:val="0"/>
        <w:widowControl w:val="0"/>
        <w:wordWrap/>
        <w:overflowPunct/>
        <w:topLinePunct w:val="0"/>
        <w:bidi w:val="0"/>
        <w:spacing w:before="101" w:line="224" w:lineRule="auto"/>
        <w:ind w:left="3725" w:leftChars="0" w:hanging="3725" w:hangingChars="1179"/>
        <w:jc w:val="center"/>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pPr>
    </w:p>
    <w:p w14:paraId="12A290EC">
      <w:pPr>
        <w:pageBreakBefore w:val="0"/>
        <w:widowControl w:val="0"/>
        <w:wordWrap/>
        <w:overflowPunct/>
        <w:topLinePunct w:val="0"/>
        <w:bidi w:val="0"/>
        <w:spacing w:before="101" w:line="224" w:lineRule="auto"/>
        <w:ind w:left="3725" w:leftChars="0" w:hanging="3725" w:hangingChars="1179"/>
        <w:jc w:val="center"/>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pPr>
    </w:p>
    <w:p w14:paraId="26964A76">
      <w:pPr>
        <w:pageBreakBefore w:val="0"/>
        <w:widowControl w:val="0"/>
        <w:wordWrap/>
        <w:overflowPunct/>
        <w:topLinePunct w:val="0"/>
        <w:bidi w:val="0"/>
        <w:spacing w:before="101" w:line="224" w:lineRule="auto"/>
        <w:ind w:left="3725" w:leftChars="0" w:hanging="3725" w:hangingChars="1179"/>
        <w:jc w:val="center"/>
        <w:rPr>
          <w:rFonts w:hint="eastAsia" w:ascii="宋体" w:hAnsi="宋体" w:eastAsia="宋体" w:cs="宋体"/>
          <w:b w:val="0"/>
          <w:bCs w:val="0"/>
          <w:color w:val="auto"/>
          <w:sz w:val="31"/>
          <w:szCs w:val="31"/>
          <w:highlight w:val="none"/>
          <w:lang w:eastAsia="zh-CN"/>
        </w:rPr>
      </w:pPr>
      <w:r>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t>（</w:t>
      </w:r>
      <w:r>
        <w:rPr>
          <w:rFonts w:hint="eastAsia" w:ascii="宋体" w:hAnsi="宋体" w:eastAsia="宋体" w:cs="宋体"/>
          <w:b w:val="0"/>
          <w:bCs w:val="0"/>
          <w:color w:val="auto"/>
          <w:spacing w:val="3"/>
          <w:sz w:val="31"/>
          <w:szCs w:val="31"/>
          <w:highlight w:val="none"/>
          <w:lang w:val="en-US" w:eastAsia="zh-CN"/>
          <w14:textOutline w14:w="5791" w14:cap="sq" w14:cmpd="sng" w14:algn="ctr">
            <w14:solidFill>
              <w14:srgbClr w14:val="000000"/>
            </w14:solidFill>
            <w14:prstDash w14:val="solid"/>
            <w14:bevel/>
          </w14:textOutline>
        </w:rPr>
        <w:t>服务</w:t>
      </w:r>
      <w:r>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t>类）</w:t>
      </w:r>
    </w:p>
    <w:p w14:paraId="65791520">
      <w:pPr>
        <w:pageBreakBefore w:val="0"/>
        <w:widowControl w:val="0"/>
        <w:wordWrap/>
        <w:overflowPunct/>
        <w:topLinePunct w:val="0"/>
        <w:bidi w:val="0"/>
        <w:spacing w:before="101" w:line="224" w:lineRule="auto"/>
        <w:ind w:left="3725" w:leftChars="0" w:hanging="3725" w:hangingChars="1179"/>
        <w:jc w:val="center"/>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pPr>
    </w:p>
    <w:p w14:paraId="4B790AE0">
      <w:pPr>
        <w:pageBreakBefore w:val="0"/>
        <w:widowControl w:val="0"/>
        <w:wordWrap/>
        <w:overflowPunct/>
        <w:topLinePunct w:val="0"/>
        <w:bidi w:val="0"/>
        <w:spacing w:before="101" w:line="224" w:lineRule="auto"/>
        <w:ind w:left="3725" w:leftChars="0" w:hanging="3725" w:hangingChars="1179"/>
        <w:jc w:val="center"/>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pPr>
    </w:p>
    <w:p w14:paraId="19372CB4">
      <w:pPr>
        <w:pageBreakBefore w:val="0"/>
        <w:widowControl w:val="0"/>
        <w:wordWrap/>
        <w:overflowPunct/>
        <w:topLinePunct w:val="0"/>
        <w:bidi w:val="0"/>
        <w:spacing w:before="101" w:line="224" w:lineRule="auto"/>
        <w:ind w:left="3725" w:leftChars="0" w:hanging="3725" w:hangingChars="1179"/>
        <w:jc w:val="center"/>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pPr>
    </w:p>
    <w:p w14:paraId="7E5A5AB8">
      <w:pPr>
        <w:pageBreakBefore w:val="0"/>
        <w:widowControl w:val="0"/>
        <w:wordWrap/>
        <w:overflowPunct/>
        <w:topLinePunct w:val="0"/>
        <w:bidi w:val="0"/>
        <w:spacing w:before="101" w:line="224" w:lineRule="auto"/>
        <w:ind w:left="3725" w:leftChars="0" w:hanging="3725" w:hangingChars="1179"/>
        <w:jc w:val="center"/>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pPr>
    </w:p>
    <w:p w14:paraId="6CBC6D63">
      <w:pPr>
        <w:pageBreakBefore w:val="0"/>
        <w:widowControl w:val="0"/>
        <w:wordWrap/>
        <w:overflowPunct/>
        <w:topLinePunct w:val="0"/>
        <w:bidi w:val="0"/>
        <w:spacing w:before="101" w:line="224" w:lineRule="auto"/>
        <w:ind w:left="5405" w:leftChars="800" w:hanging="3725" w:hangingChars="1179"/>
        <w:jc w:val="both"/>
        <w:rPr>
          <w:rFonts w:hint="eastAsia" w:ascii="宋体" w:hAnsi="宋体" w:eastAsia="宋体" w:cs="宋体"/>
          <w:b w:val="0"/>
          <w:bCs w:val="0"/>
          <w:color w:val="auto"/>
          <w:spacing w:val="3"/>
          <w:sz w:val="31"/>
          <w:szCs w:val="31"/>
          <w:highlight w:val="none"/>
          <w:lang w:val="en-US" w:eastAsia="zh-CN"/>
          <w14:textOutline w14:w="5791" w14:cap="sq" w14:cmpd="sng" w14:algn="ctr">
            <w14:solidFill>
              <w14:srgbClr w14:val="000000"/>
            </w14:solidFill>
            <w14:prstDash w14:val="solid"/>
            <w14:bevel/>
          </w14:textOutline>
        </w:rPr>
      </w:pPr>
      <w:r>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t>项目名称：</w:t>
      </w:r>
      <w:r>
        <w:rPr>
          <w:rFonts w:hint="eastAsia" w:ascii="宋体" w:hAnsi="宋体" w:eastAsia="宋体" w:cs="宋体"/>
          <w:b w:val="0"/>
          <w:bCs w:val="0"/>
          <w:color w:val="auto"/>
          <w:spacing w:val="3"/>
          <w:sz w:val="31"/>
          <w:szCs w:val="31"/>
          <w:highlight w:val="none"/>
          <w:lang w:val="en-US" w:eastAsia="zh-CN"/>
          <w14:textOutline w14:w="5791" w14:cap="sq" w14:cmpd="sng" w14:algn="ctr">
            <w14:solidFill>
              <w14:srgbClr w14:val="000000"/>
            </w14:solidFill>
            <w14:prstDash w14:val="solid"/>
            <w14:bevel/>
          </w14:textOutline>
        </w:rPr>
        <w:t>和济水务食堂劳务外包服务（第二次）</w:t>
      </w:r>
    </w:p>
    <w:p w14:paraId="3E92C166">
      <w:pPr>
        <w:pageBreakBefore w:val="0"/>
        <w:widowControl w:val="0"/>
        <w:wordWrap/>
        <w:overflowPunct/>
        <w:topLinePunct w:val="0"/>
        <w:bidi w:val="0"/>
        <w:spacing w:before="101" w:line="224" w:lineRule="auto"/>
        <w:ind w:left="5405" w:leftChars="800" w:hanging="3725" w:hangingChars="1179"/>
        <w:jc w:val="both"/>
        <w:rPr>
          <w:rFonts w:hint="eastAsia" w:ascii="宋体" w:hAnsi="宋体" w:eastAsia="宋体" w:cs="宋体"/>
          <w:b w:val="0"/>
          <w:bCs w:val="0"/>
          <w:color w:val="auto"/>
          <w:spacing w:val="3"/>
          <w:sz w:val="31"/>
          <w:szCs w:val="31"/>
          <w:highlight w:val="none"/>
          <w:lang w:val="en-US" w:eastAsia="zh-CN"/>
          <w14:textOutline w14:w="5791" w14:cap="sq" w14:cmpd="sng" w14:algn="ctr">
            <w14:solidFill>
              <w14:srgbClr w14:val="000000"/>
            </w14:solidFill>
            <w14:prstDash w14:val="solid"/>
            <w14:bevel/>
          </w14:textOutline>
        </w:rPr>
      </w:pPr>
      <w:r>
        <w:rPr>
          <w:rFonts w:hint="eastAsia" w:ascii="宋体" w:hAnsi="宋体" w:eastAsia="宋体" w:cs="宋体"/>
          <w:b w:val="0"/>
          <w:bCs w:val="0"/>
          <w:color w:val="auto"/>
          <w:spacing w:val="3"/>
          <w:sz w:val="31"/>
          <w:szCs w:val="31"/>
          <w:highlight w:val="none"/>
          <w:lang w:val="en-US" w:eastAsia="zh-CN"/>
          <w14:textOutline w14:w="5791" w14:cap="sq" w14:cmpd="sng" w14:algn="ctr">
            <w14:solidFill>
              <w14:srgbClr w14:val="000000"/>
            </w14:solidFill>
            <w14:prstDash w14:val="solid"/>
            <w14:bevel/>
          </w14:textOutline>
        </w:rPr>
        <w:t>采购单位：上饶市和济水务有限公司</w:t>
      </w:r>
    </w:p>
    <w:p w14:paraId="3725A0F9">
      <w:pPr>
        <w:pageBreakBefore w:val="0"/>
        <w:widowControl w:val="0"/>
        <w:wordWrap/>
        <w:overflowPunct/>
        <w:topLinePunct w:val="0"/>
        <w:bidi w:val="0"/>
        <w:spacing w:before="101" w:line="224" w:lineRule="auto"/>
        <w:ind w:left="5405" w:leftChars="800" w:hanging="3725" w:hangingChars="1179"/>
        <w:jc w:val="both"/>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pPr>
      <w:r>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t>采购方式：竞争性磋商</w:t>
      </w:r>
    </w:p>
    <w:p w14:paraId="357BFFAC">
      <w:pPr>
        <w:pageBreakBefore w:val="0"/>
        <w:widowControl w:val="0"/>
        <w:wordWrap/>
        <w:overflowPunct/>
        <w:topLinePunct w:val="0"/>
        <w:bidi w:val="0"/>
        <w:spacing w:before="101" w:line="224" w:lineRule="auto"/>
        <w:ind w:left="5405" w:leftChars="800" w:hanging="3725" w:hangingChars="1179"/>
        <w:jc w:val="both"/>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pPr>
    </w:p>
    <w:p w14:paraId="6C7BFC58">
      <w:pPr>
        <w:pageBreakBefore w:val="0"/>
        <w:widowControl w:val="0"/>
        <w:wordWrap/>
        <w:overflowPunct/>
        <w:topLinePunct w:val="0"/>
        <w:bidi w:val="0"/>
        <w:spacing w:before="101" w:line="224" w:lineRule="auto"/>
        <w:ind w:left="3725" w:leftChars="0" w:hanging="3725" w:hangingChars="1179"/>
        <w:jc w:val="center"/>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pPr>
    </w:p>
    <w:p w14:paraId="2AF4DFAB">
      <w:pPr>
        <w:pageBreakBefore w:val="0"/>
        <w:widowControl w:val="0"/>
        <w:wordWrap/>
        <w:overflowPunct/>
        <w:topLinePunct w:val="0"/>
        <w:bidi w:val="0"/>
        <w:spacing w:before="101" w:line="224" w:lineRule="auto"/>
        <w:ind w:left="3725" w:leftChars="0" w:hanging="3725" w:hangingChars="1179"/>
        <w:jc w:val="center"/>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pPr>
    </w:p>
    <w:p w14:paraId="35A3B1B2">
      <w:pPr>
        <w:pageBreakBefore w:val="0"/>
        <w:widowControl w:val="0"/>
        <w:wordWrap/>
        <w:overflowPunct/>
        <w:topLinePunct w:val="0"/>
        <w:bidi w:val="0"/>
        <w:spacing w:before="101" w:line="224" w:lineRule="auto"/>
        <w:jc w:val="both"/>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pPr>
    </w:p>
    <w:p w14:paraId="341A19C2">
      <w:pPr>
        <w:pageBreakBefore w:val="0"/>
        <w:widowControl w:val="0"/>
        <w:wordWrap/>
        <w:overflowPunct/>
        <w:topLinePunct w:val="0"/>
        <w:bidi w:val="0"/>
        <w:spacing w:before="101" w:line="224" w:lineRule="auto"/>
        <w:ind w:left="3725" w:leftChars="0" w:hanging="3725" w:hangingChars="1179"/>
        <w:jc w:val="center"/>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pPr>
    </w:p>
    <w:p w14:paraId="71C20838">
      <w:pPr>
        <w:pageBreakBefore w:val="0"/>
        <w:widowControl w:val="0"/>
        <w:wordWrap/>
        <w:overflowPunct/>
        <w:topLinePunct w:val="0"/>
        <w:bidi w:val="0"/>
        <w:spacing w:before="101" w:line="224" w:lineRule="auto"/>
        <w:ind w:left="3725" w:leftChars="0" w:hanging="3725" w:hangingChars="1179"/>
        <w:jc w:val="center"/>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pPr>
      <w:r>
        <w:rPr>
          <w:rFonts w:hint="eastAsia" w:ascii="宋体" w:hAnsi="宋体" w:eastAsia="宋体" w:cs="宋体"/>
          <w:b w:val="0"/>
          <w:bCs w:val="0"/>
          <w:color w:val="auto"/>
          <w:spacing w:val="3"/>
          <w:sz w:val="31"/>
          <w:szCs w:val="31"/>
          <w:highlight w:val="none"/>
          <w:lang w:eastAsia="zh-CN"/>
          <w14:textOutline w14:w="5791" w14:cap="sq" w14:cmpd="sng" w14:algn="ctr">
            <w14:solidFill>
              <w14:srgbClr w14:val="000000"/>
            </w14:solidFill>
            <w14:prstDash w14:val="solid"/>
            <w14:bevel/>
          </w14:textOutline>
        </w:rPr>
        <w:t>上饶国属工程造价咨询有限公司</w:t>
      </w:r>
    </w:p>
    <w:p w14:paraId="1CCCA749">
      <w:pPr>
        <w:pageBreakBefore w:val="0"/>
        <w:widowControl w:val="0"/>
        <w:wordWrap/>
        <w:overflowPunct/>
        <w:topLinePunct w:val="0"/>
        <w:bidi w:val="0"/>
        <w:spacing w:before="101" w:line="224" w:lineRule="auto"/>
        <w:ind w:left="3725" w:leftChars="0" w:hanging="3725" w:hangingChars="1179"/>
        <w:jc w:val="center"/>
        <w:rPr>
          <w:rFonts w:hint="eastAsia" w:ascii="宋体" w:hAnsi="宋体" w:eastAsia="宋体" w:cs="宋体"/>
          <w:b w:val="0"/>
          <w:bCs w:val="0"/>
          <w:color w:val="auto"/>
          <w:spacing w:val="3"/>
          <w:sz w:val="31"/>
          <w:szCs w:val="31"/>
          <w:highlight w:val="none"/>
          <w:lang w:val="en-US" w:eastAsia="en-US"/>
          <w14:textOutline w14:w="5791" w14:cap="sq" w14:cmpd="sng" w14:algn="ctr">
            <w14:solidFill>
              <w14:srgbClr w14:val="000000"/>
            </w14:solidFill>
            <w14:prstDash w14:val="solid"/>
            <w14:bevel/>
          </w14:textOutline>
        </w:rPr>
      </w:pPr>
      <w:r>
        <w:rPr>
          <w:rFonts w:hint="eastAsia" w:ascii="宋体" w:hAnsi="宋体" w:eastAsia="宋体" w:cs="宋体"/>
          <w:b w:val="0"/>
          <w:bCs w:val="0"/>
          <w:color w:val="auto"/>
          <w:spacing w:val="3"/>
          <w:sz w:val="31"/>
          <w:szCs w:val="31"/>
          <w:highlight w:val="none"/>
          <w:lang w:val="en-US" w:eastAsia="en-US"/>
          <w14:textOutline w14:w="5791" w14:cap="sq" w14:cmpd="sng" w14:algn="ctr">
            <w14:solidFill>
              <w14:srgbClr w14:val="000000"/>
            </w14:solidFill>
            <w14:prstDash w14:val="solid"/>
            <w14:bevel/>
          </w14:textOutline>
        </w:rPr>
        <w:t>202</w:t>
      </w:r>
      <w:r>
        <w:rPr>
          <w:rFonts w:hint="eastAsia" w:ascii="宋体" w:hAnsi="宋体" w:eastAsia="宋体" w:cs="宋体"/>
          <w:b w:val="0"/>
          <w:bCs w:val="0"/>
          <w:color w:val="auto"/>
          <w:spacing w:val="3"/>
          <w:sz w:val="31"/>
          <w:szCs w:val="31"/>
          <w:highlight w:val="none"/>
          <w:lang w:val="en-US" w:eastAsia="zh-CN"/>
          <w14:textOutline w14:w="5791" w14:cap="sq" w14:cmpd="sng" w14:algn="ctr">
            <w14:solidFill>
              <w14:srgbClr w14:val="000000"/>
            </w14:solidFill>
            <w14:prstDash w14:val="solid"/>
            <w14:bevel/>
          </w14:textOutline>
        </w:rPr>
        <w:t>6</w:t>
      </w:r>
      <w:r>
        <w:rPr>
          <w:rFonts w:hint="eastAsia" w:ascii="宋体" w:hAnsi="宋体" w:eastAsia="宋体" w:cs="宋体"/>
          <w:b w:val="0"/>
          <w:bCs w:val="0"/>
          <w:color w:val="auto"/>
          <w:spacing w:val="3"/>
          <w:sz w:val="31"/>
          <w:szCs w:val="31"/>
          <w:highlight w:val="none"/>
          <w:lang w:val="en-US" w:eastAsia="en-US"/>
          <w14:textOutline w14:w="5791" w14:cap="sq" w14:cmpd="sng" w14:algn="ctr">
            <w14:solidFill>
              <w14:srgbClr w14:val="000000"/>
            </w14:solidFill>
            <w14:prstDash w14:val="solid"/>
            <w14:bevel/>
          </w14:textOutline>
        </w:rPr>
        <w:t>年1月</w:t>
      </w:r>
    </w:p>
    <w:sdt>
      <w:sdtPr>
        <w:rPr>
          <w:rFonts w:hint="eastAsia" w:ascii="宋体" w:hAnsi="宋体" w:eastAsia="宋体" w:cs="宋体"/>
          <w:b w:val="0"/>
          <w:bCs w:val="0"/>
          <w:color w:val="auto"/>
          <w:spacing w:val="3"/>
          <w:sz w:val="31"/>
          <w:szCs w:val="31"/>
          <w:highlight w:val="none"/>
          <w:lang w:val="en-US" w:eastAsia="en-US"/>
          <w14:textOutline w14:w="5791" w14:cap="sq" w14:cmpd="sng" w14:algn="ctr">
            <w14:solidFill>
              <w14:srgbClr w14:val="000000"/>
            </w14:solidFill>
            <w14:prstDash w14:val="solid"/>
            <w14:bevel/>
          </w14:textOutline>
        </w:rPr>
        <w:id w:val="147455849"/>
        <w15:color w:val="DBDBDB"/>
        <w:docPartObj>
          <w:docPartGallery w:val="Table of Contents"/>
          <w:docPartUnique/>
        </w:docPartObj>
      </w:sdtPr>
      <w:sdtEndPr>
        <w:rPr>
          <w:rFonts w:hint="eastAsia" w:ascii="宋体" w:hAnsi="宋体" w:eastAsia="宋体" w:cs="宋体"/>
          <w:b/>
          <w:bCs/>
          <w:snapToGrid w:val="0"/>
          <w:color w:val="auto"/>
          <w:spacing w:val="3"/>
          <w:sz w:val="21"/>
          <w:szCs w:val="21"/>
          <w:highlight w:val="none"/>
          <w:lang w:val="en-US" w:eastAsia="en-US" w:bidi="ar-SA"/>
          <w14:textOutline w14:w="5791" w14:cap="sq" w14:cmpd="sng" w14:algn="ctr">
            <w14:solidFill>
              <w14:srgbClr w14:val="000000"/>
            </w14:solidFill>
            <w14:prstDash w14:val="solid"/>
            <w14:bevel/>
          </w14:textOutline>
        </w:rPr>
      </w:sdtEndPr>
      <w:sdtContent>
        <w:p w14:paraId="482696C2">
          <w:pPr>
            <w:pageBreakBefore w:val="0"/>
            <w:widowControl w:val="0"/>
            <w:wordWrap/>
            <w:overflowPunct/>
            <w:topLinePunct w:val="0"/>
            <w:bidi w:val="0"/>
            <w:spacing w:before="101" w:line="224" w:lineRule="auto"/>
            <w:ind w:left="3725" w:leftChars="0" w:hanging="3725" w:hangingChars="1179"/>
            <w:jc w:val="center"/>
            <w:rPr>
              <w:rFonts w:hint="eastAsia" w:ascii="宋体" w:hAnsi="宋体" w:eastAsia="宋体" w:cs="宋体"/>
              <w:b w:val="0"/>
              <w:bCs w:val="0"/>
              <w:color w:val="auto"/>
              <w:spacing w:val="3"/>
              <w:sz w:val="31"/>
              <w:szCs w:val="31"/>
              <w:highlight w:val="none"/>
              <w:lang w:val="en-US" w:eastAsia="en-US"/>
              <w14:textOutline w14:w="5791" w14:cap="sq" w14:cmpd="sng" w14:algn="ctr">
                <w14:solidFill>
                  <w14:srgbClr w14:val="000000"/>
                </w14:solidFill>
                <w14:prstDash w14:val="solid"/>
                <w14:bevel/>
              </w14:textOutline>
            </w:rPr>
          </w:pPr>
        </w:p>
        <w:p w14:paraId="2BE79D73">
          <w:pPr>
            <w:spacing w:before="0" w:beforeLines="0" w:after="0" w:afterLines="0" w:line="240" w:lineRule="auto"/>
            <w:ind w:left="0" w:leftChars="0" w:right="0" w:rightChars="0" w:firstLine="0" w:firstLineChars="0"/>
            <w:jc w:val="center"/>
            <w:rPr>
              <w:rFonts w:hint="eastAsia" w:ascii="宋体" w:hAnsi="宋体" w:eastAsia="宋体" w:cs="宋体"/>
              <w:b/>
              <w:bCs/>
              <w:snapToGrid w:val="0"/>
              <w:color w:val="auto"/>
              <w:sz w:val="36"/>
              <w:szCs w:val="36"/>
              <w:highlight w:val="none"/>
              <w:lang w:val="en-US" w:eastAsia="en-US" w:bidi="ar-SA"/>
            </w:rPr>
          </w:pPr>
        </w:p>
        <w:p w14:paraId="59AB34C8">
          <w:pPr>
            <w:spacing w:before="0" w:beforeLines="0" w:after="0" w:afterLines="0" w:line="240" w:lineRule="auto"/>
            <w:ind w:left="0" w:leftChars="0" w:right="0" w:rightChars="0" w:firstLine="0" w:firstLineChars="0"/>
            <w:jc w:val="both"/>
            <w:rPr>
              <w:rFonts w:hint="eastAsia" w:ascii="宋体" w:hAnsi="宋体" w:eastAsia="宋体" w:cs="宋体"/>
              <w:b/>
              <w:bCs/>
              <w:snapToGrid w:val="0"/>
              <w:color w:val="auto"/>
              <w:sz w:val="36"/>
              <w:szCs w:val="36"/>
              <w:highlight w:val="none"/>
              <w:lang w:val="en-US" w:eastAsia="en-US" w:bidi="ar-SA"/>
            </w:rPr>
          </w:pPr>
        </w:p>
        <w:p w14:paraId="37F0FCB6">
          <w:pPr>
            <w:spacing w:before="0" w:beforeLines="0" w:after="0" w:afterLines="0" w:line="240" w:lineRule="auto"/>
            <w:ind w:left="0" w:leftChars="0" w:right="0" w:rightChars="0" w:firstLine="0" w:firstLineChars="0"/>
            <w:jc w:val="center"/>
            <w:rPr>
              <w:rFonts w:hint="eastAsia" w:ascii="宋体" w:hAnsi="宋体" w:eastAsia="宋体" w:cs="宋体"/>
              <w:b/>
              <w:bCs/>
              <w:snapToGrid w:val="0"/>
              <w:color w:val="auto"/>
              <w:sz w:val="36"/>
              <w:szCs w:val="36"/>
              <w:highlight w:val="none"/>
              <w:lang w:val="en-US" w:eastAsia="en-US" w:bidi="ar-SA"/>
            </w:rPr>
            <w:sectPr>
              <w:footerReference r:id="rId3" w:type="default"/>
              <w:pgSz w:w="11906" w:h="16839"/>
              <w:pgMar w:top="1134" w:right="1134" w:bottom="1134" w:left="1134" w:header="0" w:footer="1200" w:gutter="0"/>
              <w:pgBorders>
                <w:top w:val="none" w:sz="0" w:space="0"/>
                <w:left w:val="none" w:sz="0" w:space="0"/>
                <w:bottom w:val="none" w:sz="0" w:space="0"/>
                <w:right w:val="none" w:sz="0" w:space="0"/>
              </w:pgBorders>
              <w:pgNumType w:fmt="decimal" w:start="1"/>
              <w:cols w:space="720" w:num="1"/>
            </w:sectPr>
          </w:pPr>
        </w:p>
        <w:p w14:paraId="369FEB9A">
          <w:pPr>
            <w:spacing w:before="0" w:beforeLines="0" w:after="0" w:afterLines="0" w:line="240" w:lineRule="auto"/>
            <w:ind w:left="0" w:leftChars="0" w:right="0" w:rightChars="0" w:firstLine="0" w:firstLineChars="0"/>
            <w:jc w:val="center"/>
            <w:rPr>
              <w:rFonts w:hint="eastAsia" w:ascii="宋体" w:hAnsi="宋体" w:eastAsia="宋体" w:cs="宋体"/>
              <w:b/>
              <w:bCs/>
              <w:snapToGrid w:val="0"/>
              <w:color w:val="auto"/>
              <w:sz w:val="36"/>
              <w:szCs w:val="36"/>
              <w:highlight w:val="none"/>
              <w:lang w:val="en-US" w:eastAsia="en-US" w:bidi="ar-SA"/>
            </w:rPr>
          </w:pPr>
        </w:p>
        <w:p w14:paraId="420EB251">
          <w:pPr>
            <w:spacing w:before="0" w:beforeLines="0" w:after="0" w:afterLines="0" w:line="240" w:lineRule="auto"/>
            <w:ind w:left="0" w:leftChars="0" w:right="0" w:rightChars="0" w:firstLine="0" w:firstLineChars="0"/>
            <w:jc w:val="center"/>
            <w:rPr>
              <w:rFonts w:hint="eastAsia" w:ascii="宋体" w:hAnsi="宋体" w:eastAsia="宋体" w:cs="宋体"/>
              <w:b/>
              <w:bCs/>
              <w:snapToGrid w:val="0"/>
              <w:color w:val="auto"/>
              <w:sz w:val="36"/>
              <w:szCs w:val="36"/>
              <w:highlight w:val="none"/>
              <w:lang w:val="en-US" w:eastAsia="en-US" w:bidi="ar-SA"/>
            </w:rPr>
          </w:pPr>
        </w:p>
        <w:p w14:paraId="1C0727E6">
          <w:pPr>
            <w:spacing w:before="0" w:beforeLines="0" w:after="0" w:afterLines="0" w:line="240" w:lineRule="auto"/>
            <w:ind w:left="0" w:leftChars="0" w:right="0" w:rightChars="0" w:firstLine="0" w:firstLineChars="0"/>
            <w:jc w:val="center"/>
            <w:rPr>
              <w:rFonts w:hint="eastAsia" w:ascii="宋体" w:hAnsi="宋体" w:eastAsia="宋体" w:cs="宋体"/>
              <w:b/>
              <w:bCs/>
              <w:snapToGrid w:val="0"/>
              <w:color w:val="auto"/>
              <w:sz w:val="36"/>
              <w:szCs w:val="36"/>
              <w:highlight w:val="none"/>
              <w:lang w:val="en-US" w:eastAsia="en-US" w:bidi="ar-SA"/>
            </w:rPr>
          </w:pPr>
        </w:p>
        <w:p w14:paraId="31E0BADB">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目</w:t>
          </w:r>
          <w:r>
            <w:rPr>
              <w:rFonts w:hint="eastAsia" w:ascii="宋体" w:hAnsi="宋体" w:eastAsia="宋体" w:cs="宋体"/>
              <w:b/>
              <w:bCs/>
              <w:color w:val="auto"/>
              <w:sz w:val="52"/>
              <w:szCs w:val="52"/>
              <w:highlight w:val="none"/>
              <w:lang w:val="en-US" w:eastAsia="zh-CN"/>
            </w:rPr>
            <w:t xml:space="preserve">  </w:t>
          </w:r>
          <w:r>
            <w:rPr>
              <w:rFonts w:hint="eastAsia" w:ascii="宋体" w:hAnsi="宋体" w:eastAsia="宋体" w:cs="宋体"/>
              <w:b/>
              <w:bCs/>
              <w:color w:val="auto"/>
              <w:sz w:val="52"/>
              <w:szCs w:val="52"/>
              <w:highlight w:val="none"/>
            </w:rPr>
            <w:t>录</w:t>
          </w:r>
        </w:p>
        <w:p w14:paraId="20C2EA82">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52"/>
              <w:szCs w:val="52"/>
              <w:highlight w:val="none"/>
            </w:rPr>
          </w:pPr>
        </w:p>
        <w:p w14:paraId="6DB6FB4B">
          <w:pPr>
            <w:tabs>
              <w:tab w:val="left" w:pos="6723"/>
            </w:tabs>
            <w:spacing w:before="0" w:beforeLines="0" w:after="0" w:afterLines="0" w:line="240" w:lineRule="auto"/>
            <w:ind w:left="0" w:leftChars="0" w:right="0" w:rightChars="0" w:firstLine="0" w:firstLineChars="0"/>
            <w:jc w:val="left"/>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ab/>
          </w:r>
        </w:p>
        <w:p w14:paraId="58064FE2">
          <w:pPr>
            <w:pStyle w:val="14"/>
            <w:tabs>
              <w:tab w:val="right" w:leader="dot" w:pos="9638"/>
            </w:tabs>
            <w:rPr>
              <w:rFonts w:hint="eastAsia" w:ascii="宋体" w:hAnsi="宋体" w:eastAsia="宋体" w:cs="宋体"/>
              <w:b/>
              <w:bCs/>
              <w:color w:val="auto"/>
              <w:spacing w:val="8"/>
              <w:sz w:val="32"/>
              <w:szCs w:val="4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p>
        <w:p w14:paraId="2B64F584">
          <w:pPr>
            <w:pStyle w:val="14"/>
            <w:tabs>
              <w:tab w:val="right" w:leader="dot" w:pos="9638"/>
            </w:tabs>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pP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begin"/>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instrText xml:space="preserve"> HYPERLINK \l _Toc6471 </w:instrTex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separate"/>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 xml:space="preserve">第一章  </w:t>
          </w:r>
          <w:r>
            <w:rPr>
              <w:rFonts w:hint="eastAsia" w:ascii="宋体" w:hAnsi="宋体" w:eastAsia="宋体" w:cs="宋体"/>
              <w:b w:val="0"/>
              <w:bCs w:val="0"/>
              <w:color w:val="auto"/>
              <w:spacing w:val="8"/>
              <w:sz w:val="32"/>
              <w:szCs w:val="44"/>
              <w:highlight w:val="none"/>
              <w:lang w:val="en-US" w:eastAsia="zh-CN"/>
              <w14:textOutline w14:w="5842" w14:cap="sq">
                <w14:solidFill>
                  <w14:schemeClr w14:val="tx1"/>
                </w14:solidFill>
                <w14:bevel/>
              </w14:textOutline>
            </w:rPr>
            <w:t>磋商</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邀请</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ab/>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begin"/>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instrText xml:space="preserve"> PAGEREF _Toc6471 \h </w:instrTex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separate"/>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2</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end"/>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end"/>
          </w:r>
        </w:p>
        <w:p w14:paraId="62A78E3E">
          <w:pPr>
            <w:pStyle w:val="14"/>
            <w:tabs>
              <w:tab w:val="right" w:leader="dot" w:pos="9638"/>
            </w:tabs>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pPr>
        </w:p>
        <w:p w14:paraId="0057BB6B">
          <w:pPr>
            <w:pStyle w:val="14"/>
            <w:tabs>
              <w:tab w:val="right" w:leader="dot" w:pos="9638"/>
            </w:tabs>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pP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begin"/>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instrText xml:space="preserve"> HYPERLINK \l _Toc12080 </w:instrTex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separate"/>
          </w:r>
          <w:r>
            <w:rPr>
              <w:rFonts w:hint="eastAsia" w:ascii="宋体" w:hAnsi="宋体" w:eastAsia="宋体" w:cs="宋体"/>
              <w:b w:val="0"/>
              <w:bCs w:val="0"/>
              <w:color w:val="auto"/>
              <w:spacing w:val="8"/>
              <w:sz w:val="32"/>
              <w:szCs w:val="44"/>
              <w:highlight w:val="none"/>
              <w:lang w:val="en-US" w:eastAsia="zh-CN"/>
              <w14:textOutline w14:w="5842" w14:cap="sq">
                <w14:solidFill>
                  <w14:schemeClr w14:val="tx1"/>
                </w14:solidFill>
                <w14:bevel/>
              </w14:textOutline>
            </w:rPr>
            <w:t>第二章</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 xml:space="preserve">  </w:t>
          </w:r>
          <w:r>
            <w:rPr>
              <w:rFonts w:hint="eastAsia" w:ascii="宋体" w:hAnsi="宋体" w:eastAsia="宋体" w:cs="宋体"/>
              <w:b w:val="0"/>
              <w:bCs w:val="0"/>
              <w:color w:val="auto"/>
              <w:spacing w:val="8"/>
              <w:sz w:val="32"/>
              <w:szCs w:val="44"/>
              <w:highlight w:val="none"/>
              <w:lang w:val="en-US" w:eastAsia="zh-CN"/>
              <w14:textOutline w14:w="5842" w14:cap="sq">
                <w14:solidFill>
                  <w14:schemeClr w14:val="tx1"/>
                </w14:solidFill>
                <w14:bevel/>
              </w14:textOutline>
            </w:rPr>
            <w:t>供应商须知</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ab/>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begin"/>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instrText xml:space="preserve"> PAGEREF _Toc12080 \h </w:instrTex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separate"/>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5</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end"/>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end"/>
          </w:r>
        </w:p>
        <w:p w14:paraId="3F6A665E">
          <w:pPr>
            <w:pStyle w:val="14"/>
            <w:tabs>
              <w:tab w:val="right" w:leader="dot" w:pos="9638"/>
            </w:tabs>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pPr>
        </w:p>
        <w:p w14:paraId="6A366C80">
          <w:pPr>
            <w:pStyle w:val="14"/>
            <w:tabs>
              <w:tab w:val="right" w:leader="dot" w:pos="9638"/>
            </w:tabs>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pP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begin"/>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instrText xml:space="preserve"> HYPERLINK \l _Toc6405 </w:instrTex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separate"/>
          </w:r>
          <w:r>
            <w:rPr>
              <w:rFonts w:hint="eastAsia" w:ascii="宋体" w:hAnsi="宋体" w:eastAsia="宋体" w:cs="宋体"/>
              <w:b w:val="0"/>
              <w:bCs w:val="0"/>
              <w:color w:val="auto"/>
              <w:spacing w:val="8"/>
              <w:sz w:val="32"/>
              <w:szCs w:val="44"/>
              <w:highlight w:val="none"/>
              <w:lang w:val="en-US" w:eastAsia="zh-CN"/>
              <w14:textOutline w14:w="5842" w14:cap="sq">
                <w14:solidFill>
                  <w14:schemeClr w14:val="tx1"/>
                </w14:solidFill>
                <w14:bevel/>
              </w14:textOutline>
            </w:rPr>
            <w:t>第三章</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 xml:space="preserve">  </w:t>
          </w:r>
          <w:r>
            <w:rPr>
              <w:rFonts w:hint="eastAsia" w:ascii="宋体" w:hAnsi="宋体" w:eastAsia="宋体" w:cs="宋体"/>
              <w:b w:val="0"/>
              <w:bCs w:val="0"/>
              <w:color w:val="auto"/>
              <w:spacing w:val="8"/>
              <w:sz w:val="32"/>
              <w:szCs w:val="44"/>
              <w:highlight w:val="none"/>
              <w:lang w:val="en-US" w:eastAsia="zh-CN"/>
              <w14:textOutline w14:w="5842" w14:cap="sq">
                <w14:solidFill>
                  <w14:schemeClr w14:val="tx1"/>
                </w14:solidFill>
                <w14:bevel/>
              </w14:textOutline>
            </w:rPr>
            <w:t>拟签订的合同文本（参考格式）</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ab/>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begin"/>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instrText xml:space="preserve"> PAGEREF _Toc6405 \h </w:instrTex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separate"/>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20</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end"/>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end"/>
          </w:r>
        </w:p>
        <w:p w14:paraId="17298CAA">
          <w:pPr>
            <w:pStyle w:val="14"/>
            <w:tabs>
              <w:tab w:val="right" w:leader="dot" w:pos="9638"/>
            </w:tabs>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pPr>
        </w:p>
        <w:p w14:paraId="0BBFDE93">
          <w:pPr>
            <w:pStyle w:val="14"/>
            <w:tabs>
              <w:tab w:val="right" w:leader="dot" w:pos="9638"/>
            </w:tabs>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pP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begin"/>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instrText xml:space="preserve"> HYPERLINK \l _Toc13560 </w:instrTex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separate"/>
          </w:r>
          <w:r>
            <w:rPr>
              <w:rFonts w:hint="eastAsia" w:ascii="宋体" w:hAnsi="宋体" w:eastAsia="宋体" w:cs="宋体"/>
              <w:b w:val="0"/>
              <w:bCs w:val="0"/>
              <w:color w:val="auto"/>
              <w:spacing w:val="8"/>
              <w:sz w:val="32"/>
              <w:szCs w:val="44"/>
              <w:highlight w:val="none"/>
              <w:lang w:val="en-US" w:eastAsia="zh-CN"/>
              <w14:textOutline w14:w="5842" w14:cap="sq">
                <w14:solidFill>
                  <w14:schemeClr w14:val="tx1"/>
                </w14:solidFill>
                <w14:bevel/>
              </w14:textOutline>
            </w:rPr>
            <w:t>第四章</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 xml:space="preserve">  </w:t>
          </w:r>
          <w:r>
            <w:rPr>
              <w:rFonts w:hint="eastAsia" w:ascii="宋体" w:hAnsi="宋体" w:eastAsia="宋体" w:cs="宋体"/>
              <w:b w:val="0"/>
              <w:bCs w:val="0"/>
              <w:color w:val="auto"/>
              <w:spacing w:val="8"/>
              <w:sz w:val="32"/>
              <w:szCs w:val="44"/>
              <w:highlight w:val="none"/>
              <w:lang w:val="en-US" w:eastAsia="zh-CN"/>
              <w14:textOutline w14:w="5842" w14:cap="sq">
                <w14:solidFill>
                  <w14:schemeClr w14:val="tx1"/>
                </w14:solidFill>
                <w14:bevel/>
              </w14:textOutline>
            </w:rPr>
            <w:t>响应文件格式</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ab/>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begin"/>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instrText xml:space="preserve"> PAGEREF _Toc13560 \h </w:instrTex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separate"/>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22</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end"/>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end"/>
          </w:r>
        </w:p>
        <w:p w14:paraId="46F30A9E">
          <w:pPr>
            <w:pStyle w:val="14"/>
            <w:tabs>
              <w:tab w:val="right" w:leader="dot" w:pos="9638"/>
            </w:tabs>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pPr>
        </w:p>
        <w:p w14:paraId="00FA63CB">
          <w:pPr>
            <w:pStyle w:val="14"/>
            <w:tabs>
              <w:tab w:val="right" w:leader="dot" w:pos="9638"/>
            </w:tabs>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pP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begin"/>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instrText xml:space="preserve"> HYPERLINK \l _Toc28163 </w:instrTex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separate"/>
          </w:r>
          <w:r>
            <w:rPr>
              <w:rFonts w:hint="eastAsia" w:ascii="宋体" w:hAnsi="宋体" w:eastAsia="宋体" w:cs="宋体"/>
              <w:b w:val="0"/>
              <w:bCs w:val="0"/>
              <w:color w:val="auto"/>
              <w:spacing w:val="8"/>
              <w:sz w:val="32"/>
              <w:szCs w:val="44"/>
              <w:highlight w:val="none"/>
              <w:lang w:val="en-US" w:eastAsia="zh-CN"/>
              <w14:textOutline w14:w="5842" w14:cap="sq">
                <w14:solidFill>
                  <w14:schemeClr w14:val="tx1"/>
                </w14:solidFill>
                <w14:bevel/>
              </w14:textOutline>
            </w:rPr>
            <w:t>第五章</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 xml:space="preserve">  </w:t>
          </w:r>
          <w:r>
            <w:rPr>
              <w:rFonts w:hint="eastAsia" w:ascii="宋体" w:hAnsi="宋体" w:eastAsia="宋体" w:cs="宋体"/>
              <w:b w:val="0"/>
              <w:bCs w:val="0"/>
              <w:color w:val="auto"/>
              <w:spacing w:val="8"/>
              <w:sz w:val="32"/>
              <w:szCs w:val="44"/>
              <w:highlight w:val="none"/>
              <w:lang w:val="en-US" w:eastAsia="zh-CN"/>
              <w14:textOutline w14:w="5842" w14:cap="sq">
                <w14:solidFill>
                  <w14:schemeClr w14:val="tx1"/>
                </w14:solidFill>
                <w14:bevel/>
              </w14:textOutline>
            </w:rPr>
            <w:t>采购需求</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ab/>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begin"/>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instrText xml:space="preserve"> PAGEREF _Toc28163 \h </w:instrTex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separate"/>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37</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end"/>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end"/>
          </w:r>
        </w:p>
        <w:p w14:paraId="3CDF48C1">
          <w:pPr>
            <w:pStyle w:val="14"/>
            <w:tabs>
              <w:tab w:val="right" w:leader="dot" w:pos="9638"/>
            </w:tabs>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pPr>
        </w:p>
        <w:p w14:paraId="673F6377">
          <w:pPr>
            <w:pStyle w:val="14"/>
            <w:tabs>
              <w:tab w:val="right" w:leader="dot" w:pos="9638"/>
            </w:tabs>
            <w:rPr>
              <w:rFonts w:hint="eastAsia" w:ascii="宋体" w:hAnsi="宋体" w:eastAsia="宋体" w:cs="宋体"/>
              <w:color w:val="auto"/>
              <w:highlight w:val="none"/>
            </w:rPr>
          </w:pP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begin"/>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instrText xml:space="preserve"> HYPERLINK \l _Toc21252 </w:instrTex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separate"/>
          </w:r>
          <w:r>
            <w:rPr>
              <w:rFonts w:hint="eastAsia" w:ascii="宋体" w:hAnsi="宋体" w:eastAsia="宋体" w:cs="宋体"/>
              <w:b w:val="0"/>
              <w:bCs w:val="0"/>
              <w:color w:val="auto"/>
              <w:spacing w:val="8"/>
              <w:sz w:val="32"/>
              <w:szCs w:val="44"/>
              <w:highlight w:val="none"/>
              <w:lang w:val="en-US" w:eastAsia="zh-CN"/>
              <w14:textOutline w14:w="5842" w14:cap="sq">
                <w14:solidFill>
                  <w14:schemeClr w14:val="tx1"/>
                </w14:solidFill>
                <w14:bevel/>
              </w14:textOutline>
            </w:rPr>
            <w:t>第六章</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 xml:space="preserve">  </w:t>
          </w:r>
          <w:r>
            <w:rPr>
              <w:rFonts w:hint="eastAsia" w:ascii="宋体" w:hAnsi="宋体" w:eastAsia="宋体" w:cs="宋体"/>
              <w:b w:val="0"/>
              <w:bCs w:val="0"/>
              <w:color w:val="auto"/>
              <w:spacing w:val="8"/>
              <w:sz w:val="32"/>
              <w:szCs w:val="44"/>
              <w:highlight w:val="none"/>
              <w:lang w:val="en-US" w:eastAsia="zh-CN"/>
              <w14:textOutline w14:w="5842" w14:cap="sq">
                <w14:solidFill>
                  <w14:schemeClr w14:val="tx1"/>
                </w14:solidFill>
                <w14:bevel/>
              </w14:textOutline>
            </w:rPr>
            <w:t>评审标准</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ab/>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begin"/>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instrText xml:space="preserve"> PAGEREF _Toc21252 \h </w:instrTex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separate"/>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t>42</w:t>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end"/>
          </w:r>
          <w:r>
            <w:rPr>
              <w:rFonts w:hint="eastAsia" w:ascii="宋体" w:hAnsi="宋体" w:eastAsia="宋体" w:cs="宋体"/>
              <w:b w:val="0"/>
              <w:bCs w:val="0"/>
              <w:color w:val="auto"/>
              <w:spacing w:val="8"/>
              <w:sz w:val="32"/>
              <w:szCs w:val="44"/>
              <w:highlight w:val="none"/>
              <w:lang w:eastAsia="zh-CN"/>
              <w14:textOutline w14:w="5842" w14:cap="sq">
                <w14:solidFill>
                  <w14:schemeClr w14:val="tx1"/>
                </w14:solidFill>
                <w14:bevel/>
              </w14:textOutline>
            </w:rPr>
            <w:fldChar w:fldCharType="end"/>
          </w:r>
        </w:p>
        <w:p w14:paraId="2702DBDE">
          <w:pPr>
            <w:pageBreakBefore w:val="0"/>
            <w:widowControl w:val="0"/>
            <w:wordWrap/>
            <w:overflowPunct/>
            <w:topLinePunct w:val="0"/>
            <w:bidi w:val="0"/>
            <w:spacing w:line="250" w:lineRule="auto"/>
            <w:rPr>
              <w:rFonts w:hint="eastAsia" w:ascii="宋体" w:hAnsi="宋体" w:eastAsia="宋体" w:cs="宋体"/>
              <w:snapToGrid w:val="0"/>
              <w:color w:val="auto"/>
              <w:sz w:val="21"/>
              <w:szCs w:val="21"/>
              <w:highlight w:val="none"/>
              <w:lang w:val="en-US" w:eastAsia="en-US" w:bidi="ar-SA"/>
            </w:rPr>
          </w:pPr>
          <w:r>
            <w:rPr>
              <w:rFonts w:hint="eastAsia" w:ascii="宋体" w:hAnsi="宋体" w:eastAsia="宋体" w:cs="宋体"/>
              <w:color w:val="auto"/>
              <w:highlight w:val="none"/>
            </w:rPr>
            <w:fldChar w:fldCharType="end"/>
          </w:r>
        </w:p>
      </w:sdtContent>
    </w:sdt>
    <w:p w14:paraId="190AF867">
      <w:pPr>
        <w:rPr>
          <w:rFonts w:hint="eastAsia"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pPr>
      <w:r>
        <w:rPr>
          <w:rFonts w:hint="eastAsia"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br w:type="page"/>
      </w:r>
    </w:p>
    <w:p w14:paraId="2D12FB89">
      <w:pPr>
        <w:pageBreakBefore w:val="0"/>
        <w:widowControl w:val="0"/>
        <w:wordWrap/>
        <w:overflowPunct/>
        <w:topLinePunct w:val="0"/>
        <w:bidi w:val="0"/>
        <w:spacing w:before="63" w:line="224" w:lineRule="auto"/>
        <w:ind w:left="4797" w:leftChars="0" w:hanging="4797" w:hangingChars="1599"/>
        <w:jc w:val="center"/>
        <w:outlineLvl w:val="0"/>
        <w:rPr>
          <w:rFonts w:hint="eastAsia" w:ascii="宋体" w:hAnsi="宋体" w:eastAsia="宋体" w:cs="宋体"/>
          <w:color w:val="auto"/>
          <w:sz w:val="30"/>
          <w:szCs w:val="30"/>
          <w:highlight w:val="none"/>
        </w:rPr>
      </w:pPr>
      <w:bookmarkStart w:id="3" w:name="_Toc6471"/>
      <w:r>
        <w:rPr>
          <w:rFonts w:hint="eastAsia" w:ascii="宋体" w:hAnsi="宋体" w:eastAsia="宋体" w:cs="宋体"/>
          <w:color w:val="auto"/>
          <w:sz w:val="30"/>
          <w:szCs w:val="30"/>
          <w:highlight w:val="none"/>
        </w:rPr>
        <mc:AlternateContent>
          <mc:Choice Requires="wps">
            <w:drawing>
              <wp:anchor distT="0" distB="0" distL="114300" distR="114300" simplePos="0" relativeHeight="251659264" behindDoc="0" locked="0" layoutInCell="0" allowOverlap="1">
                <wp:simplePos x="0" y="0"/>
                <wp:positionH relativeFrom="page">
                  <wp:posOffset>7556500</wp:posOffset>
                </wp:positionH>
                <wp:positionV relativeFrom="page">
                  <wp:posOffset>4673600</wp:posOffset>
                </wp:positionV>
                <wp:extent cx="3810" cy="302895"/>
                <wp:effectExtent l="3175" t="6350" r="2540" b="508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3810" cy="302895"/>
                        </a:xfrm>
                        <a:prstGeom prst="rect">
                          <a:avLst/>
                        </a:prstGeom>
                        <a:solidFill>
                          <a:srgbClr val="000000">
                            <a:alpha val="75294"/>
                          </a:srgbClr>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95pt;margin-top:368pt;height:23.85pt;width:0.3pt;mso-position-horizontal-relative:page;mso-position-vertical-relative:page;z-index:251659264;mso-width-relative:page;mso-height-relative:page;" fillcolor="#000000" filled="t" stroked="f" coordsize="21600,21600" o:allowincell="f" o:gfxdata="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AFdg2QAA&#10;AA0BAAAPAAAAAAAAAAEAIAAAACIAAABkcnMvZG93bnJldi54bWxQSwECFAAUAAAACACHTuJAm9Fh&#10;gh0CAABHBAAADgAAAAAAAAABACAAAAAoAQAAZHJzL2Uyb0RvYy54bWxQSwUGAAAAAAYABgBZAQAA&#10;twUAAAAA&#10;">
                <v:fill on="t" opacity="49344f" focussize="0,0"/>
                <v:stroke on="f"/>
                <v:imagedata o:title=""/>
                <o:lock v:ext="edit" aspectratio="f"/>
              </v:rect>
            </w:pict>
          </mc:Fallback>
        </mc:AlternateContent>
      </w:r>
      <w:r>
        <w:rPr>
          <w:rFonts w:hint="eastAsia" w:ascii="宋体" w:hAnsi="宋体" w:eastAsia="宋体" w:cs="宋体"/>
          <w:color w:val="auto"/>
          <w:sz w:val="30"/>
          <w:szCs w:val="30"/>
          <w:highlight w:val="none"/>
        </w:rPr>
        <mc:AlternateContent>
          <mc:Choice Requires="wps">
            <w:drawing>
              <wp:anchor distT="0" distB="0" distL="114300" distR="114300" simplePos="0" relativeHeight="251660288" behindDoc="0" locked="0" layoutInCell="0" allowOverlap="1">
                <wp:simplePos x="0" y="0"/>
                <wp:positionH relativeFrom="page">
                  <wp:posOffset>7556500</wp:posOffset>
                </wp:positionH>
                <wp:positionV relativeFrom="page">
                  <wp:posOffset>4976495</wp:posOffset>
                </wp:positionV>
                <wp:extent cx="3810" cy="6350"/>
                <wp:effectExtent l="3175" t="4445" r="2540"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38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595pt;margin-top:391.85pt;height:0.5pt;width:0.3pt;mso-position-horizontal-relative:page;mso-position-vertical-relative:page;z-index:251660288;mso-width-relative:page;mso-height-relative:page;" fillcolor="#000000" filled="t" stroked="f" coordsize="21600,21600" o:allowincell="f" o:gfxdata="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kHc4XZAAAADQEAAA8AAAAAAAAAAQAg&#10;AAAAIgAAAGRycy9kb3ducmV2LnhtbFBLAQIUABQAAAAIAIdO4kA/reXuDQIAACQEAAAOAAAAAAAA&#10;AAEAIAAAACgBAABkcnMvZTJvRG9jLnhtbFBLBQYAAAAABgAGAFkBAACnBQAAAAA=&#10;">
                <v:fill on="t" focussize="0,0"/>
                <v:stroke on="f"/>
                <v:imagedata o:title=""/>
                <o:lock v:ext="edit" aspectratio="f"/>
              </v:rect>
            </w:pict>
          </mc:Fallback>
        </mc:AlternateContent>
      </w:r>
      <w:bookmarkStart w:id="4" w:name="bookmark1"/>
      <w:bookmarkEnd w:id="4"/>
      <w:r>
        <w:rPr>
          <w:rFonts w:hint="eastAsia"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t>第一章</w:t>
      </w:r>
      <w:r>
        <w:rPr>
          <w:rFonts w:hint="eastAsia" w:ascii="宋体" w:hAnsi="宋体" w:eastAsia="宋体" w:cs="宋体"/>
          <w:color w:val="auto"/>
          <w:spacing w:val="8"/>
          <w:sz w:val="30"/>
          <w:szCs w:val="30"/>
          <w:highlight w:val="none"/>
        </w:rPr>
        <w:t xml:space="preserve">  </w:t>
      </w:r>
      <w:r>
        <w:rPr>
          <w:rFonts w:hint="eastAsia" w:ascii="宋体" w:hAnsi="宋体" w:eastAsia="宋体" w:cs="宋体"/>
          <w:color w:val="auto"/>
          <w:spacing w:val="8"/>
          <w:sz w:val="30"/>
          <w:szCs w:val="30"/>
          <w:highlight w:val="none"/>
          <w:lang w:val="en-US" w:eastAsia="zh-CN"/>
          <w14:textOutline w14:w="5791" w14:cap="sq" w14:cmpd="sng" w14:algn="ctr">
            <w14:solidFill>
              <w14:srgbClr w14:val="000000"/>
            </w14:solidFill>
            <w14:prstDash w14:val="solid"/>
            <w14:bevel/>
          </w14:textOutline>
        </w:rPr>
        <w:t>磋商</w:t>
      </w:r>
      <w:r>
        <w:rPr>
          <w:rFonts w:hint="eastAsia"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t>邀请</w:t>
      </w:r>
      <w:bookmarkEnd w:id="3"/>
    </w:p>
    <w:p w14:paraId="38130579">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07"/>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5" w:name="bookmark8"/>
      <w:bookmarkEnd w:id="5"/>
      <w:bookmarkStart w:id="6" w:name="_Toc31507"/>
      <w:bookmarkStart w:id="7" w:name="_Toc2354"/>
      <w:bookmarkStart w:id="8" w:name="_Toc26058"/>
      <w:bookmarkStart w:id="9" w:name="_Toc12585"/>
      <w:bookmarkStart w:id="10" w:name="_Toc29419"/>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一、项目概况</w:t>
      </w:r>
      <w:bookmarkEnd w:id="6"/>
      <w:bookmarkEnd w:id="7"/>
      <w:bookmarkEnd w:id="8"/>
      <w:bookmarkEnd w:id="9"/>
      <w:bookmarkEnd w:id="10"/>
    </w:p>
    <w:p w14:paraId="364D74C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kern w:val="0"/>
          <w:position w:val="0"/>
          <w:sz w:val="24"/>
          <w:szCs w:val="24"/>
          <w:highlight w:val="none"/>
          <w:u w:val="single"/>
          <w:shd w:val="clear" w:color="auto" w:fill="FFFFFF"/>
          <w:lang w:val="en-US" w:eastAsia="zh-CN"/>
        </w:rPr>
        <w:t>和济水务食堂劳务外包服务项目（第二次）</w:t>
      </w:r>
      <w:r>
        <w:rPr>
          <w:rFonts w:hint="eastAsia" w:ascii="宋体" w:hAnsi="宋体" w:eastAsia="宋体" w:cs="宋体"/>
          <w:color w:val="auto"/>
          <w:spacing w:val="0"/>
          <w:kern w:val="0"/>
          <w:position w:val="0"/>
          <w:sz w:val="24"/>
          <w:szCs w:val="24"/>
          <w:highlight w:val="none"/>
          <w:shd w:val="clear" w:color="auto" w:fill="FFFFFF"/>
        </w:rPr>
        <w:t>的</w:t>
      </w:r>
      <w:r>
        <w:rPr>
          <w:rFonts w:hint="eastAsia" w:ascii="宋体" w:hAnsi="宋体" w:eastAsia="宋体" w:cs="宋体"/>
          <w:color w:val="auto"/>
          <w:spacing w:val="0"/>
          <w:kern w:val="0"/>
          <w:position w:val="0"/>
          <w:sz w:val="24"/>
          <w:szCs w:val="24"/>
          <w:highlight w:val="none"/>
        </w:rPr>
        <w:t>潜在</w:t>
      </w:r>
      <w:r>
        <w:rPr>
          <w:rFonts w:hint="eastAsia" w:ascii="宋体" w:hAnsi="宋体" w:eastAsia="宋体" w:cs="宋体"/>
          <w:color w:val="auto"/>
          <w:spacing w:val="0"/>
          <w:kern w:val="0"/>
          <w:position w:val="0"/>
          <w:sz w:val="24"/>
          <w:szCs w:val="24"/>
          <w:highlight w:val="none"/>
          <w:lang w:eastAsia="zh-CN"/>
        </w:rPr>
        <w:t>供应商</w:t>
      </w:r>
      <w:r>
        <w:rPr>
          <w:rFonts w:hint="eastAsia" w:ascii="宋体" w:hAnsi="宋体" w:eastAsia="宋体" w:cs="宋体"/>
          <w:color w:val="auto"/>
          <w:spacing w:val="0"/>
          <w:kern w:val="0"/>
          <w:position w:val="0"/>
          <w:sz w:val="24"/>
          <w:szCs w:val="24"/>
          <w:highlight w:val="none"/>
        </w:rPr>
        <w:t>应在</w:t>
      </w:r>
      <w:r>
        <w:rPr>
          <w:rFonts w:hint="eastAsia" w:ascii="宋体" w:hAnsi="宋体" w:eastAsia="宋体" w:cs="宋体"/>
          <w:color w:val="auto"/>
          <w:spacing w:val="0"/>
          <w:kern w:val="0"/>
          <w:position w:val="0"/>
          <w:sz w:val="24"/>
          <w:szCs w:val="24"/>
          <w:highlight w:val="none"/>
          <w:u w:val="none"/>
          <w:lang w:eastAsia="zh-CN"/>
        </w:rPr>
        <w:t>上饶市阳光采购服务平台</w:t>
      </w:r>
      <w:r>
        <w:rPr>
          <w:rFonts w:hint="eastAsia" w:ascii="宋体" w:hAnsi="宋体" w:eastAsia="宋体" w:cs="宋体"/>
          <w:color w:val="auto"/>
          <w:spacing w:val="0"/>
          <w:kern w:val="0"/>
          <w:position w:val="0"/>
          <w:sz w:val="24"/>
          <w:szCs w:val="24"/>
          <w:highlight w:val="none"/>
          <w:u w:val="none"/>
          <w:lang w:val="en-US" w:eastAsia="zh-CN"/>
        </w:rPr>
        <w:t>确认并</w:t>
      </w:r>
      <w:r>
        <w:rPr>
          <w:rFonts w:hint="eastAsia" w:ascii="宋体" w:hAnsi="宋体" w:eastAsia="宋体" w:cs="宋体"/>
          <w:color w:val="auto"/>
          <w:spacing w:val="0"/>
          <w:kern w:val="0"/>
          <w:position w:val="0"/>
          <w:sz w:val="24"/>
          <w:szCs w:val="24"/>
          <w:highlight w:val="none"/>
        </w:rPr>
        <w:t>获取</w:t>
      </w:r>
      <w:r>
        <w:rPr>
          <w:rFonts w:hint="eastAsia" w:ascii="宋体" w:hAnsi="宋体" w:eastAsia="宋体" w:cs="宋体"/>
          <w:color w:val="auto"/>
          <w:spacing w:val="0"/>
          <w:kern w:val="0"/>
          <w:position w:val="0"/>
          <w:sz w:val="24"/>
          <w:szCs w:val="24"/>
          <w:highlight w:val="none"/>
          <w:lang w:eastAsia="zh-CN"/>
        </w:rPr>
        <w:t>磋商文件</w:t>
      </w:r>
      <w:r>
        <w:rPr>
          <w:rFonts w:hint="eastAsia" w:ascii="宋体" w:hAnsi="宋体" w:eastAsia="宋体" w:cs="宋体"/>
          <w:color w:val="auto"/>
          <w:spacing w:val="0"/>
          <w:kern w:val="0"/>
          <w:position w:val="0"/>
          <w:sz w:val="24"/>
          <w:szCs w:val="24"/>
          <w:highlight w:val="none"/>
        </w:rPr>
        <w:t>，并于</w:t>
      </w:r>
      <w:r>
        <w:rPr>
          <w:rFonts w:hint="eastAsia" w:ascii="宋体" w:hAnsi="宋体" w:eastAsia="宋体" w:cs="宋体"/>
          <w:color w:val="auto"/>
          <w:spacing w:val="0"/>
          <w:kern w:val="0"/>
          <w:position w:val="0"/>
          <w:sz w:val="24"/>
          <w:szCs w:val="24"/>
          <w:highlight w:val="none"/>
          <w:u w:val="single"/>
          <w:lang w:val="en-US" w:eastAsia="zh-CN"/>
        </w:rPr>
        <w:t xml:space="preserve"> 2026 </w:t>
      </w:r>
      <w:r>
        <w:rPr>
          <w:rFonts w:hint="eastAsia" w:ascii="宋体" w:hAnsi="宋体" w:eastAsia="宋体" w:cs="宋体"/>
          <w:color w:val="auto"/>
          <w:spacing w:val="0"/>
          <w:kern w:val="0"/>
          <w:position w:val="0"/>
          <w:sz w:val="24"/>
          <w:szCs w:val="24"/>
          <w:highlight w:val="none"/>
        </w:rPr>
        <w:t>年</w:t>
      </w:r>
      <w:r>
        <w:rPr>
          <w:rFonts w:hint="eastAsia" w:ascii="宋体" w:hAnsi="宋体" w:eastAsia="宋体" w:cs="宋体"/>
          <w:color w:val="auto"/>
          <w:spacing w:val="0"/>
          <w:kern w:val="0"/>
          <w:position w:val="0"/>
          <w:sz w:val="24"/>
          <w:szCs w:val="24"/>
          <w:highlight w:val="none"/>
          <w:u w:val="single"/>
          <w:lang w:val="en-US" w:eastAsia="zh-CN"/>
        </w:rPr>
        <w:t xml:space="preserve"> 1  </w:t>
      </w:r>
      <w:r>
        <w:rPr>
          <w:rFonts w:hint="eastAsia" w:ascii="宋体" w:hAnsi="宋体" w:eastAsia="宋体" w:cs="宋体"/>
          <w:color w:val="auto"/>
          <w:spacing w:val="0"/>
          <w:kern w:val="0"/>
          <w:position w:val="0"/>
          <w:sz w:val="24"/>
          <w:szCs w:val="24"/>
          <w:highlight w:val="none"/>
        </w:rPr>
        <w:t>月</w:t>
      </w:r>
      <w:r>
        <w:rPr>
          <w:rFonts w:hint="eastAsia" w:ascii="宋体" w:hAnsi="宋体" w:eastAsia="宋体" w:cs="宋体"/>
          <w:color w:val="auto"/>
          <w:spacing w:val="0"/>
          <w:kern w:val="0"/>
          <w:position w:val="0"/>
          <w:sz w:val="24"/>
          <w:szCs w:val="24"/>
          <w:highlight w:val="none"/>
          <w:u w:val="single"/>
          <w:lang w:val="en-US" w:eastAsia="zh-CN"/>
        </w:rPr>
        <w:t xml:space="preserve">  6 </w:t>
      </w:r>
      <w:r>
        <w:rPr>
          <w:rFonts w:hint="eastAsia" w:ascii="宋体" w:hAnsi="宋体" w:eastAsia="宋体" w:cs="宋体"/>
          <w:color w:val="auto"/>
          <w:spacing w:val="0"/>
          <w:kern w:val="0"/>
          <w:position w:val="0"/>
          <w:sz w:val="24"/>
          <w:szCs w:val="24"/>
          <w:highlight w:val="none"/>
        </w:rPr>
        <w:t>日</w:t>
      </w:r>
      <w:r>
        <w:rPr>
          <w:rFonts w:hint="eastAsia" w:ascii="宋体" w:hAnsi="宋体" w:eastAsia="宋体" w:cs="宋体"/>
          <w:color w:val="auto"/>
          <w:spacing w:val="0"/>
          <w:kern w:val="0"/>
          <w:position w:val="0"/>
          <w:sz w:val="24"/>
          <w:szCs w:val="24"/>
          <w:highlight w:val="none"/>
          <w:u w:val="single"/>
          <w:lang w:val="en-US" w:eastAsia="zh-CN"/>
        </w:rPr>
        <w:t xml:space="preserve">  9 </w:t>
      </w:r>
      <w:r>
        <w:rPr>
          <w:rFonts w:hint="eastAsia" w:ascii="宋体" w:hAnsi="宋体" w:eastAsia="宋体" w:cs="宋体"/>
          <w:color w:val="auto"/>
          <w:spacing w:val="0"/>
          <w:kern w:val="0"/>
          <w:position w:val="0"/>
          <w:sz w:val="24"/>
          <w:szCs w:val="24"/>
          <w:highlight w:val="none"/>
        </w:rPr>
        <w:t>点</w:t>
      </w:r>
      <w:r>
        <w:rPr>
          <w:rFonts w:hint="eastAsia" w:ascii="宋体" w:hAnsi="宋体" w:eastAsia="宋体" w:cs="宋体"/>
          <w:color w:val="auto"/>
          <w:spacing w:val="0"/>
          <w:kern w:val="0"/>
          <w:position w:val="0"/>
          <w:sz w:val="24"/>
          <w:szCs w:val="24"/>
          <w:highlight w:val="none"/>
          <w:u w:val="single"/>
          <w:lang w:val="en-US" w:eastAsia="zh-CN"/>
        </w:rPr>
        <w:t xml:space="preserve">  00  </w:t>
      </w:r>
      <w:r>
        <w:rPr>
          <w:rFonts w:hint="eastAsia" w:ascii="宋体" w:hAnsi="宋体" w:eastAsia="宋体" w:cs="宋体"/>
          <w:color w:val="auto"/>
          <w:spacing w:val="0"/>
          <w:kern w:val="0"/>
          <w:position w:val="0"/>
          <w:sz w:val="24"/>
          <w:szCs w:val="24"/>
          <w:highlight w:val="none"/>
        </w:rPr>
        <w:t>分（北京时间）前递交</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w:t>
      </w:r>
    </w:p>
    <w:p w14:paraId="248E6825">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07"/>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1" w:name="bookmark2"/>
      <w:bookmarkEnd w:id="11"/>
      <w:bookmarkStart w:id="12" w:name="_Toc18505"/>
      <w:bookmarkStart w:id="13" w:name="_Toc10039"/>
      <w:bookmarkStart w:id="14" w:name="_Toc22991"/>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二、项目基本情况</w:t>
      </w:r>
      <w:bookmarkEnd w:id="12"/>
      <w:bookmarkEnd w:id="13"/>
      <w:bookmarkEnd w:id="14"/>
    </w:p>
    <w:p w14:paraId="161000E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eastAsia="zh-CN"/>
        </w:rPr>
        <w:t>项目编号：</w:t>
      </w:r>
      <w:r>
        <w:rPr>
          <w:rFonts w:hint="eastAsia" w:ascii="宋体" w:hAnsi="宋体" w:eastAsia="宋体" w:cs="宋体"/>
          <w:color w:val="auto"/>
          <w:spacing w:val="0"/>
          <w:position w:val="0"/>
          <w:sz w:val="24"/>
          <w:szCs w:val="24"/>
          <w:highlight w:val="none"/>
          <w:lang w:val="en-US" w:eastAsia="zh-CN"/>
        </w:rPr>
        <w:t>GSZJ2025-SR-047-1</w:t>
      </w:r>
    </w:p>
    <w:p w14:paraId="64E6929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lang w:eastAsia="zh-CN"/>
        </w:rPr>
        <w:t>项目名称：</w:t>
      </w:r>
      <w:r>
        <w:rPr>
          <w:rFonts w:hint="eastAsia" w:ascii="宋体" w:hAnsi="宋体" w:eastAsia="宋体" w:cs="宋体"/>
          <w:color w:val="auto"/>
          <w:spacing w:val="0"/>
          <w:position w:val="0"/>
          <w:sz w:val="24"/>
          <w:szCs w:val="24"/>
          <w:highlight w:val="none"/>
          <w:lang w:val="en-US" w:eastAsia="zh-CN"/>
        </w:rPr>
        <w:t>和济水务食堂劳务外包服务项目（第二次）</w:t>
      </w:r>
    </w:p>
    <w:p w14:paraId="186AF36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position w:val="0"/>
          <w:sz w:val="24"/>
          <w:szCs w:val="24"/>
          <w:highlight w:val="none"/>
          <w:lang w:eastAsia="zh-CN"/>
        </w:rPr>
      </w:pPr>
      <w:bookmarkStart w:id="15" w:name="bookmark3"/>
      <w:bookmarkEnd w:id="15"/>
      <w:bookmarkStart w:id="16" w:name="_Toc31739"/>
      <w:bookmarkStart w:id="17" w:name="_Toc4789"/>
      <w:bookmarkStart w:id="18" w:name="_Toc4735"/>
      <w:bookmarkStart w:id="19" w:name="_Toc29311"/>
      <w:r>
        <w:rPr>
          <w:rFonts w:hint="eastAsia" w:ascii="宋体" w:hAnsi="宋体" w:eastAsia="宋体" w:cs="宋体"/>
          <w:color w:val="auto"/>
          <w:spacing w:val="0"/>
          <w:position w:val="0"/>
          <w:sz w:val="24"/>
          <w:szCs w:val="24"/>
          <w:highlight w:val="none"/>
          <w:lang w:val="en-US" w:eastAsia="zh-CN"/>
        </w:rPr>
        <w:t>3.项目类型：服务类</w:t>
      </w:r>
      <w:bookmarkEnd w:id="16"/>
    </w:p>
    <w:p w14:paraId="6DF5517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position w:val="0"/>
          <w:sz w:val="24"/>
          <w:szCs w:val="24"/>
          <w:highlight w:val="none"/>
          <w:lang w:eastAsia="zh-CN"/>
        </w:rPr>
      </w:pPr>
      <w:bookmarkStart w:id="20" w:name="_Toc14944"/>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eastAsia="zh-CN"/>
        </w:rPr>
        <w:t>采购方式：竞争性磋商</w:t>
      </w:r>
      <w:bookmarkEnd w:id="20"/>
    </w:p>
    <w:p w14:paraId="6F3960C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position w:val="0"/>
          <w:sz w:val="24"/>
          <w:szCs w:val="24"/>
          <w:highlight w:val="none"/>
          <w:lang w:val="en-US" w:eastAsia="zh-CN"/>
        </w:rPr>
      </w:pPr>
      <w:bookmarkStart w:id="21" w:name="_Toc14954"/>
      <w:r>
        <w:rPr>
          <w:rFonts w:hint="eastAsia" w:ascii="宋体" w:hAnsi="宋体" w:eastAsia="宋体" w:cs="宋体"/>
          <w:color w:val="auto"/>
          <w:spacing w:val="0"/>
          <w:position w:val="0"/>
          <w:sz w:val="24"/>
          <w:szCs w:val="24"/>
          <w:highlight w:val="none"/>
          <w:lang w:val="en-US" w:eastAsia="zh-CN"/>
        </w:rPr>
        <w:t>5.预算金额：</w:t>
      </w:r>
      <w:bookmarkEnd w:id="21"/>
      <w:r>
        <w:rPr>
          <w:rFonts w:hint="eastAsia" w:ascii="宋体" w:hAnsi="宋体" w:eastAsia="宋体" w:cs="宋体"/>
          <w:color w:val="auto"/>
          <w:spacing w:val="0"/>
          <w:position w:val="0"/>
          <w:sz w:val="24"/>
          <w:szCs w:val="24"/>
          <w:highlight w:val="none"/>
          <w:lang w:val="en-US" w:eastAsia="zh-CN"/>
        </w:rPr>
        <w:t>16.2万元</w:t>
      </w:r>
    </w:p>
    <w:p w14:paraId="15A1B77B">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07"/>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三、申请人的资格要求</w:t>
      </w:r>
      <w:bookmarkEnd w:id="17"/>
      <w:bookmarkEnd w:id="18"/>
      <w:bookmarkEnd w:id="19"/>
    </w:p>
    <w:p w14:paraId="59828F90">
      <w:pPr>
        <w:shd w:val="clear" w:color="auto" w:fill="auto"/>
        <w:spacing w:line="360" w:lineRule="auto"/>
        <w:ind w:left="0" w:leftChars="0" w:firstLine="420" w:firstLineChars="175"/>
        <w:rPr>
          <w:rFonts w:hint="eastAsia" w:ascii="宋体" w:hAnsi="宋体" w:eastAsia="宋体" w:cs="宋体"/>
          <w:color w:val="auto"/>
          <w:sz w:val="24"/>
          <w:highlight w:val="none"/>
          <w:lang w:eastAsia="zh-CN"/>
        </w:rPr>
      </w:pPr>
      <w:bookmarkStart w:id="22" w:name="_Toc18471"/>
      <w:bookmarkStart w:id="23" w:name="_Toc2260"/>
      <w:bookmarkStart w:id="24" w:name="_Toc16733"/>
      <w:r>
        <w:rPr>
          <w:rFonts w:hint="eastAsia" w:ascii="宋体" w:hAnsi="宋体" w:eastAsia="宋体" w:cs="宋体"/>
          <w:color w:val="auto"/>
          <w:sz w:val="24"/>
          <w:highlight w:val="none"/>
        </w:rPr>
        <w:t>（一）具有独立承担民事责任的能力：</w:t>
      </w:r>
      <w:r>
        <w:rPr>
          <w:rFonts w:hint="eastAsia" w:ascii="宋体" w:hAnsi="宋体"/>
          <w:spacing w:val="4"/>
          <w:sz w:val="24"/>
          <w:szCs w:val="24"/>
          <w:highlight w:val="none"/>
          <w:lang w:eastAsia="zh-CN"/>
        </w:rPr>
        <w:t>【</w:t>
      </w:r>
      <w:r>
        <w:rPr>
          <w:rFonts w:hint="eastAsia"/>
          <w:b w:val="0"/>
          <w:bCs w:val="0"/>
          <w:color w:val="auto"/>
          <w:sz w:val="24"/>
          <w:highlight w:val="none"/>
        </w:rPr>
        <w:t>提供</w:t>
      </w:r>
      <w:r>
        <w:rPr>
          <w:rFonts w:hint="eastAsia"/>
          <w:b/>
          <w:bCs/>
          <w:color w:val="auto"/>
          <w:sz w:val="24"/>
          <w:highlight w:val="none"/>
        </w:rPr>
        <w:t>《</w:t>
      </w:r>
      <w:r>
        <w:rPr>
          <w:rFonts w:hint="eastAsia" w:eastAsia="宋体"/>
          <w:b/>
          <w:bCs/>
          <w:color w:val="auto"/>
          <w:sz w:val="24"/>
          <w:highlight w:val="none"/>
          <w:lang w:val="en-US" w:eastAsia="zh-CN"/>
        </w:rPr>
        <w:t>供应商</w:t>
      </w:r>
      <w:r>
        <w:rPr>
          <w:rFonts w:hint="eastAsia"/>
          <w:b/>
          <w:bCs/>
          <w:color w:val="auto"/>
          <w:sz w:val="24"/>
          <w:highlight w:val="none"/>
        </w:rPr>
        <w:t>资格信用承诺函》</w:t>
      </w:r>
      <w:r>
        <w:rPr>
          <w:rFonts w:hint="eastAsia"/>
          <w:b/>
          <w:bCs/>
          <w:color w:val="auto"/>
          <w:sz w:val="24"/>
          <w:highlight w:val="none"/>
          <w:lang w:val="en-US" w:eastAsia="zh-CN"/>
        </w:rPr>
        <w:t>或</w:t>
      </w:r>
      <w:r>
        <w:rPr>
          <w:rFonts w:hint="eastAsia" w:ascii="宋体" w:hAnsi="宋体"/>
          <w:spacing w:val="4"/>
          <w:sz w:val="24"/>
          <w:szCs w:val="24"/>
          <w:highlight w:val="none"/>
        </w:rPr>
        <w:t>提供法人或者其他组织的营业执照</w:t>
      </w:r>
      <w:r>
        <w:rPr>
          <w:rFonts w:hint="eastAsia" w:ascii="宋体" w:hAnsi="宋体"/>
          <w:spacing w:val="4"/>
          <w:sz w:val="24"/>
          <w:szCs w:val="24"/>
          <w:highlight w:val="none"/>
          <w:lang w:eastAsia="zh-CN"/>
        </w:rPr>
        <w:t>、</w:t>
      </w:r>
      <w:r>
        <w:rPr>
          <w:rFonts w:hint="eastAsia" w:ascii="宋体" w:hAnsi="宋体"/>
          <w:spacing w:val="4"/>
          <w:sz w:val="24"/>
          <w:szCs w:val="24"/>
          <w:highlight w:val="none"/>
        </w:rPr>
        <w:t>法人授权委托书及委托代理人身份证（法定代表人参加则只需提供身份证），自然人投标提供身份证明</w:t>
      </w:r>
      <w:r>
        <w:rPr>
          <w:rFonts w:hint="eastAsia" w:ascii="宋体" w:hAnsi="宋体"/>
          <w:spacing w:val="4"/>
          <w:sz w:val="24"/>
          <w:szCs w:val="24"/>
          <w:highlight w:val="none"/>
          <w:lang w:eastAsia="zh-CN"/>
        </w:rPr>
        <w:t>】</w:t>
      </w:r>
    </w:p>
    <w:p w14:paraId="68943762">
      <w:pPr>
        <w:shd w:val="clear" w:color="auto" w:fill="auto"/>
        <w:spacing w:line="360" w:lineRule="auto"/>
        <w:ind w:left="0" w:leftChars="0"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（二）具有良好的商业信誉和健全的财务会计制度</w:t>
      </w:r>
      <w:r>
        <w:rPr>
          <w:rFonts w:hint="eastAsia" w:ascii="宋体" w:hAnsi="宋体" w:eastAsia="宋体" w:cs="宋体"/>
          <w:color w:val="auto"/>
          <w:sz w:val="24"/>
          <w:highlight w:val="none"/>
          <w:lang w:eastAsia="zh-CN"/>
        </w:rPr>
        <w:t>；</w:t>
      </w:r>
    </w:p>
    <w:p w14:paraId="2FA7372C">
      <w:pPr>
        <w:shd w:val="clear" w:color="auto" w:fill="auto"/>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sz w:val="24"/>
          <w:highlight w:val="none"/>
        </w:rPr>
        <w:t>提供</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供应商</w:t>
      </w:r>
      <w:r>
        <w:rPr>
          <w:rFonts w:hint="eastAsia" w:ascii="宋体" w:hAnsi="宋体" w:eastAsia="宋体" w:cs="宋体"/>
          <w:b/>
          <w:sz w:val="24"/>
          <w:highlight w:val="none"/>
        </w:rPr>
        <w:t>资格信用承诺函》</w:t>
      </w:r>
      <w:r>
        <w:rPr>
          <w:rFonts w:hint="eastAsia" w:ascii="宋体" w:hAnsi="宋体" w:eastAsia="宋体" w:cs="宋体"/>
          <w:b/>
          <w:bCs w:val="0"/>
          <w:sz w:val="24"/>
          <w:highlight w:val="none"/>
          <w:u w:val="none"/>
          <w:lang w:val="en-US" w:eastAsia="zh-CN"/>
        </w:rPr>
        <w:t>或</w:t>
      </w:r>
      <w:r>
        <w:rPr>
          <w:rFonts w:hint="eastAsia" w:ascii="宋体" w:hAnsi="宋体" w:eastAsia="宋体" w:cs="宋体"/>
          <w:color w:val="auto"/>
          <w:sz w:val="24"/>
          <w:highlight w:val="none"/>
          <w:u w:val="none"/>
        </w:rPr>
        <w:t>提供</w:t>
      </w:r>
      <w:r>
        <w:rPr>
          <w:rFonts w:hint="eastAsia" w:ascii="宋体" w:hAnsi="宋体" w:eastAsia="宋体" w:cs="宋体"/>
          <w:b w:val="0"/>
          <w:bCs w:val="0"/>
          <w:color w:val="auto"/>
          <w:sz w:val="24"/>
          <w:highlight w:val="none"/>
          <w:u w:val="none"/>
        </w:rPr>
        <w:t>202</w:t>
      </w:r>
      <w:r>
        <w:rPr>
          <w:rFonts w:hint="eastAsia" w:ascii="宋体" w:hAnsi="宋体" w:eastAsia="宋体" w:cs="宋体"/>
          <w:b w:val="0"/>
          <w:bCs w:val="0"/>
          <w:color w:val="auto"/>
          <w:sz w:val="24"/>
          <w:highlight w:val="none"/>
          <w:u w:val="none"/>
          <w:lang w:val="en-US" w:eastAsia="zh-CN"/>
        </w:rPr>
        <w:t>3</w:t>
      </w:r>
      <w:r>
        <w:rPr>
          <w:rFonts w:hint="eastAsia" w:ascii="宋体" w:hAnsi="宋体" w:eastAsia="宋体" w:cs="宋体"/>
          <w:b w:val="0"/>
          <w:bCs w:val="0"/>
          <w:color w:val="auto"/>
          <w:sz w:val="24"/>
          <w:highlight w:val="none"/>
          <w:u w:val="none"/>
        </w:rPr>
        <w:t>年度或202</w:t>
      </w:r>
      <w:r>
        <w:rPr>
          <w:rFonts w:hint="eastAsia" w:ascii="宋体" w:hAnsi="宋体" w:eastAsia="宋体" w:cs="宋体"/>
          <w:b w:val="0"/>
          <w:bCs w:val="0"/>
          <w:color w:val="auto"/>
          <w:sz w:val="24"/>
          <w:highlight w:val="none"/>
          <w:u w:val="none"/>
          <w:lang w:val="en-US" w:eastAsia="zh-CN"/>
        </w:rPr>
        <w:t>4</w:t>
      </w:r>
      <w:r>
        <w:rPr>
          <w:rFonts w:hint="eastAsia" w:ascii="宋体" w:hAnsi="宋体" w:eastAsia="宋体" w:cs="宋体"/>
          <w:b w:val="0"/>
          <w:bCs w:val="0"/>
          <w:color w:val="auto"/>
          <w:sz w:val="24"/>
          <w:highlight w:val="none"/>
          <w:u w:val="none"/>
        </w:rPr>
        <w:t>年度审计报告</w:t>
      </w:r>
      <w:r>
        <w:rPr>
          <w:rFonts w:hint="eastAsia" w:ascii="宋体" w:hAnsi="宋体" w:eastAsia="宋体" w:cs="宋体"/>
          <w:color w:val="auto"/>
          <w:sz w:val="24"/>
          <w:highlight w:val="none"/>
        </w:rPr>
        <w:t>，或者提供</w:t>
      </w:r>
      <w:r>
        <w:rPr>
          <w:rFonts w:hint="eastAsia" w:ascii="宋体" w:hAnsi="宋体" w:eastAsia="宋体" w:cs="宋体"/>
          <w:color w:val="auto"/>
          <w:sz w:val="24"/>
          <w:highlight w:val="none"/>
          <w:lang w:val="en-US" w:eastAsia="zh-CN"/>
        </w:rPr>
        <w:t>开标</w:t>
      </w:r>
      <w:r>
        <w:rPr>
          <w:rFonts w:hint="eastAsia" w:ascii="宋体" w:hAnsi="宋体" w:eastAsia="宋体" w:cs="宋体"/>
          <w:color w:val="auto"/>
          <w:sz w:val="24"/>
          <w:highlight w:val="none"/>
        </w:rPr>
        <w:t>截止时间前一个月内开户银行出具的资信证明</w:t>
      </w:r>
      <w:r>
        <w:rPr>
          <w:rFonts w:hint="eastAsia" w:ascii="宋体" w:hAnsi="宋体" w:eastAsia="宋体" w:cs="宋体"/>
          <w:b/>
          <w:bCs/>
          <w:color w:val="auto"/>
          <w:spacing w:val="4"/>
          <w:sz w:val="24"/>
          <w:szCs w:val="24"/>
          <w:highlight w:val="none"/>
        </w:rPr>
        <w:t>（提供资信证明的须提供基本存款账户信息）</w:t>
      </w:r>
      <w:r>
        <w:rPr>
          <w:rFonts w:hint="eastAsia" w:ascii="宋体" w:hAnsi="宋体" w:eastAsia="宋体" w:cs="宋体"/>
          <w:color w:val="auto"/>
          <w:sz w:val="24"/>
          <w:highlight w:val="none"/>
        </w:rPr>
        <w:t>，提供任一种均可</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58972F73">
      <w:pPr>
        <w:shd w:val="clear" w:color="auto" w:fill="auto"/>
        <w:spacing w:line="360" w:lineRule="auto"/>
        <w:ind w:left="0" w:leftChars="0" w:firstLine="420" w:firstLineChars="175"/>
        <w:rPr>
          <w:rFonts w:hint="eastAsia" w:ascii="宋体" w:hAnsi="宋体" w:eastAsia="宋体" w:cs="宋体"/>
          <w:color w:val="auto"/>
          <w:sz w:val="24"/>
          <w:highlight w:val="none"/>
          <w:lang w:eastAsia="zh-CN"/>
        </w:rPr>
      </w:pPr>
      <w:r>
        <w:rPr>
          <w:rFonts w:hint="eastAsia" w:ascii="宋体" w:hAnsi="宋体" w:eastAsia="宋体" w:cs="宋体"/>
          <w:snapToGrid w:val="0"/>
          <w:color w:val="auto"/>
          <w:sz w:val="24"/>
          <w:szCs w:val="21"/>
          <w:highlight w:val="none"/>
          <w:lang w:val="en-US" w:eastAsia="en-US" w:bidi="ar-SA"/>
        </w:rPr>
        <w:t>（三）</w:t>
      </w:r>
      <w:r>
        <w:rPr>
          <w:rFonts w:hint="eastAsia" w:ascii="宋体" w:hAnsi="宋体" w:eastAsia="宋体" w:cs="宋体"/>
          <w:color w:val="auto"/>
          <w:sz w:val="24"/>
          <w:highlight w:val="none"/>
        </w:rPr>
        <w:t>有依法缴纳税收和社会保障资金的良好记录的证明文件</w:t>
      </w:r>
      <w:r>
        <w:rPr>
          <w:rFonts w:hint="eastAsia" w:ascii="宋体" w:hAnsi="宋体" w:eastAsia="宋体" w:cs="宋体"/>
          <w:color w:val="auto"/>
          <w:sz w:val="24"/>
          <w:highlight w:val="none"/>
          <w:lang w:eastAsia="zh-CN"/>
        </w:rPr>
        <w:t>；</w:t>
      </w:r>
    </w:p>
    <w:p w14:paraId="5B67CCFF">
      <w:pPr>
        <w:numPr>
          <w:ilvl w:val="0"/>
          <w:numId w:val="0"/>
        </w:numPr>
        <w:shd w:val="clear" w:color="auto" w:fill="auto"/>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供应商</w:t>
      </w:r>
      <w:r>
        <w:rPr>
          <w:rFonts w:hint="eastAsia" w:ascii="宋体" w:hAnsi="宋体" w:eastAsia="宋体" w:cs="宋体"/>
          <w:b/>
          <w:sz w:val="24"/>
          <w:highlight w:val="none"/>
        </w:rPr>
        <w:t>资格信用承诺函》</w:t>
      </w:r>
      <w:r>
        <w:rPr>
          <w:rFonts w:hint="eastAsia" w:ascii="宋体" w:hAnsi="宋体" w:eastAsia="宋体" w:cs="宋体"/>
          <w:b/>
          <w:sz w:val="24"/>
          <w:highlight w:val="none"/>
          <w:lang w:val="en-US" w:eastAsia="zh-CN"/>
        </w:rPr>
        <w:t>或</w:t>
      </w:r>
      <w:r>
        <w:rPr>
          <w:rFonts w:hint="eastAsia" w:ascii="宋体" w:hAnsi="宋体" w:eastAsia="宋体" w:cs="宋体"/>
          <w:color w:val="auto"/>
          <w:sz w:val="24"/>
          <w:highlight w:val="none"/>
        </w:rPr>
        <w:t>提供开标前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不含开标当月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六个月内任意一个月的缴纳税收和缴纳社会保障资金的证明材料；依法免税或不需要缴纳社会保障资金的供应商，应当提供相关文件证明其依法免税或不需要缴纳社会保障资金（复印件加盖公章）】。</w:t>
      </w:r>
    </w:p>
    <w:p w14:paraId="31171BC7">
      <w:pPr>
        <w:numPr>
          <w:ilvl w:val="0"/>
          <w:numId w:val="0"/>
        </w:numPr>
        <w:shd w:val="clear" w:color="auto" w:fill="auto"/>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（四）具有履行合同所必需的设备和专业技术能力；</w:t>
      </w:r>
    </w:p>
    <w:p w14:paraId="383AF664">
      <w:pPr>
        <w:shd w:val="clear" w:color="auto" w:fill="auto"/>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sz w:val="24"/>
          <w:highlight w:val="none"/>
        </w:rPr>
        <w:t>提供</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供应商</w:t>
      </w:r>
      <w:r>
        <w:rPr>
          <w:rFonts w:hint="eastAsia" w:ascii="宋体" w:hAnsi="宋体" w:eastAsia="宋体" w:cs="宋体"/>
          <w:b/>
          <w:sz w:val="24"/>
          <w:highlight w:val="none"/>
        </w:rPr>
        <w:t>资格信用承诺函》</w:t>
      </w:r>
      <w:r>
        <w:rPr>
          <w:rFonts w:hint="eastAsia" w:ascii="宋体" w:hAnsi="宋体" w:eastAsia="宋体" w:cs="宋体"/>
          <w:b/>
          <w:sz w:val="24"/>
          <w:highlight w:val="none"/>
          <w:lang w:val="en-US" w:eastAsia="zh-CN"/>
        </w:rPr>
        <w:t>或</w:t>
      </w:r>
      <w:r>
        <w:rPr>
          <w:rFonts w:hint="eastAsia" w:ascii="宋体" w:hAnsi="宋体" w:eastAsia="宋体" w:cs="宋体"/>
          <w:color w:val="auto"/>
          <w:sz w:val="24"/>
          <w:highlight w:val="none"/>
        </w:rPr>
        <w:t>提供承诺函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格式自拟</w:t>
      </w:r>
      <w:r>
        <w:rPr>
          <w:rFonts w:hint="eastAsia" w:ascii="宋体" w:hAnsi="宋体" w:eastAsia="宋体" w:cs="宋体"/>
          <w:color w:val="auto"/>
          <w:sz w:val="24"/>
          <w:highlight w:val="none"/>
          <w:lang w:eastAsia="zh-CN"/>
        </w:rPr>
        <w:t>）】</w:t>
      </w:r>
    </w:p>
    <w:p w14:paraId="381483C2">
      <w:pPr>
        <w:numPr>
          <w:ilvl w:val="0"/>
          <w:numId w:val="0"/>
        </w:numPr>
        <w:shd w:val="clear" w:color="auto" w:fill="auto"/>
        <w:spacing w:line="360" w:lineRule="auto"/>
        <w:ind w:left="0" w:leftChars="0" w:firstLine="420" w:firstLineChars="175"/>
        <w:rPr>
          <w:rFonts w:hint="eastAsia" w:ascii="宋体" w:hAnsi="宋体" w:eastAsia="宋体" w:cs="宋体"/>
          <w:color w:val="auto"/>
          <w:sz w:val="24"/>
          <w:highlight w:val="none"/>
          <w:lang w:eastAsia="zh-CN"/>
        </w:rPr>
      </w:pPr>
      <w:r>
        <w:rPr>
          <w:rFonts w:hint="eastAsia" w:ascii="宋体" w:hAnsi="宋体" w:eastAsia="宋体" w:cs="宋体"/>
          <w:snapToGrid w:val="0"/>
          <w:color w:val="auto"/>
          <w:sz w:val="24"/>
          <w:szCs w:val="21"/>
          <w:highlight w:val="none"/>
          <w:lang w:val="en-US" w:eastAsia="zh-CN" w:bidi="ar-SA"/>
        </w:rPr>
        <w:t>（五）</w:t>
      </w:r>
      <w:r>
        <w:rPr>
          <w:rFonts w:hint="eastAsia" w:ascii="宋体" w:hAnsi="宋体" w:eastAsia="宋体" w:cs="宋体"/>
          <w:color w:val="auto"/>
          <w:sz w:val="24"/>
          <w:highlight w:val="none"/>
        </w:rPr>
        <w:t>参加政府招标活动前三年内，在经营活动中没有重大违法记录</w:t>
      </w:r>
      <w:r>
        <w:rPr>
          <w:rFonts w:hint="eastAsia" w:ascii="宋体" w:hAnsi="宋体" w:eastAsia="宋体" w:cs="宋体"/>
          <w:color w:val="auto"/>
          <w:sz w:val="24"/>
          <w:highlight w:val="none"/>
          <w:lang w:eastAsia="zh-CN"/>
        </w:rPr>
        <w:t>；</w:t>
      </w:r>
    </w:p>
    <w:p w14:paraId="7AD88616">
      <w:pPr>
        <w:numPr>
          <w:ilvl w:val="0"/>
          <w:numId w:val="0"/>
        </w:numPr>
        <w:shd w:val="clear" w:color="auto" w:fill="auto"/>
        <w:spacing w:line="360" w:lineRule="auto"/>
        <w:ind w:left="0" w:leftChars="0"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提供</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供应商</w:t>
      </w:r>
      <w:r>
        <w:rPr>
          <w:rFonts w:hint="eastAsia" w:ascii="宋体" w:hAnsi="宋体" w:eastAsia="宋体" w:cs="宋体"/>
          <w:b/>
          <w:sz w:val="24"/>
          <w:highlight w:val="none"/>
        </w:rPr>
        <w:t>资格信用承诺函》</w:t>
      </w:r>
      <w:r>
        <w:rPr>
          <w:rFonts w:hint="eastAsia" w:ascii="宋体" w:hAnsi="宋体" w:eastAsia="宋体" w:cs="宋体"/>
          <w:b/>
          <w:sz w:val="24"/>
          <w:highlight w:val="none"/>
          <w:lang w:val="en-US" w:eastAsia="zh-CN"/>
        </w:rPr>
        <w:t>或</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自我书面声明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格式自拟</w:t>
      </w:r>
      <w:r>
        <w:rPr>
          <w:rFonts w:hint="eastAsia" w:ascii="宋体" w:hAnsi="宋体" w:eastAsia="宋体" w:cs="宋体"/>
          <w:color w:val="auto"/>
          <w:sz w:val="24"/>
          <w:highlight w:val="none"/>
          <w:lang w:eastAsia="zh-CN"/>
        </w:rPr>
        <w:t>）】。</w:t>
      </w:r>
    </w:p>
    <w:p w14:paraId="5DD21C00">
      <w:pPr>
        <w:shd w:val="clear" w:color="auto" w:fill="auto"/>
        <w:spacing w:line="360" w:lineRule="auto"/>
        <w:ind w:left="0" w:leftChars="0" w:firstLine="420" w:firstLineChars="175"/>
        <w:outlineLvl w:val="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（六）法律、行政法规规定的其他条件: </w:t>
      </w:r>
    </w:p>
    <w:p w14:paraId="0D383C2F">
      <w:pPr>
        <w:shd w:val="clear" w:color="auto" w:fill="auto"/>
        <w:spacing w:line="360" w:lineRule="auto"/>
        <w:ind w:left="0" w:leftChars="0" w:firstLine="420" w:firstLineChars="17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①单位负责人为同一人或者存在直接控股、管理关系的不同供应商，不得参加同一合同项下的采购活动；</w:t>
      </w:r>
      <w:r>
        <w:rPr>
          <w:rFonts w:hint="eastAsia" w:ascii="宋体" w:hAnsi="宋体" w:eastAsia="宋体" w:cs="宋体"/>
          <w:b/>
          <w:bCs/>
          <w:color w:val="auto"/>
          <w:spacing w:val="4"/>
          <w:sz w:val="24"/>
          <w:szCs w:val="24"/>
          <w:highlight w:val="none"/>
        </w:rPr>
        <w:t>（告知项，无需提供证明材料）</w:t>
      </w:r>
    </w:p>
    <w:p w14:paraId="3752DCB7">
      <w:pPr>
        <w:shd w:val="clear" w:color="auto" w:fill="auto"/>
        <w:spacing w:line="360" w:lineRule="auto"/>
        <w:ind w:left="0" w:leftChars="0" w:firstLine="420" w:firstLineChars="17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②为采购项目提供整体设计、规范编制或者项目管理、监理、检测等服务的投标人不得参加该采购项目的采购活动；</w:t>
      </w:r>
      <w:r>
        <w:rPr>
          <w:rFonts w:hint="eastAsia" w:ascii="宋体" w:hAnsi="宋体" w:eastAsia="宋体" w:cs="宋体"/>
          <w:b/>
          <w:bCs/>
          <w:color w:val="auto"/>
          <w:spacing w:val="4"/>
          <w:sz w:val="24"/>
          <w:szCs w:val="24"/>
          <w:highlight w:val="none"/>
        </w:rPr>
        <w:t>（告知项，无需提供证明材料）</w:t>
      </w:r>
    </w:p>
    <w:p w14:paraId="662E7788">
      <w:pPr>
        <w:shd w:val="clear" w:color="auto" w:fill="auto"/>
        <w:spacing w:line="360" w:lineRule="auto"/>
        <w:ind w:left="0" w:leftChars="0" w:firstLine="420" w:firstLineChars="17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③供应商被“信用中国”网站列入失信被执行人和重大税收违法失信主体的、被“中国政府采购网”网站列入政府采购严重违法失信行为记录名单 (处罚期限尚未届满的)，不得参与本项目的采购活动。</w:t>
      </w:r>
      <w:r>
        <w:rPr>
          <w:rFonts w:hint="eastAsia" w:ascii="宋体" w:hAnsi="宋体" w:eastAsia="宋体" w:cs="宋体"/>
          <w:b/>
          <w:bCs/>
          <w:color w:val="auto"/>
          <w:spacing w:val="4"/>
          <w:sz w:val="24"/>
          <w:szCs w:val="24"/>
          <w:highlight w:val="none"/>
        </w:rPr>
        <w:t>（告知项，无需提供证明材料</w:t>
      </w:r>
      <w:r>
        <w:rPr>
          <w:rFonts w:hint="eastAsia" w:ascii="宋体" w:hAnsi="宋体" w:eastAsia="宋体" w:cs="宋体"/>
          <w:b/>
          <w:bCs/>
          <w:color w:val="auto"/>
          <w:spacing w:val="4"/>
          <w:sz w:val="24"/>
          <w:szCs w:val="24"/>
          <w:highlight w:val="none"/>
          <w:lang w:eastAsia="zh-CN"/>
        </w:rPr>
        <w:t>，</w:t>
      </w:r>
      <w:r>
        <w:rPr>
          <w:rFonts w:hint="eastAsia" w:ascii="宋体" w:hAnsi="宋体" w:eastAsia="宋体" w:cs="宋体"/>
          <w:b/>
          <w:bCs/>
          <w:sz w:val="24"/>
          <w:highlight w:val="none"/>
          <w:lang w:val="en-US" w:eastAsia="zh-CN"/>
        </w:rPr>
        <w:t>以现场查询为准）</w:t>
      </w:r>
    </w:p>
    <w:p w14:paraId="0C7FE9D4">
      <w:pPr>
        <w:widowControl/>
        <w:numPr>
          <w:ilvl w:val="0"/>
          <w:numId w:val="0"/>
        </w:numPr>
        <w:tabs>
          <w:tab w:val="left" w:pos="0"/>
        </w:tabs>
        <w:adjustRightInd w:val="0"/>
        <w:snapToGrid w:val="0"/>
        <w:spacing w:line="360" w:lineRule="auto"/>
        <w:ind w:left="283" w:leftChars="0"/>
        <w:outlineLvl w:val="1"/>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七</w:t>
      </w:r>
      <w:r>
        <w:rPr>
          <w:rFonts w:hint="eastAsia" w:ascii="宋体" w:hAnsi="宋体" w:cs="宋体"/>
          <w:b w:val="0"/>
          <w:bCs w:val="0"/>
          <w:color w:val="auto"/>
          <w:sz w:val="24"/>
          <w:highlight w:val="none"/>
          <w:lang w:eastAsia="zh-CN"/>
        </w:rPr>
        <w:t>）本项目的特定资格要求：</w:t>
      </w:r>
      <w:r>
        <w:rPr>
          <w:rFonts w:hint="eastAsia" w:ascii="宋体" w:hAnsi="宋体" w:eastAsia="宋体" w:cs="Times New Roman"/>
          <w:b w:val="0"/>
          <w:bCs w:val="0"/>
          <w:spacing w:val="4"/>
          <w:sz w:val="24"/>
          <w:szCs w:val="24"/>
          <w:highlight w:val="none"/>
          <w:lang w:val="en-US" w:eastAsia="zh-CN"/>
        </w:rPr>
        <w:t>无</w:t>
      </w:r>
    </w:p>
    <w:p w14:paraId="79A3A864">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07"/>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四、采购文件领取</w:t>
      </w:r>
      <w:bookmarkEnd w:id="22"/>
      <w:bookmarkEnd w:id="23"/>
      <w:bookmarkEnd w:id="24"/>
    </w:p>
    <w:p w14:paraId="778B3FE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1、采购文件领取方式：登录阳光采购服务平台供应商系统网上下载 </w:t>
      </w:r>
    </w:p>
    <w:p w14:paraId="0C658B0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sz w:val="24"/>
          <w:szCs w:val="24"/>
          <w:highlight w:val="none"/>
          <w:lang w:val="en-US" w:eastAsia="zh-CN"/>
        </w:rPr>
      </w:pPr>
      <w:bookmarkStart w:id="25" w:name="_Toc25837"/>
      <w:bookmarkStart w:id="26" w:name="_Toc25324"/>
      <w:r>
        <w:rPr>
          <w:rFonts w:hint="eastAsia" w:ascii="宋体" w:hAnsi="宋体" w:eastAsia="宋体" w:cs="宋体"/>
          <w:color w:val="auto"/>
          <w:sz w:val="24"/>
          <w:szCs w:val="24"/>
          <w:highlight w:val="none"/>
        </w:rPr>
        <w:t>2、采购</w:t>
      </w:r>
      <w:r>
        <w:rPr>
          <w:rFonts w:hint="eastAsia" w:ascii="宋体" w:hAnsi="宋体" w:eastAsia="宋体" w:cs="宋体"/>
          <w:color w:val="auto"/>
          <w:spacing w:val="0"/>
          <w:kern w:val="0"/>
          <w:position w:val="0"/>
          <w:sz w:val="24"/>
          <w:szCs w:val="24"/>
          <w:highlight w:val="none"/>
          <w:lang w:eastAsia="zh-CN"/>
        </w:rPr>
        <w:t>文件领取</w:t>
      </w:r>
      <w:r>
        <w:rPr>
          <w:rFonts w:hint="eastAsia" w:ascii="宋体" w:hAnsi="宋体" w:eastAsia="宋体" w:cs="宋体"/>
          <w:color w:val="auto"/>
          <w:sz w:val="24"/>
          <w:szCs w:val="24"/>
          <w:highlight w:val="none"/>
        </w:rPr>
        <w:t>截止时间：</w:t>
      </w:r>
      <w:bookmarkEnd w:id="25"/>
      <w:bookmarkEnd w:id="26"/>
      <w:r>
        <w:rPr>
          <w:rFonts w:hint="eastAsia" w:ascii="宋体" w:hAnsi="宋体" w:eastAsia="宋体" w:cs="宋体"/>
          <w:color w:val="auto"/>
          <w:kern w:val="0"/>
          <w:sz w:val="24"/>
          <w:szCs w:val="24"/>
          <w:highlight w:val="none"/>
          <w:u w:val="single"/>
          <w:lang w:val="en-US" w:eastAsia="zh-CN"/>
        </w:rPr>
        <w:t xml:space="preserve"> 2026 </w:t>
      </w:r>
      <w:r>
        <w:rPr>
          <w:rFonts w:hint="eastAsia" w:ascii="宋体" w:hAnsi="宋体" w:eastAsia="宋体" w:cs="宋体"/>
          <w:color w:val="auto"/>
          <w:kern w:val="0"/>
          <w:sz w:val="24"/>
          <w:szCs w:val="24"/>
          <w:highlight w:val="none"/>
          <w:u w:val="single"/>
          <w:lang w:eastAsia="zh-CN"/>
        </w:rPr>
        <w:t>年</w:t>
      </w:r>
      <w:r>
        <w:rPr>
          <w:rFonts w:hint="eastAsia" w:ascii="宋体" w:hAnsi="宋体" w:eastAsia="宋体" w:cs="宋体"/>
          <w:color w:val="auto"/>
          <w:kern w:val="0"/>
          <w:sz w:val="24"/>
          <w:szCs w:val="24"/>
          <w:highlight w:val="none"/>
          <w:u w:val="single"/>
          <w:lang w:val="en-US" w:eastAsia="zh-CN"/>
        </w:rPr>
        <w:t xml:space="preserve"> 1  月 5日</w:t>
      </w:r>
    </w:p>
    <w:p w14:paraId="13380DD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3、采购文件</w:t>
      </w:r>
      <w:r>
        <w:rPr>
          <w:rFonts w:hint="eastAsia" w:ascii="宋体" w:hAnsi="宋体" w:eastAsia="宋体" w:cs="宋体"/>
          <w:color w:val="auto"/>
          <w:spacing w:val="0"/>
          <w:kern w:val="0"/>
          <w:position w:val="0"/>
          <w:sz w:val="24"/>
          <w:szCs w:val="24"/>
          <w:highlight w:val="none"/>
          <w:lang w:eastAsia="zh-CN"/>
        </w:rPr>
        <w:t>领取</w:t>
      </w:r>
      <w:r>
        <w:rPr>
          <w:rFonts w:hint="eastAsia" w:ascii="宋体" w:hAnsi="宋体" w:eastAsia="宋体" w:cs="宋体"/>
          <w:color w:val="auto"/>
          <w:sz w:val="24"/>
          <w:szCs w:val="24"/>
          <w:highlight w:val="none"/>
        </w:rPr>
        <w:t>地点：阳光采购服务平台（www.ygcgfwpt.com）</w:t>
      </w:r>
    </w:p>
    <w:p w14:paraId="15B29825">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07"/>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27" w:name="_Toc18692"/>
      <w:bookmarkStart w:id="28" w:name="_Toc29300"/>
      <w:bookmarkStart w:id="29" w:name="_Toc1782"/>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五、响应文件提交</w:t>
      </w:r>
      <w:bookmarkEnd w:id="27"/>
      <w:bookmarkEnd w:id="28"/>
      <w:bookmarkEnd w:id="29"/>
    </w:p>
    <w:p w14:paraId="144B5A2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1、递交方式：</w:t>
      </w:r>
      <w:r>
        <w:rPr>
          <w:rFonts w:hint="eastAsia" w:ascii="宋体" w:hAnsi="宋体" w:eastAsia="宋体" w:cs="宋体"/>
          <w:b/>
          <w:bCs/>
          <w:color w:val="auto"/>
          <w:kern w:val="0"/>
          <w:sz w:val="24"/>
          <w:szCs w:val="24"/>
          <w:highlight w:val="none"/>
        </w:rPr>
        <w:t>响应供应商必须在</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截止时间前将电子响应文件上传至</w:t>
      </w:r>
      <w:r>
        <w:rPr>
          <w:rFonts w:hint="eastAsia" w:ascii="宋体" w:hAnsi="宋体" w:eastAsia="宋体" w:cs="宋体"/>
          <w:b/>
          <w:bCs/>
          <w:color w:val="auto"/>
          <w:kern w:val="0"/>
          <w:sz w:val="24"/>
          <w:szCs w:val="24"/>
          <w:highlight w:val="none"/>
          <w:lang w:val="en-US" w:eastAsia="zh-CN"/>
        </w:rPr>
        <w:t>上饶市阳光采购服务平台电子交易系统</w:t>
      </w:r>
      <w:r>
        <w:rPr>
          <w:rFonts w:hint="eastAsia" w:ascii="宋体" w:hAnsi="宋体" w:eastAsia="宋体" w:cs="宋体"/>
          <w:b/>
          <w:bCs/>
          <w:color w:val="auto"/>
          <w:kern w:val="0"/>
          <w:sz w:val="24"/>
          <w:szCs w:val="24"/>
          <w:highlight w:val="none"/>
        </w:rPr>
        <w:t>（网址https://www.ygcgfwpt.com/），逾期作无效投标（响应）处理。</w:t>
      </w:r>
      <w:r>
        <w:rPr>
          <w:rFonts w:hint="eastAsia" w:ascii="宋体" w:hAnsi="宋体" w:eastAsia="宋体" w:cs="宋体"/>
          <w:b/>
          <w:bCs/>
          <w:color w:val="auto"/>
          <w:kern w:val="0"/>
          <w:sz w:val="24"/>
          <w:szCs w:val="24"/>
          <w:highlight w:val="none"/>
          <w:lang w:val="en-US" w:eastAsia="zh-CN"/>
        </w:rPr>
        <w:t>纸质文件（如保函原件等）需现场递交。</w:t>
      </w:r>
    </w:p>
    <w:p w14:paraId="620B810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2、递交截止时间：</w:t>
      </w:r>
      <w:r>
        <w:rPr>
          <w:rFonts w:hint="eastAsia" w:ascii="宋体" w:hAnsi="宋体" w:eastAsia="宋体" w:cs="宋体"/>
          <w:color w:val="auto"/>
          <w:spacing w:val="0"/>
          <w:kern w:val="0"/>
          <w:position w:val="0"/>
          <w:sz w:val="24"/>
          <w:szCs w:val="24"/>
          <w:highlight w:val="none"/>
          <w:u w:val="single"/>
          <w:lang w:val="en-US" w:eastAsia="zh-CN"/>
        </w:rPr>
        <w:t xml:space="preserve"> 2026 </w:t>
      </w:r>
      <w:r>
        <w:rPr>
          <w:rFonts w:hint="eastAsia" w:ascii="宋体" w:hAnsi="宋体" w:eastAsia="宋体" w:cs="宋体"/>
          <w:color w:val="auto"/>
          <w:spacing w:val="0"/>
          <w:kern w:val="0"/>
          <w:position w:val="0"/>
          <w:sz w:val="24"/>
          <w:szCs w:val="24"/>
          <w:highlight w:val="none"/>
        </w:rPr>
        <w:t>年</w:t>
      </w:r>
      <w:r>
        <w:rPr>
          <w:rFonts w:hint="eastAsia" w:ascii="宋体" w:hAnsi="宋体" w:eastAsia="宋体" w:cs="宋体"/>
          <w:color w:val="auto"/>
          <w:spacing w:val="0"/>
          <w:kern w:val="0"/>
          <w:position w:val="0"/>
          <w:sz w:val="24"/>
          <w:szCs w:val="24"/>
          <w:highlight w:val="none"/>
          <w:u w:val="single"/>
          <w:lang w:val="en-US" w:eastAsia="zh-CN"/>
        </w:rPr>
        <w:t xml:space="preserve">  1  </w:t>
      </w:r>
      <w:r>
        <w:rPr>
          <w:rFonts w:hint="eastAsia" w:ascii="宋体" w:hAnsi="宋体" w:eastAsia="宋体" w:cs="宋体"/>
          <w:color w:val="auto"/>
          <w:spacing w:val="0"/>
          <w:kern w:val="0"/>
          <w:position w:val="0"/>
          <w:sz w:val="24"/>
          <w:szCs w:val="24"/>
          <w:highlight w:val="none"/>
        </w:rPr>
        <w:t>月</w:t>
      </w:r>
      <w:r>
        <w:rPr>
          <w:rFonts w:hint="eastAsia" w:ascii="宋体" w:hAnsi="宋体" w:eastAsia="宋体" w:cs="宋体"/>
          <w:color w:val="auto"/>
          <w:spacing w:val="0"/>
          <w:kern w:val="0"/>
          <w:position w:val="0"/>
          <w:sz w:val="24"/>
          <w:szCs w:val="24"/>
          <w:highlight w:val="none"/>
          <w:u w:val="single"/>
          <w:lang w:val="en-US" w:eastAsia="zh-CN"/>
        </w:rPr>
        <w:t xml:space="preserve">  6  </w:t>
      </w:r>
      <w:r>
        <w:rPr>
          <w:rFonts w:hint="eastAsia" w:ascii="宋体" w:hAnsi="宋体" w:eastAsia="宋体" w:cs="宋体"/>
          <w:color w:val="auto"/>
          <w:spacing w:val="0"/>
          <w:kern w:val="0"/>
          <w:position w:val="0"/>
          <w:sz w:val="24"/>
          <w:szCs w:val="24"/>
          <w:highlight w:val="none"/>
        </w:rPr>
        <w:t>日</w:t>
      </w:r>
      <w:r>
        <w:rPr>
          <w:rFonts w:hint="eastAsia" w:ascii="宋体" w:hAnsi="宋体" w:eastAsia="宋体" w:cs="宋体"/>
          <w:color w:val="auto"/>
          <w:spacing w:val="0"/>
          <w:kern w:val="0"/>
          <w:position w:val="0"/>
          <w:sz w:val="24"/>
          <w:szCs w:val="24"/>
          <w:highlight w:val="none"/>
          <w:u w:val="single"/>
          <w:lang w:val="en-US" w:eastAsia="zh-CN"/>
        </w:rPr>
        <w:t xml:space="preserve">  9  </w:t>
      </w:r>
      <w:r>
        <w:rPr>
          <w:rFonts w:hint="eastAsia" w:ascii="宋体" w:hAnsi="宋体" w:eastAsia="宋体" w:cs="宋体"/>
          <w:color w:val="auto"/>
          <w:spacing w:val="0"/>
          <w:kern w:val="0"/>
          <w:position w:val="0"/>
          <w:sz w:val="24"/>
          <w:szCs w:val="24"/>
          <w:highlight w:val="none"/>
        </w:rPr>
        <w:t>点</w:t>
      </w:r>
      <w:r>
        <w:rPr>
          <w:rFonts w:hint="eastAsia" w:ascii="宋体" w:hAnsi="宋体" w:eastAsia="宋体" w:cs="宋体"/>
          <w:color w:val="auto"/>
          <w:spacing w:val="0"/>
          <w:kern w:val="0"/>
          <w:position w:val="0"/>
          <w:sz w:val="24"/>
          <w:szCs w:val="24"/>
          <w:highlight w:val="none"/>
          <w:u w:val="single"/>
          <w:lang w:val="en-US" w:eastAsia="zh-CN"/>
        </w:rPr>
        <w:t xml:space="preserve"> 00  </w:t>
      </w:r>
      <w:r>
        <w:rPr>
          <w:rFonts w:hint="eastAsia" w:ascii="宋体" w:hAnsi="宋体" w:eastAsia="宋体" w:cs="宋体"/>
          <w:color w:val="auto"/>
          <w:spacing w:val="0"/>
          <w:kern w:val="0"/>
          <w:position w:val="0"/>
          <w:sz w:val="24"/>
          <w:szCs w:val="24"/>
          <w:highlight w:val="none"/>
        </w:rPr>
        <w:t>分</w:t>
      </w:r>
      <w:r>
        <w:rPr>
          <w:rFonts w:hint="eastAsia" w:ascii="宋体" w:hAnsi="宋体" w:eastAsia="宋体" w:cs="宋体"/>
          <w:color w:val="auto"/>
          <w:sz w:val="24"/>
          <w:highlight w:val="none"/>
          <w:lang w:val="en-US" w:eastAsia="zh-CN"/>
        </w:rPr>
        <w:t>（北京时间）</w:t>
      </w:r>
    </w:p>
    <w:p w14:paraId="0AA25C2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sz w:val="24"/>
          <w:szCs w:val="24"/>
          <w:highlight w:val="none"/>
          <w:lang w:eastAsia="zh-CN"/>
        </w:rPr>
      </w:pPr>
      <w:bookmarkStart w:id="30" w:name="_Toc19002"/>
      <w:bookmarkStart w:id="31" w:name="_Toc3296"/>
      <w:r>
        <w:rPr>
          <w:rFonts w:hint="eastAsia" w:ascii="宋体" w:hAnsi="宋体" w:eastAsia="宋体" w:cs="宋体"/>
          <w:color w:val="auto"/>
          <w:sz w:val="24"/>
          <w:szCs w:val="24"/>
          <w:highlight w:val="none"/>
        </w:rPr>
        <w:t>3、</w:t>
      </w:r>
      <w:r>
        <w:rPr>
          <w:rFonts w:hint="eastAsia" w:ascii="宋体" w:hAnsi="宋体" w:eastAsia="宋体" w:cs="宋体"/>
          <w:color w:val="auto"/>
          <w:kern w:val="0"/>
          <w:sz w:val="24"/>
          <w:szCs w:val="24"/>
          <w:highlight w:val="none"/>
          <w:lang w:val="en-US" w:eastAsia="zh-CN"/>
        </w:rPr>
        <w:t>签到</w:t>
      </w: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上饶市信州区锦绣路2号广信大厦东楼（A栋）3楼</w:t>
      </w:r>
      <w:bookmarkEnd w:id="30"/>
      <w:bookmarkEnd w:id="31"/>
    </w:p>
    <w:p w14:paraId="024CA86D">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07"/>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32" w:name="_Toc3969"/>
      <w:bookmarkStart w:id="33" w:name="_Toc15173"/>
      <w:bookmarkStart w:id="34" w:name="_Toc26636"/>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六、开标时间和地点</w:t>
      </w:r>
      <w:bookmarkEnd w:id="32"/>
      <w:bookmarkEnd w:id="33"/>
      <w:bookmarkEnd w:id="34"/>
    </w:p>
    <w:p w14:paraId="0845435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w:t>
      </w:r>
      <w:r>
        <w:rPr>
          <w:rFonts w:hint="eastAsia" w:ascii="宋体" w:hAnsi="宋体" w:eastAsia="宋体" w:cs="宋体"/>
          <w:color w:val="auto"/>
          <w:spacing w:val="0"/>
          <w:kern w:val="0"/>
          <w:position w:val="0"/>
          <w:sz w:val="24"/>
          <w:szCs w:val="24"/>
          <w:highlight w:val="none"/>
          <w:lang w:eastAsia="zh-CN"/>
        </w:rPr>
        <w:t>时间</w:t>
      </w:r>
      <w:r>
        <w:rPr>
          <w:rFonts w:hint="eastAsia" w:ascii="宋体" w:hAnsi="宋体" w:eastAsia="宋体" w:cs="宋体"/>
          <w:color w:val="auto"/>
          <w:sz w:val="24"/>
          <w:szCs w:val="24"/>
          <w:highlight w:val="none"/>
        </w:rPr>
        <w:t>：</w:t>
      </w:r>
      <w:r>
        <w:rPr>
          <w:rFonts w:hint="eastAsia" w:ascii="宋体" w:hAnsi="宋体" w:eastAsia="宋体" w:cs="宋体"/>
          <w:color w:val="auto"/>
          <w:spacing w:val="0"/>
          <w:kern w:val="0"/>
          <w:position w:val="0"/>
          <w:sz w:val="24"/>
          <w:szCs w:val="24"/>
          <w:highlight w:val="none"/>
          <w:u w:val="single"/>
          <w:lang w:val="en-US" w:eastAsia="zh-CN"/>
        </w:rPr>
        <w:t xml:space="preserve"> 2026 </w:t>
      </w:r>
      <w:r>
        <w:rPr>
          <w:rFonts w:hint="eastAsia" w:ascii="宋体" w:hAnsi="宋体" w:eastAsia="宋体" w:cs="宋体"/>
          <w:color w:val="auto"/>
          <w:spacing w:val="0"/>
          <w:kern w:val="0"/>
          <w:position w:val="0"/>
          <w:sz w:val="24"/>
          <w:szCs w:val="24"/>
          <w:highlight w:val="none"/>
        </w:rPr>
        <w:t>年</w:t>
      </w:r>
      <w:r>
        <w:rPr>
          <w:rFonts w:hint="eastAsia" w:ascii="宋体" w:hAnsi="宋体" w:eastAsia="宋体" w:cs="宋体"/>
          <w:color w:val="auto"/>
          <w:spacing w:val="0"/>
          <w:kern w:val="0"/>
          <w:position w:val="0"/>
          <w:sz w:val="24"/>
          <w:szCs w:val="24"/>
          <w:highlight w:val="none"/>
          <w:u w:val="single"/>
          <w:lang w:val="en-US" w:eastAsia="zh-CN"/>
        </w:rPr>
        <w:t xml:space="preserve">  1  </w:t>
      </w:r>
      <w:r>
        <w:rPr>
          <w:rFonts w:hint="eastAsia" w:ascii="宋体" w:hAnsi="宋体" w:eastAsia="宋体" w:cs="宋体"/>
          <w:color w:val="auto"/>
          <w:spacing w:val="0"/>
          <w:kern w:val="0"/>
          <w:position w:val="0"/>
          <w:sz w:val="24"/>
          <w:szCs w:val="24"/>
          <w:highlight w:val="none"/>
        </w:rPr>
        <w:t>月</w:t>
      </w:r>
      <w:r>
        <w:rPr>
          <w:rFonts w:hint="eastAsia" w:ascii="宋体" w:hAnsi="宋体" w:eastAsia="宋体" w:cs="宋体"/>
          <w:color w:val="auto"/>
          <w:spacing w:val="0"/>
          <w:kern w:val="0"/>
          <w:position w:val="0"/>
          <w:sz w:val="24"/>
          <w:szCs w:val="24"/>
          <w:highlight w:val="none"/>
          <w:u w:val="single"/>
          <w:lang w:val="en-US" w:eastAsia="zh-CN"/>
        </w:rPr>
        <w:t xml:space="preserve">  6  </w:t>
      </w:r>
      <w:r>
        <w:rPr>
          <w:rFonts w:hint="eastAsia" w:ascii="宋体" w:hAnsi="宋体" w:eastAsia="宋体" w:cs="宋体"/>
          <w:color w:val="auto"/>
          <w:spacing w:val="0"/>
          <w:kern w:val="0"/>
          <w:position w:val="0"/>
          <w:sz w:val="24"/>
          <w:szCs w:val="24"/>
          <w:highlight w:val="none"/>
        </w:rPr>
        <w:t>日</w:t>
      </w:r>
      <w:r>
        <w:rPr>
          <w:rFonts w:hint="eastAsia" w:ascii="宋体" w:hAnsi="宋体" w:eastAsia="宋体" w:cs="宋体"/>
          <w:color w:val="auto"/>
          <w:spacing w:val="0"/>
          <w:kern w:val="0"/>
          <w:position w:val="0"/>
          <w:sz w:val="24"/>
          <w:szCs w:val="24"/>
          <w:highlight w:val="none"/>
          <w:u w:val="single"/>
          <w:lang w:val="en-US" w:eastAsia="zh-CN"/>
        </w:rPr>
        <w:t xml:space="preserve">  9  </w:t>
      </w:r>
      <w:r>
        <w:rPr>
          <w:rFonts w:hint="eastAsia" w:ascii="宋体" w:hAnsi="宋体" w:eastAsia="宋体" w:cs="宋体"/>
          <w:color w:val="auto"/>
          <w:spacing w:val="0"/>
          <w:kern w:val="0"/>
          <w:position w:val="0"/>
          <w:sz w:val="24"/>
          <w:szCs w:val="24"/>
          <w:highlight w:val="none"/>
        </w:rPr>
        <w:t>点</w:t>
      </w:r>
      <w:r>
        <w:rPr>
          <w:rFonts w:hint="eastAsia" w:ascii="宋体" w:hAnsi="宋体" w:eastAsia="宋体" w:cs="宋体"/>
          <w:color w:val="auto"/>
          <w:spacing w:val="0"/>
          <w:kern w:val="0"/>
          <w:position w:val="0"/>
          <w:sz w:val="24"/>
          <w:szCs w:val="24"/>
          <w:highlight w:val="none"/>
          <w:u w:val="single"/>
          <w:lang w:val="en-US" w:eastAsia="zh-CN"/>
        </w:rPr>
        <w:t xml:space="preserve">  00  </w:t>
      </w:r>
      <w:r>
        <w:rPr>
          <w:rFonts w:hint="eastAsia" w:ascii="宋体" w:hAnsi="宋体" w:eastAsia="宋体" w:cs="宋体"/>
          <w:color w:val="auto"/>
          <w:spacing w:val="0"/>
          <w:kern w:val="0"/>
          <w:position w:val="0"/>
          <w:sz w:val="24"/>
          <w:szCs w:val="24"/>
          <w:highlight w:val="none"/>
        </w:rPr>
        <w:t>分</w:t>
      </w:r>
      <w:r>
        <w:rPr>
          <w:rFonts w:hint="eastAsia" w:ascii="宋体" w:hAnsi="宋体" w:eastAsia="宋体" w:cs="宋体"/>
          <w:color w:val="auto"/>
          <w:sz w:val="24"/>
          <w:highlight w:val="none"/>
          <w:lang w:val="en-US" w:eastAsia="zh-CN"/>
        </w:rPr>
        <w:t>（北京时间）</w:t>
      </w:r>
    </w:p>
    <w:p w14:paraId="3F493C1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开标</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上饶市信州区锦绣路2号广信大厦东楼（A栋）3楼</w:t>
      </w:r>
    </w:p>
    <w:p w14:paraId="4356C758">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07"/>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35" w:name="_Toc8968"/>
      <w:bookmarkStart w:id="36" w:name="_Toc13926"/>
      <w:bookmarkStart w:id="37" w:name="_Toc14860"/>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七、发布公告的媒介</w:t>
      </w:r>
      <w:bookmarkEnd w:id="35"/>
      <w:bookmarkEnd w:id="36"/>
      <w:bookmarkEnd w:id="37"/>
    </w:p>
    <w:p w14:paraId="657F10C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w:t>
      </w:r>
      <w:r>
        <w:rPr>
          <w:rFonts w:hint="eastAsia" w:ascii="宋体" w:hAnsi="宋体" w:eastAsia="宋体" w:cs="宋体"/>
          <w:color w:val="auto"/>
          <w:spacing w:val="0"/>
          <w:kern w:val="0"/>
          <w:position w:val="0"/>
          <w:sz w:val="24"/>
          <w:szCs w:val="24"/>
          <w:highlight w:val="none"/>
          <w:lang w:eastAsia="zh-CN"/>
        </w:rPr>
        <w:t>招标</w:t>
      </w:r>
      <w:r>
        <w:rPr>
          <w:rFonts w:hint="eastAsia" w:ascii="宋体" w:hAnsi="宋体" w:eastAsia="宋体" w:cs="宋体"/>
          <w:color w:val="auto"/>
          <w:kern w:val="0"/>
          <w:sz w:val="24"/>
          <w:szCs w:val="24"/>
          <w:highlight w:val="none"/>
        </w:rPr>
        <w:t>公告在阳光采购服务平台（</w:t>
      </w:r>
      <w:r>
        <w:rPr>
          <w:rFonts w:hint="eastAsia" w:ascii="宋体" w:hAnsi="宋体" w:eastAsia="宋体" w:cs="宋体"/>
          <w:color w:val="auto"/>
          <w:kern w:val="0"/>
          <w:sz w:val="24"/>
          <w:szCs w:val="24"/>
          <w:highlight w:val="none"/>
          <w:lang w:eastAsia="zh-CN"/>
        </w:rPr>
        <w:t>https://www.ygcgfwpt.com/</w:t>
      </w:r>
      <w:r>
        <w:rPr>
          <w:rFonts w:hint="eastAsia" w:ascii="宋体" w:hAnsi="宋体" w:eastAsia="宋体" w:cs="宋体"/>
          <w:color w:val="auto"/>
          <w:kern w:val="0"/>
          <w:sz w:val="24"/>
          <w:szCs w:val="24"/>
          <w:highlight w:val="none"/>
        </w:rPr>
        <w:t>）发布。</w:t>
      </w:r>
    </w:p>
    <w:p w14:paraId="2A0B694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w:t>
      </w:r>
      <w:r>
        <w:rPr>
          <w:rFonts w:hint="eastAsia" w:ascii="宋体" w:hAnsi="宋体" w:eastAsia="宋体" w:cs="宋体"/>
          <w:color w:val="auto"/>
          <w:spacing w:val="0"/>
          <w:kern w:val="0"/>
          <w:position w:val="0"/>
          <w:sz w:val="24"/>
          <w:szCs w:val="24"/>
          <w:highlight w:val="none"/>
          <w:lang w:eastAsia="zh-CN"/>
        </w:rPr>
        <w:t>其他</w:t>
      </w:r>
      <w:r>
        <w:rPr>
          <w:rFonts w:hint="eastAsia" w:ascii="宋体" w:hAnsi="宋体" w:eastAsia="宋体" w:cs="宋体"/>
          <w:color w:val="auto"/>
          <w:kern w:val="0"/>
          <w:sz w:val="24"/>
          <w:szCs w:val="24"/>
          <w:highlight w:val="none"/>
        </w:rPr>
        <w:t>媒体发布的招标公告，公告内容以本招标公告指定媒体发布的公告为准；公告期限自本招标公告指定媒体最先发布公告之日起算。</w:t>
      </w:r>
    </w:p>
    <w:p w14:paraId="273CDE1E">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07"/>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38" w:name="_Toc13319"/>
      <w:bookmarkStart w:id="39" w:name="_Toc14681"/>
      <w:bookmarkStart w:id="40" w:name="_Toc15701"/>
      <w:bookmarkStart w:id="41" w:name="_Toc3866"/>
      <w:bookmarkStart w:id="42" w:name="_Toc28504"/>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八、</w:t>
      </w:r>
      <w:bookmarkEnd w:id="38"/>
      <w:bookmarkEnd w:id="39"/>
      <w:bookmarkStart w:id="43" w:name="_Toc32169"/>
      <w:bookmarkStart w:id="44" w:name="_Toc9804"/>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对本次招标提出询问，请按以下方式联系：</w:t>
      </w:r>
      <w:bookmarkEnd w:id="40"/>
      <w:bookmarkEnd w:id="41"/>
      <w:bookmarkEnd w:id="42"/>
    </w:p>
    <w:p w14:paraId="190A6C4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kern w:val="0"/>
          <w:sz w:val="24"/>
          <w:szCs w:val="24"/>
          <w:highlight w:val="none"/>
        </w:rPr>
      </w:pPr>
      <w:bookmarkStart w:id="45" w:name="_Toc17970"/>
      <w:bookmarkStart w:id="46" w:name="_Toc11329"/>
      <w:r>
        <w:rPr>
          <w:rFonts w:hint="eastAsia" w:ascii="宋体" w:hAnsi="宋体" w:eastAsia="宋体" w:cs="宋体"/>
          <w:color w:val="auto"/>
          <w:kern w:val="0"/>
          <w:sz w:val="24"/>
          <w:szCs w:val="24"/>
          <w:highlight w:val="none"/>
        </w:rPr>
        <w:t>1.采购人信息</w:t>
      </w:r>
      <w:bookmarkEnd w:id="43"/>
      <w:bookmarkEnd w:id="44"/>
      <w:bookmarkEnd w:id="45"/>
      <w:bookmarkEnd w:id="46"/>
    </w:p>
    <w:p w14:paraId="165E335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kern w:val="0"/>
          <w:sz w:val="24"/>
          <w:szCs w:val="24"/>
          <w:highlight w:val="none"/>
        </w:rPr>
      </w:pPr>
      <w:bookmarkStart w:id="47" w:name="_Toc4796"/>
      <w:bookmarkStart w:id="48" w:name="_Toc7727"/>
      <w:bookmarkStart w:id="49" w:name="_Toc13186"/>
      <w:bookmarkStart w:id="50" w:name="_Toc3688"/>
      <w:r>
        <w:rPr>
          <w:rFonts w:hint="eastAsia" w:ascii="宋体" w:hAnsi="宋体" w:eastAsia="宋体" w:cs="宋体"/>
          <w:color w:val="auto"/>
          <w:kern w:val="0"/>
          <w:sz w:val="24"/>
          <w:szCs w:val="24"/>
          <w:highlight w:val="none"/>
        </w:rPr>
        <w:t>名称：上饶市和济水务有限公司</w:t>
      </w:r>
    </w:p>
    <w:p w14:paraId="1DF7D52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地址：江西省上饶经济技术开发区思瑞达1号院子南50米</w:t>
      </w:r>
    </w:p>
    <w:p w14:paraId="53963D1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项目</w:t>
      </w:r>
      <w:r>
        <w:rPr>
          <w:rFonts w:hint="eastAsia" w:ascii="宋体" w:hAnsi="宋体" w:eastAsia="宋体" w:cs="宋体"/>
          <w:color w:val="auto"/>
          <w:spacing w:val="0"/>
          <w:kern w:val="0"/>
          <w:position w:val="0"/>
          <w:sz w:val="24"/>
          <w:szCs w:val="24"/>
          <w:highlight w:val="none"/>
          <w:lang w:eastAsia="zh-CN"/>
        </w:rPr>
        <w:t>联系人</w:t>
      </w:r>
      <w:r>
        <w:rPr>
          <w:rFonts w:hint="eastAsia" w:ascii="宋体" w:hAnsi="宋体" w:eastAsia="宋体" w:cs="宋体"/>
          <w:color w:val="auto"/>
          <w:kern w:val="0"/>
          <w:sz w:val="24"/>
          <w:szCs w:val="24"/>
          <w:highlight w:val="none"/>
        </w:rPr>
        <w:t>：黄女士</w:t>
      </w:r>
    </w:p>
    <w:p w14:paraId="70BE3E0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w:t>
      </w:r>
      <w:r>
        <w:rPr>
          <w:rFonts w:hint="eastAsia" w:ascii="宋体" w:hAnsi="宋体" w:eastAsia="宋体" w:cs="宋体"/>
          <w:color w:val="auto"/>
          <w:spacing w:val="0"/>
          <w:kern w:val="0"/>
          <w:position w:val="0"/>
          <w:sz w:val="24"/>
          <w:szCs w:val="24"/>
          <w:highlight w:val="none"/>
          <w:lang w:eastAsia="zh-CN"/>
        </w:rPr>
        <w:t>方式</w:t>
      </w:r>
      <w:r>
        <w:rPr>
          <w:rFonts w:hint="eastAsia" w:ascii="宋体" w:hAnsi="宋体" w:eastAsia="宋体" w:cs="宋体"/>
          <w:color w:val="auto"/>
          <w:kern w:val="0"/>
          <w:sz w:val="24"/>
          <w:szCs w:val="24"/>
          <w:highlight w:val="none"/>
        </w:rPr>
        <w:t>：15397849128</w:t>
      </w:r>
    </w:p>
    <w:p w14:paraId="1F99893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w:t>
      </w:r>
      <w:r>
        <w:rPr>
          <w:rFonts w:hint="eastAsia" w:ascii="宋体" w:hAnsi="宋体" w:eastAsia="宋体" w:cs="宋体"/>
          <w:color w:val="auto"/>
          <w:spacing w:val="0"/>
          <w:kern w:val="0"/>
          <w:position w:val="0"/>
          <w:sz w:val="24"/>
          <w:szCs w:val="24"/>
          <w:highlight w:val="none"/>
          <w:lang w:eastAsia="zh-CN"/>
        </w:rPr>
        <w:t>购</w:t>
      </w:r>
      <w:r>
        <w:rPr>
          <w:rFonts w:hint="eastAsia" w:ascii="宋体" w:hAnsi="宋体" w:eastAsia="宋体" w:cs="宋体"/>
          <w:color w:val="auto"/>
          <w:kern w:val="0"/>
          <w:sz w:val="24"/>
          <w:szCs w:val="24"/>
          <w:highlight w:val="none"/>
        </w:rPr>
        <w:t>代理机构信息</w:t>
      </w:r>
      <w:bookmarkEnd w:id="47"/>
      <w:bookmarkEnd w:id="48"/>
      <w:bookmarkEnd w:id="49"/>
      <w:bookmarkEnd w:id="50"/>
      <w:r>
        <w:rPr>
          <w:rFonts w:hint="eastAsia" w:ascii="宋体" w:hAnsi="宋体" w:eastAsia="宋体" w:cs="宋体"/>
          <w:color w:val="auto"/>
          <w:kern w:val="0"/>
          <w:sz w:val="24"/>
          <w:szCs w:val="24"/>
          <w:highlight w:val="none"/>
        </w:rPr>
        <w:t xml:space="preserve"> </w:t>
      </w:r>
    </w:p>
    <w:p w14:paraId="740FBB3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lang w:eastAsia="zh-CN"/>
        </w:rPr>
        <w:t>上饶国属工程造价咨询有限公司</w:t>
      </w:r>
    </w:p>
    <w:p w14:paraId="088519A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spacing w:val="0"/>
          <w:kern w:val="0"/>
          <w:position w:val="0"/>
          <w:sz w:val="24"/>
          <w:szCs w:val="24"/>
          <w:highlight w:val="none"/>
          <w:lang w:eastAsia="zh-CN"/>
        </w:rPr>
        <w:t>上饶市</w:t>
      </w:r>
      <w:r>
        <w:rPr>
          <w:rFonts w:hint="eastAsia" w:ascii="宋体" w:hAnsi="宋体" w:eastAsia="宋体" w:cs="宋体"/>
          <w:color w:val="auto"/>
          <w:kern w:val="0"/>
          <w:sz w:val="24"/>
          <w:szCs w:val="24"/>
          <w:highlight w:val="none"/>
        </w:rPr>
        <w:t>锦绣路2号A座三楼</w:t>
      </w:r>
    </w:p>
    <w:p w14:paraId="564D1E3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w:t>
      </w:r>
      <w:r>
        <w:rPr>
          <w:rFonts w:hint="eastAsia" w:ascii="宋体" w:hAnsi="宋体" w:eastAsia="宋体" w:cs="宋体"/>
          <w:color w:val="auto"/>
          <w:spacing w:val="0"/>
          <w:kern w:val="0"/>
          <w:position w:val="0"/>
          <w:sz w:val="24"/>
          <w:szCs w:val="24"/>
          <w:highlight w:val="none"/>
          <w:lang w:eastAsia="zh-CN"/>
        </w:rPr>
        <w:t>联系人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祝女士</w:t>
      </w:r>
    </w:p>
    <w:p w14:paraId="073A1B3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r>
        <w:rPr>
          <w:rFonts w:hint="eastAsia" w:ascii="宋体" w:hAnsi="宋体" w:eastAsia="宋体" w:cs="宋体"/>
          <w:i w:val="0"/>
          <w:iCs w:val="0"/>
          <w:caps w:val="0"/>
          <w:color w:val="333333"/>
          <w:spacing w:val="0"/>
          <w:sz w:val="24"/>
          <w:szCs w:val="24"/>
          <w:highlight w:val="none"/>
          <w:shd w:val="clear" w:fill="FFFFFF"/>
        </w:rPr>
        <w:t>19065851658</w:t>
      </w:r>
    </w:p>
    <w:p w14:paraId="3AF208D4">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07"/>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51" w:name="_Toc4064"/>
      <w:bookmarkStart w:id="52" w:name="_Toc12392"/>
      <w:bookmarkStart w:id="53" w:name="_Toc25101"/>
      <w:bookmarkStart w:id="54" w:name="_Toc31855"/>
      <w:bookmarkStart w:id="55" w:name="_Toc28972"/>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九、其他说明：</w:t>
      </w:r>
      <w:bookmarkEnd w:id="51"/>
      <w:bookmarkEnd w:id="52"/>
      <w:bookmarkEnd w:id="53"/>
      <w:bookmarkEnd w:id="54"/>
      <w:bookmarkEnd w:id="55"/>
    </w:p>
    <w:p w14:paraId="61E783E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eastAsia="zh-CN"/>
        </w:rPr>
        <w:t>潜在</w:t>
      </w:r>
      <w:r>
        <w:rPr>
          <w:rFonts w:hint="eastAsia" w:ascii="宋体" w:hAnsi="宋体" w:eastAsia="宋体" w:cs="宋体"/>
          <w:color w:val="auto"/>
          <w:spacing w:val="0"/>
          <w:position w:val="0"/>
          <w:sz w:val="24"/>
          <w:szCs w:val="24"/>
          <w:highlight w:val="none"/>
          <w:lang w:val="en-US" w:eastAsia="zh-CN"/>
        </w:rPr>
        <w:t>供应商</w:t>
      </w:r>
      <w:r>
        <w:rPr>
          <w:rFonts w:hint="eastAsia" w:ascii="宋体" w:hAnsi="宋体" w:eastAsia="宋体" w:cs="宋体"/>
          <w:color w:val="auto"/>
          <w:spacing w:val="0"/>
          <w:position w:val="0"/>
          <w:sz w:val="24"/>
          <w:szCs w:val="24"/>
          <w:highlight w:val="none"/>
          <w:lang w:eastAsia="zh-CN"/>
        </w:rPr>
        <w:t>必须在上饶市阳光采购服务平台（网址：</w:t>
      </w:r>
      <w:r>
        <w:rPr>
          <w:rFonts w:hint="eastAsia" w:ascii="宋体" w:hAnsi="宋体" w:eastAsia="宋体" w:cs="宋体"/>
          <w:color w:val="auto"/>
          <w:spacing w:val="0"/>
          <w:position w:val="0"/>
          <w:sz w:val="24"/>
          <w:szCs w:val="24"/>
          <w:highlight w:val="none"/>
          <w:u w:val="none"/>
          <w:lang w:val="en-US" w:eastAsia="zh-CN"/>
        </w:rPr>
        <w:t>https://www.ygcgfwpt.com/</w:t>
      </w:r>
      <w:r>
        <w:rPr>
          <w:rFonts w:hint="eastAsia" w:ascii="宋体" w:hAnsi="宋体" w:eastAsia="宋体" w:cs="宋体"/>
          <w:color w:val="auto"/>
          <w:spacing w:val="0"/>
          <w:position w:val="0"/>
          <w:sz w:val="24"/>
          <w:szCs w:val="24"/>
          <w:highlight w:val="none"/>
          <w:lang w:eastAsia="zh-CN"/>
        </w:rPr>
        <w:t>） 注册并办理</w:t>
      </w:r>
      <w:r>
        <w:rPr>
          <w:rFonts w:hint="eastAsia" w:ascii="宋体" w:hAnsi="宋体" w:eastAsia="宋体" w:cs="宋体"/>
          <w:color w:val="auto"/>
          <w:spacing w:val="0"/>
          <w:position w:val="0"/>
          <w:sz w:val="24"/>
          <w:szCs w:val="24"/>
          <w:highlight w:val="none"/>
          <w:lang w:val="en-US" w:eastAsia="zh-CN"/>
        </w:rPr>
        <w:t>阳光采购</w:t>
      </w:r>
      <w:r>
        <w:rPr>
          <w:rFonts w:hint="eastAsia" w:ascii="宋体" w:hAnsi="宋体" w:eastAsia="宋体" w:cs="宋体"/>
          <w:color w:val="auto"/>
          <w:spacing w:val="0"/>
          <w:position w:val="0"/>
          <w:sz w:val="24"/>
          <w:szCs w:val="24"/>
          <w:highlight w:val="none"/>
          <w:lang w:eastAsia="zh-CN"/>
        </w:rPr>
        <w:t xml:space="preserve"> CA 数字证书和电子签章。具体要求详见</w:t>
      </w:r>
      <w:r>
        <w:rPr>
          <w:rFonts w:hint="eastAsia" w:ascii="宋体" w:hAnsi="宋体" w:eastAsia="宋体" w:cs="宋体"/>
          <w:strike w:val="0"/>
          <w:dstrike w:val="0"/>
          <w:color w:val="auto"/>
          <w:spacing w:val="0"/>
          <w:position w:val="0"/>
          <w:sz w:val="24"/>
          <w:szCs w:val="24"/>
          <w:highlight w:val="none"/>
          <w:u w:val="none"/>
          <w:lang w:eastAsia="zh-CN"/>
        </w:rPr>
        <w:t>“</w:t>
      </w:r>
      <w:r>
        <w:rPr>
          <w:rFonts w:hint="eastAsia" w:ascii="宋体" w:hAnsi="宋体" w:eastAsia="宋体" w:cs="宋体"/>
          <w:color w:val="auto"/>
          <w:spacing w:val="0"/>
          <w:position w:val="0"/>
          <w:sz w:val="24"/>
          <w:szCs w:val="24"/>
          <w:highlight w:val="none"/>
          <w:lang w:eastAsia="zh-CN"/>
        </w:rPr>
        <w:t>上饶市阳光采购服务平台</w:t>
      </w:r>
      <w:r>
        <w:rPr>
          <w:rFonts w:hint="eastAsia" w:ascii="宋体" w:hAnsi="宋体" w:eastAsia="宋体" w:cs="宋体"/>
          <w:color w:val="auto"/>
          <w:spacing w:val="0"/>
          <w:position w:val="0"/>
          <w:sz w:val="24"/>
          <w:szCs w:val="24"/>
          <w:highlight w:val="none"/>
          <w:lang w:val="en-US" w:eastAsia="zh-CN"/>
        </w:rPr>
        <w:t>-服务指南-CA证书在线办理流程”（网址：</w:t>
      </w:r>
      <w:r>
        <w:rPr>
          <w:rFonts w:hint="eastAsia" w:ascii="宋体" w:hAnsi="宋体" w:eastAsia="宋体" w:cs="宋体"/>
          <w:color w:val="auto"/>
          <w:spacing w:val="0"/>
          <w:position w:val="0"/>
          <w:sz w:val="24"/>
          <w:szCs w:val="24"/>
          <w:highlight w:val="none"/>
          <w:u w:val="none"/>
          <w:lang w:val="en-US" w:eastAsia="zh-CN"/>
        </w:rPr>
        <w:t>https://www.ygcgfwpt.com/</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strike w:val="0"/>
          <w:dstrike w:val="0"/>
          <w:color w:val="auto"/>
          <w:spacing w:val="0"/>
          <w:position w:val="0"/>
          <w:sz w:val="24"/>
          <w:szCs w:val="24"/>
          <w:highlight w:val="none"/>
          <w:u w:val="none"/>
          <w:lang w:eastAsia="zh-CN"/>
        </w:rPr>
        <w:t>潜在</w:t>
      </w:r>
      <w:r>
        <w:rPr>
          <w:rFonts w:hint="eastAsia" w:ascii="宋体" w:hAnsi="宋体" w:eastAsia="宋体" w:cs="宋体"/>
          <w:color w:val="auto"/>
          <w:spacing w:val="0"/>
          <w:position w:val="0"/>
          <w:sz w:val="24"/>
          <w:szCs w:val="24"/>
          <w:highlight w:val="none"/>
          <w:lang w:val="en-US" w:eastAsia="zh-CN"/>
        </w:rPr>
        <w:t>供应商</w:t>
      </w:r>
      <w:r>
        <w:rPr>
          <w:rFonts w:hint="eastAsia" w:ascii="宋体" w:hAnsi="宋体" w:eastAsia="宋体" w:cs="宋体"/>
          <w:strike w:val="0"/>
          <w:dstrike w:val="0"/>
          <w:color w:val="auto"/>
          <w:spacing w:val="0"/>
          <w:position w:val="0"/>
          <w:sz w:val="24"/>
          <w:szCs w:val="24"/>
          <w:highlight w:val="none"/>
          <w:u w:val="none"/>
          <w:lang w:eastAsia="zh-CN"/>
        </w:rPr>
        <w:t>未使用</w:t>
      </w:r>
      <w:r>
        <w:rPr>
          <w:rFonts w:hint="eastAsia" w:ascii="宋体" w:hAnsi="宋体" w:eastAsia="宋体" w:cs="宋体"/>
          <w:strike w:val="0"/>
          <w:dstrike w:val="0"/>
          <w:color w:val="auto"/>
          <w:spacing w:val="0"/>
          <w:position w:val="0"/>
          <w:sz w:val="24"/>
          <w:szCs w:val="24"/>
          <w:highlight w:val="none"/>
          <w:u w:val="none"/>
          <w:lang w:val="en-US" w:eastAsia="zh-CN"/>
        </w:rPr>
        <w:t>本单位</w:t>
      </w:r>
      <w:r>
        <w:rPr>
          <w:rFonts w:hint="eastAsia" w:ascii="宋体" w:hAnsi="宋体" w:eastAsia="宋体" w:cs="宋体"/>
          <w:strike w:val="0"/>
          <w:dstrike w:val="0"/>
          <w:color w:val="auto"/>
          <w:spacing w:val="0"/>
          <w:position w:val="0"/>
          <w:sz w:val="24"/>
          <w:szCs w:val="24"/>
          <w:highlight w:val="none"/>
          <w:u w:val="none"/>
          <w:lang w:eastAsia="zh-CN"/>
        </w:rPr>
        <w:t xml:space="preserve"> CA 数字证书在上饶市阳光采购服务平台</w:t>
      </w:r>
      <w:r>
        <w:rPr>
          <w:rFonts w:hint="eastAsia" w:ascii="宋体" w:hAnsi="宋体" w:eastAsia="宋体" w:cs="宋体"/>
          <w:color w:val="auto"/>
          <w:spacing w:val="0"/>
          <w:position w:val="0"/>
          <w:sz w:val="24"/>
          <w:szCs w:val="24"/>
          <w:highlight w:val="none"/>
          <w:lang w:eastAsia="zh-CN"/>
        </w:rPr>
        <w:t>下载</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文件的，</w:t>
      </w:r>
      <w:r>
        <w:rPr>
          <w:rFonts w:hint="eastAsia" w:ascii="宋体" w:hAnsi="宋体" w:eastAsia="宋体" w:cs="宋体"/>
          <w:strike w:val="0"/>
          <w:dstrike w:val="0"/>
          <w:color w:val="auto"/>
          <w:spacing w:val="0"/>
          <w:position w:val="0"/>
          <w:sz w:val="24"/>
          <w:szCs w:val="24"/>
          <w:highlight w:val="none"/>
          <w:lang w:val="en-US" w:eastAsia="zh-CN"/>
        </w:rPr>
        <w:t>视为未获取磋商文件，</w:t>
      </w:r>
      <w:r>
        <w:rPr>
          <w:rFonts w:hint="eastAsia" w:ascii="宋体" w:hAnsi="宋体" w:eastAsia="宋体" w:cs="宋体"/>
          <w:color w:val="auto"/>
          <w:spacing w:val="0"/>
          <w:position w:val="0"/>
          <w:sz w:val="24"/>
          <w:szCs w:val="24"/>
          <w:highlight w:val="none"/>
          <w:lang w:eastAsia="zh-CN"/>
        </w:rPr>
        <w:t>不得参加本项目的</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活动；</w:t>
      </w:r>
    </w:p>
    <w:p w14:paraId="39AD341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2" w:firstLineChars="200"/>
        <w:textAlignment w:val="baseline"/>
        <w:rPr>
          <w:rFonts w:hint="eastAsia" w:ascii="宋体" w:hAnsi="宋体" w:eastAsia="宋体" w:cs="宋体"/>
          <w:b/>
          <w:bCs/>
          <w:snapToGrid w:val="0"/>
          <w:color w:val="auto"/>
          <w:spacing w:val="0"/>
          <w:w w:val="100"/>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lang w:val="en-US" w:eastAsia="zh-CN"/>
        </w:rPr>
        <w:t>2.</w:t>
      </w:r>
      <w:r>
        <w:rPr>
          <w:rFonts w:hint="eastAsia" w:ascii="宋体" w:hAnsi="宋体" w:eastAsia="宋体" w:cs="宋体"/>
          <w:b/>
          <w:bCs/>
          <w:color w:val="auto"/>
          <w:spacing w:val="0"/>
          <w:w w:val="100"/>
          <w:position w:val="0"/>
          <w:sz w:val="24"/>
          <w:szCs w:val="24"/>
          <w:highlight w:val="none"/>
          <w:lang w:val="en-US" w:eastAsia="zh-CN"/>
        </w:rPr>
        <w:t>本项目采用“不见面开标 ”，投标人无需到达开标现场。注意事项详见招标文件第二章，</w:t>
      </w:r>
      <w:r>
        <w:rPr>
          <w:rFonts w:hint="eastAsia" w:ascii="宋体" w:hAnsi="宋体" w:eastAsia="宋体" w:cs="宋体"/>
          <w:b/>
          <w:bCs/>
          <w:color w:val="auto"/>
          <w:spacing w:val="0"/>
          <w:position w:val="0"/>
          <w:sz w:val="24"/>
          <w:szCs w:val="24"/>
          <w:highlight w:val="none"/>
          <w:lang w:val="en-US" w:eastAsia="zh-CN"/>
        </w:rPr>
        <w:t>各供应商需保持在线进行远程线上报价</w:t>
      </w:r>
      <w:r>
        <w:rPr>
          <w:rFonts w:hint="eastAsia" w:ascii="宋体" w:hAnsi="宋体" w:eastAsia="宋体" w:cs="宋体"/>
          <w:b/>
          <w:bCs/>
          <w:color w:val="auto"/>
          <w:spacing w:val="0"/>
          <w:w w:val="100"/>
          <w:position w:val="0"/>
          <w:sz w:val="24"/>
          <w:szCs w:val="24"/>
          <w:highlight w:val="none"/>
          <w:lang w:val="en-US" w:eastAsia="zh-CN"/>
        </w:rPr>
        <w:t>；</w:t>
      </w:r>
    </w:p>
    <w:p w14:paraId="2BD4A22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3.各投标人的法定代表委托人能够熟练的操作阳光采购交易系统，因业务不熟悉而导致的一切后果由投标人自行承担。一个项目只能有一个委托代理人。</w:t>
      </w:r>
    </w:p>
    <w:p w14:paraId="04537DF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color w:val="auto"/>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4.</w:t>
      </w:r>
      <w:r>
        <w:rPr>
          <w:rFonts w:hint="eastAsia" w:ascii="宋体" w:hAnsi="宋体" w:eastAsia="宋体" w:cs="宋体"/>
          <w:color w:val="auto"/>
          <w:kern w:val="0"/>
          <w:sz w:val="24"/>
          <w:szCs w:val="24"/>
          <w:highlight w:val="none"/>
        </w:rPr>
        <w:t>凡下载本采购文件的单位，必须就此采购项目的相关事宜详细咨询（如需参考资料可与采购单位或代理机构联系）。否则参与投标人即被视为已经充分了解了采购方的需求，成交后承担采购文件范围内的所有要求（参加采购活动前如有不明之处应向采购单位或代理机构详细了解）。</w:t>
      </w:r>
    </w:p>
    <w:p w14:paraId="5565776C">
      <w:pPr>
        <w:rPr>
          <w:rFonts w:hint="eastAsia" w:ascii="宋体" w:hAnsi="宋体" w:eastAsia="宋体" w:cs="宋体"/>
          <w:color w:val="auto"/>
          <w:spacing w:val="8"/>
          <w:sz w:val="30"/>
          <w:szCs w:val="30"/>
          <w:highlight w:val="none"/>
          <w:lang w:val="en-US" w:eastAsia="zh-CN"/>
          <w14:textOutline w14:w="5791" w14:cap="sq" w14:cmpd="sng" w14:algn="ctr">
            <w14:solidFill>
              <w14:srgbClr w14:val="000000"/>
            </w14:solidFill>
            <w14:prstDash w14:val="solid"/>
            <w14:bevel/>
          </w14:textOutline>
        </w:rPr>
      </w:pPr>
      <w:r>
        <w:rPr>
          <w:rFonts w:hint="eastAsia" w:ascii="宋体" w:hAnsi="宋体" w:eastAsia="宋体" w:cs="宋体"/>
          <w:color w:val="auto"/>
          <w:spacing w:val="8"/>
          <w:sz w:val="30"/>
          <w:szCs w:val="30"/>
          <w:highlight w:val="none"/>
          <w:lang w:val="en-US" w:eastAsia="zh-CN"/>
          <w14:textOutline w14:w="5791" w14:cap="sq" w14:cmpd="sng" w14:algn="ctr">
            <w14:solidFill>
              <w14:srgbClr w14:val="000000"/>
            </w14:solidFill>
            <w14:prstDash w14:val="solid"/>
            <w14:bevel/>
          </w14:textOutline>
        </w:rPr>
        <w:br w:type="page"/>
      </w:r>
    </w:p>
    <w:p w14:paraId="6EE8C9A9">
      <w:pPr>
        <w:pageBreakBefore w:val="0"/>
        <w:widowControl w:val="0"/>
        <w:wordWrap/>
        <w:overflowPunct/>
        <w:topLinePunct w:val="0"/>
        <w:bidi w:val="0"/>
        <w:spacing w:before="63" w:line="224" w:lineRule="auto"/>
        <w:ind w:left="5052" w:leftChars="0" w:hanging="5052" w:hangingChars="1599"/>
        <w:jc w:val="center"/>
        <w:outlineLvl w:val="0"/>
        <w:rPr>
          <w:rFonts w:hint="eastAsia" w:ascii="宋体" w:hAnsi="宋体" w:eastAsia="宋体" w:cs="宋体"/>
          <w:color w:val="auto"/>
          <w:spacing w:val="8"/>
          <w:sz w:val="30"/>
          <w:szCs w:val="30"/>
          <w:highlight w:val="none"/>
          <w:lang w:val="en-US" w:eastAsia="zh-CN"/>
          <w14:textOutline w14:w="5791" w14:cap="sq" w14:cmpd="sng" w14:algn="ctr">
            <w14:solidFill>
              <w14:srgbClr w14:val="000000"/>
            </w14:solidFill>
            <w14:prstDash w14:val="solid"/>
            <w14:bevel/>
          </w14:textOutline>
        </w:rPr>
      </w:pPr>
      <w:bookmarkStart w:id="56" w:name="_Toc12080"/>
      <w:r>
        <w:rPr>
          <w:rFonts w:hint="eastAsia" w:ascii="宋体" w:hAnsi="宋体" w:eastAsia="宋体" w:cs="宋体"/>
          <w:color w:val="auto"/>
          <w:spacing w:val="8"/>
          <w:sz w:val="30"/>
          <w:szCs w:val="30"/>
          <w:highlight w:val="none"/>
          <w:lang w:val="en-US" w:eastAsia="zh-CN"/>
          <w14:textOutline w14:w="5791" w14:cap="sq" w14:cmpd="sng" w14:algn="ctr">
            <w14:solidFill>
              <w14:srgbClr w14:val="000000"/>
            </w14:solidFill>
            <w14:prstDash w14:val="solid"/>
            <w14:bevel/>
          </w14:textOutline>
        </w:rPr>
        <w:t>第二章</w:t>
      </w:r>
      <w:r>
        <w:rPr>
          <w:rFonts w:hint="eastAsia" w:ascii="宋体" w:hAnsi="宋体" w:eastAsia="宋体" w:cs="宋体"/>
          <w:color w:val="auto"/>
          <w:spacing w:val="8"/>
          <w:sz w:val="30"/>
          <w:szCs w:val="30"/>
          <w:highlight w:val="none"/>
        </w:rPr>
        <w:t xml:space="preserve">  </w:t>
      </w:r>
      <w:r>
        <w:rPr>
          <w:rFonts w:hint="eastAsia" w:ascii="宋体" w:hAnsi="宋体" w:eastAsia="宋体" w:cs="宋体"/>
          <w:color w:val="auto"/>
          <w:spacing w:val="8"/>
          <w:sz w:val="30"/>
          <w:szCs w:val="30"/>
          <w:highlight w:val="none"/>
          <w:lang w:val="en-US" w:eastAsia="zh-CN"/>
          <w14:textOutline w14:w="5791" w14:cap="sq" w14:cmpd="sng" w14:algn="ctr">
            <w14:solidFill>
              <w14:srgbClr w14:val="000000"/>
            </w14:solidFill>
            <w14:prstDash w14:val="solid"/>
            <w14:bevel/>
          </w14:textOutline>
        </w:rPr>
        <w:t>供应商须知</w:t>
      </w:r>
      <w:bookmarkEnd w:id="56"/>
    </w:p>
    <w:p w14:paraId="38A0ECD3">
      <w:pPr>
        <w:keepNext w:val="0"/>
        <w:keepLines w:val="0"/>
        <w:pageBreakBefore w:val="0"/>
        <w:widowControl w:val="0"/>
        <w:kinsoku w:val="0"/>
        <w:wordWrap/>
        <w:overflowPunct/>
        <w:topLinePunct w:val="0"/>
        <w:autoSpaceDE w:val="0"/>
        <w:autoSpaceDN w:val="0"/>
        <w:bidi w:val="0"/>
        <w:adjustRightInd w:val="0"/>
        <w:snapToGrid w:val="0"/>
        <w:spacing w:before="207" w:after="0" w:afterLines="169" w:afterAutospacing="0" w:line="219" w:lineRule="auto"/>
        <w:ind w:left="3984" w:leftChars="0" w:hanging="3984" w:hangingChars="1674"/>
        <w:jc w:val="center"/>
        <w:textAlignment w:val="baseline"/>
        <w:outlineLvl w:val="1"/>
        <w:rPr>
          <w:rFonts w:hint="eastAsia" w:ascii="宋体" w:hAnsi="宋体" w:eastAsia="宋体" w:cs="宋体"/>
          <w:color w:val="auto"/>
          <w:spacing w:val="-1"/>
          <w:sz w:val="24"/>
          <w:szCs w:val="24"/>
          <w:highlight w:val="none"/>
          <w14:textOutline w14:w="4356" w14:cap="sq" w14:cmpd="sng" w14:algn="ctr">
            <w14:solidFill>
              <w14:srgbClr w14:val="000000"/>
            </w14:solidFill>
            <w14:prstDash w14:val="solid"/>
            <w14:bevel/>
          </w14:textOutline>
        </w:rPr>
      </w:pPr>
      <w:bookmarkStart w:id="57" w:name="_Toc26082"/>
      <w:bookmarkStart w:id="58" w:name="_Toc9715"/>
      <w:bookmarkStart w:id="59" w:name="_Toc2280"/>
      <w:r>
        <w:rPr>
          <w:rFonts w:hint="eastAsia" w:ascii="宋体" w:hAnsi="宋体" w:eastAsia="宋体" w:cs="宋体"/>
          <w:color w:val="auto"/>
          <w:spacing w:val="-1"/>
          <w:sz w:val="24"/>
          <w:szCs w:val="24"/>
          <w:highlight w:val="none"/>
          <w14:textOutline w14:w="4356" w14:cap="sq" w14:cmpd="sng" w14:algn="ctr">
            <w14:solidFill>
              <w14:srgbClr w14:val="000000"/>
            </w14:solidFill>
            <w14:prstDash w14:val="solid"/>
            <w14:bevel/>
          </w14:textOutline>
        </w:rPr>
        <w:t>一、</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供应商</w:t>
      </w:r>
      <w:r>
        <w:rPr>
          <w:rFonts w:hint="eastAsia" w:ascii="宋体" w:hAnsi="宋体" w:eastAsia="宋体" w:cs="宋体"/>
          <w:color w:val="auto"/>
          <w:spacing w:val="-1"/>
          <w:sz w:val="24"/>
          <w:szCs w:val="24"/>
          <w:highlight w:val="none"/>
          <w14:textOutline w14:w="4356" w14:cap="sq" w14:cmpd="sng" w14:algn="ctr">
            <w14:solidFill>
              <w14:srgbClr w14:val="000000"/>
            </w14:solidFill>
            <w14:prstDash w14:val="solid"/>
            <w14:bevel/>
          </w14:textOutline>
        </w:rPr>
        <w:t>须知前附表</w:t>
      </w:r>
      <w:bookmarkEnd w:id="57"/>
      <w:bookmarkEnd w:id="58"/>
      <w:bookmarkEnd w:id="59"/>
    </w:p>
    <w:p w14:paraId="2A4208B2">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92" w:firstLineChars="200"/>
        <w:textAlignment w:val="baseline"/>
        <w:rPr>
          <w:rFonts w:hint="eastAsia" w:ascii="宋体" w:hAnsi="宋体" w:eastAsia="宋体" w:cs="宋体"/>
          <w:snapToGrid w:val="0"/>
          <w:color w:val="auto"/>
          <w:spacing w:val="3"/>
          <w:kern w:val="0"/>
          <w:sz w:val="24"/>
          <w:szCs w:val="24"/>
          <w:highlight w:val="none"/>
          <w:lang w:val="en-US" w:eastAsia="zh-CN" w:bidi="ar-SA"/>
        </w:rPr>
      </w:pPr>
      <w:r>
        <w:rPr>
          <w:rFonts w:hint="eastAsia" w:ascii="宋体" w:hAnsi="宋体" w:eastAsia="宋体" w:cs="宋体"/>
          <w:snapToGrid w:val="0"/>
          <w:color w:val="auto"/>
          <w:spacing w:val="3"/>
          <w:kern w:val="0"/>
          <w:sz w:val="24"/>
          <w:szCs w:val="24"/>
          <w:highlight w:val="none"/>
          <w:lang w:val="en-US" w:eastAsia="zh-CN" w:bidi="ar-SA"/>
        </w:rPr>
        <w:t>本表是对供应商须知的具体补充和修改，如有矛盾，均以本表为准。</w:t>
      </w:r>
    </w:p>
    <w:tbl>
      <w:tblPr>
        <w:tblStyle w:val="30"/>
        <w:tblpPr w:leftFromText="180" w:rightFromText="180" w:vertAnchor="text" w:horzAnchor="page" w:tblpXSpec="center" w:tblpY="83"/>
        <w:tblOverlap w:val="never"/>
        <w:tblW w:w="95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1313"/>
        <w:gridCol w:w="7447"/>
      </w:tblGrid>
      <w:tr w14:paraId="238DF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745" w:type="dxa"/>
            <w:vAlign w:val="center"/>
          </w:tcPr>
          <w:p w14:paraId="11705F1E">
            <w:pPr>
              <w:pageBreakBefore w:val="0"/>
              <w:widowControl w:val="0"/>
              <w:wordWrap/>
              <w:overflowPunct/>
              <w:topLinePunct w:val="0"/>
              <w:bidi w:val="0"/>
              <w:spacing w:before="56" w:line="219" w:lineRule="auto"/>
              <w:ind w:left="116"/>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序</w:t>
            </w:r>
            <w:r>
              <w:rPr>
                <w:rFonts w:hint="eastAsia" w:ascii="宋体" w:hAnsi="宋体" w:eastAsia="宋体" w:cs="宋体"/>
                <w:color w:val="auto"/>
                <w:spacing w:val="-3"/>
                <w:sz w:val="24"/>
                <w:szCs w:val="24"/>
                <w:highlight w:val="none"/>
                <w14:textOutline w14:w="4356" w14:cap="sq" w14:cmpd="sng" w14:algn="ctr">
                  <w14:solidFill>
                    <w14:srgbClr w14:val="000000"/>
                  </w14:solidFill>
                  <w14:prstDash w14:val="solid"/>
                  <w14:bevel/>
                </w14:textOutline>
              </w:rPr>
              <w:t>号</w:t>
            </w:r>
          </w:p>
        </w:tc>
        <w:tc>
          <w:tcPr>
            <w:tcW w:w="1313" w:type="dxa"/>
            <w:vAlign w:val="center"/>
          </w:tcPr>
          <w:p w14:paraId="76262ED9">
            <w:pPr>
              <w:keepNext w:val="0"/>
              <w:keepLines w:val="0"/>
              <w:pageBreakBefore w:val="0"/>
              <w:widowControl w:val="0"/>
              <w:kinsoku w:val="0"/>
              <w:wordWrap/>
              <w:overflowPunct/>
              <w:topLinePunct w:val="0"/>
              <w:autoSpaceDE w:val="0"/>
              <w:autoSpaceDN w:val="0"/>
              <w:bidi w:val="0"/>
              <w:adjustRightInd w:val="0"/>
              <w:snapToGrid w:val="0"/>
              <w:spacing w:line="240" w:lineRule="auto"/>
              <w:ind w:left="116"/>
              <w:jc w:val="center"/>
              <w:textAlignment w:val="baseline"/>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条目</w:t>
            </w:r>
          </w:p>
        </w:tc>
        <w:tc>
          <w:tcPr>
            <w:tcW w:w="7447" w:type="dxa"/>
            <w:vAlign w:val="center"/>
          </w:tcPr>
          <w:p w14:paraId="1FD5E298">
            <w:pPr>
              <w:pageBreakBefore w:val="0"/>
              <w:widowControl w:val="0"/>
              <w:wordWrap/>
              <w:overflowPunct/>
              <w:topLinePunct w:val="0"/>
              <w:bidi w:val="0"/>
              <w:spacing w:before="56" w:line="219" w:lineRule="auto"/>
              <w:ind w:left="3744" w:leftChars="0" w:hanging="3744" w:hangingChars="1872"/>
              <w:jc w:val="center"/>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t>内</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t>容</w:t>
            </w:r>
          </w:p>
        </w:tc>
      </w:tr>
      <w:tr w14:paraId="441B5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45" w:type="dxa"/>
          </w:tcPr>
          <w:p w14:paraId="0DAA9FC7">
            <w:pPr>
              <w:pageBreakBefore w:val="0"/>
              <w:widowControl w:val="0"/>
              <w:wordWrap/>
              <w:overflowPunct/>
              <w:topLinePunct w:val="0"/>
              <w:bidi w:val="0"/>
              <w:spacing w:before="116" w:line="184"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13" w:type="dxa"/>
            <w:vAlign w:val="center"/>
          </w:tcPr>
          <w:p w14:paraId="32E91C48">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项目名称及项目编号</w:t>
            </w:r>
          </w:p>
        </w:tc>
        <w:tc>
          <w:tcPr>
            <w:tcW w:w="7447" w:type="dxa"/>
            <w:vAlign w:val="center"/>
          </w:tcPr>
          <w:p w14:paraId="4621B4E2">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详见“第一章 磋商邀请”</w:t>
            </w:r>
          </w:p>
        </w:tc>
      </w:tr>
      <w:tr w14:paraId="1CCD5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745" w:type="dxa"/>
          </w:tcPr>
          <w:p w14:paraId="0EDC50E1">
            <w:pPr>
              <w:pageBreakBefore w:val="0"/>
              <w:widowControl w:val="0"/>
              <w:wordWrap/>
              <w:overflowPunct/>
              <w:topLinePunct w:val="0"/>
              <w:bidi w:val="0"/>
              <w:spacing w:before="118" w:line="184"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13" w:type="dxa"/>
            <w:vAlign w:val="center"/>
          </w:tcPr>
          <w:p w14:paraId="6A51538E">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采购人</w:t>
            </w:r>
          </w:p>
        </w:tc>
        <w:tc>
          <w:tcPr>
            <w:tcW w:w="7447" w:type="dxa"/>
            <w:vAlign w:val="center"/>
          </w:tcPr>
          <w:p w14:paraId="1AA097A4">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详见“第一章 磋商邀请”</w:t>
            </w:r>
          </w:p>
        </w:tc>
      </w:tr>
      <w:tr w14:paraId="62B13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45" w:type="dxa"/>
          </w:tcPr>
          <w:p w14:paraId="51C25931">
            <w:pPr>
              <w:pageBreakBefore w:val="0"/>
              <w:widowControl w:val="0"/>
              <w:wordWrap/>
              <w:overflowPunct/>
              <w:topLinePunct w:val="0"/>
              <w:bidi w:val="0"/>
              <w:spacing w:before="188" w:line="183"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313" w:type="dxa"/>
            <w:vAlign w:val="center"/>
          </w:tcPr>
          <w:p w14:paraId="52505A9F">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采购代理</w:t>
            </w:r>
          </w:p>
          <w:p w14:paraId="501CBF18">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机构</w:t>
            </w:r>
          </w:p>
        </w:tc>
        <w:tc>
          <w:tcPr>
            <w:tcW w:w="7447" w:type="dxa"/>
            <w:vAlign w:val="center"/>
          </w:tcPr>
          <w:p w14:paraId="0C3FB7FE">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详见“第一章 磋商邀请”</w:t>
            </w:r>
          </w:p>
        </w:tc>
      </w:tr>
      <w:tr w14:paraId="60A36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jc w:val="center"/>
        </w:trPr>
        <w:tc>
          <w:tcPr>
            <w:tcW w:w="745" w:type="dxa"/>
            <w:vAlign w:val="center"/>
          </w:tcPr>
          <w:p w14:paraId="421E1B63">
            <w:pPr>
              <w:pageBreakBefore w:val="0"/>
              <w:widowControl w:val="0"/>
              <w:wordWrap/>
              <w:overflowPunct/>
              <w:topLinePunct w:val="0"/>
              <w:bidi w:val="0"/>
              <w:spacing w:before="78" w:line="184"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313" w:type="dxa"/>
            <w:vAlign w:val="center"/>
          </w:tcPr>
          <w:p w14:paraId="2DB6C3C8">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eastAsia="zh-CN"/>
              </w:rPr>
              <w:t>联合体</w:t>
            </w:r>
            <w:r>
              <w:rPr>
                <w:rFonts w:hint="eastAsia" w:ascii="宋体" w:hAnsi="宋体" w:eastAsia="宋体" w:cs="宋体"/>
                <w:color w:val="auto"/>
                <w:spacing w:val="3"/>
                <w:sz w:val="24"/>
                <w:szCs w:val="24"/>
                <w:highlight w:val="none"/>
                <w:lang w:val="en-US" w:eastAsia="zh-CN"/>
              </w:rPr>
              <w:t>磋商</w:t>
            </w:r>
          </w:p>
        </w:tc>
        <w:tc>
          <w:tcPr>
            <w:tcW w:w="7447" w:type="dxa"/>
            <w:vAlign w:val="center"/>
          </w:tcPr>
          <w:p w14:paraId="556DE65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本项目是否接受联合体</w:t>
            </w:r>
            <w:r>
              <w:rPr>
                <w:rFonts w:hint="eastAsia" w:ascii="宋体" w:hAnsi="宋体" w:eastAsia="宋体" w:cs="宋体"/>
                <w:color w:val="auto"/>
                <w:spacing w:val="3"/>
                <w:sz w:val="24"/>
                <w:szCs w:val="24"/>
                <w:highlight w:val="none"/>
                <w:lang w:val="en-US" w:eastAsia="zh-CN"/>
              </w:rPr>
              <w:t>磋商</w:t>
            </w:r>
            <w:r>
              <w:rPr>
                <w:rFonts w:hint="eastAsia" w:ascii="宋体" w:hAnsi="宋体" w:eastAsia="宋体" w:cs="宋体"/>
                <w:color w:val="auto"/>
                <w:spacing w:val="3"/>
                <w:sz w:val="24"/>
                <w:szCs w:val="24"/>
                <w:highlight w:val="none"/>
                <w:lang w:eastAsia="zh-CN"/>
              </w:rPr>
              <w:t>：详见“第一章 磋商邀请</w:t>
            </w:r>
            <w:r>
              <w:rPr>
                <w:rFonts w:hint="eastAsia" w:ascii="宋体" w:hAnsi="宋体" w:eastAsia="宋体" w:cs="宋体"/>
                <w:color w:val="auto"/>
                <w:spacing w:val="2"/>
                <w:sz w:val="24"/>
                <w:szCs w:val="24"/>
                <w:highlight w:val="none"/>
                <w:lang w:eastAsia="zh-CN"/>
              </w:rPr>
              <w:t>”</w:t>
            </w:r>
          </w:p>
          <w:p w14:paraId="1327E13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(接受联合体的，除联</w:t>
            </w:r>
            <w:r>
              <w:rPr>
                <w:rFonts w:hint="eastAsia" w:ascii="宋体" w:hAnsi="宋体" w:eastAsia="宋体" w:cs="宋体"/>
                <w:color w:val="auto"/>
                <w:sz w:val="24"/>
                <w:szCs w:val="24"/>
                <w:highlight w:val="none"/>
                <w:lang w:eastAsia="zh-CN"/>
              </w:rPr>
              <w:t>合体协议和磋商文件特殊要求外，磋商文件中要求盖章或签字处仅需联合</w:t>
            </w:r>
            <w:r>
              <w:rPr>
                <w:rFonts w:hint="eastAsia" w:ascii="宋体" w:hAnsi="宋体" w:eastAsia="宋体" w:cs="宋体"/>
                <w:color w:val="auto"/>
                <w:spacing w:val="-1"/>
                <w:sz w:val="24"/>
                <w:szCs w:val="24"/>
                <w:highlight w:val="none"/>
                <w:lang w:eastAsia="zh-CN"/>
              </w:rPr>
              <w:t>体牵</w:t>
            </w:r>
            <w:r>
              <w:rPr>
                <w:rFonts w:hint="eastAsia" w:ascii="宋体" w:hAnsi="宋体" w:eastAsia="宋体" w:cs="宋体"/>
                <w:color w:val="auto"/>
                <w:spacing w:val="-2"/>
                <w:sz w:val="24"/>
                <w:szCs w:val="24"/>
                <w:highlight w:val="none"/>
                <w:lang w:eastAsia="zh-CN"/>
              </w:rPr>
              <w:t>头单位盖章或签字。）</w:t>
            </w:r>
          </w:p>
        </w:tc>
      </w:tr>
      <w:tr w14:paraId="70788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745" w:type="dxa"/>
            <w:vAlign w:val="center"/>
          </w:tcPr>
          <w:p w14:paraId="02763741">
            <w:pPr>
              <w:pageBreakBefore w:val="0"/>
              <w:widowControl w:val="0"/>
              <w:wordWrap/>
              <w:overflowPunct/>
              <w:topLinePunct w:val="0"/>
              <w:bidi w:val="0"/>
              <w:spacing w:before="152" w:line="182" w:lineRule="auto"/>
              <w:ind w:left="42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313" w:type="dxa"/>
            <w:vAlign w:val="center"/>
          </w:tcPr>
          <w:p w14:paraId="67F68A1A">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资格证明文件</w:t>
            </w:r>
          </w:p>
        </w:tc>
        <w:tc>
          <w:tcPr>
            <w:tcW w:w="7447" w:type="dxa"/>
            <w:vAlign w:val="center"/>
          </w:tcPr>
          <w:p w14:paraId="151D4D24">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详见“第一章 磋商邀请”</w:t>
            </w:r>
          </w:p>
        </w:tc>
      </w:tr>
      <w:tr w14:paraId="26888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745" w:type="dxa"/>
            <w:vAlign w:val="center"/>
          </w:tcPr>
          <w:p w14:paraId="681C27E4">
            <w:pPr>
              <w:pageBreakBefore w:val="0"/>
              <w:widowControl w:val="0"/>
              <w:wordWrap/>
              <w:overflowPunct/>
              <w:topLinePunct w:val="0"/>
              <w:bidi w:val="0"/>
              <w:spacing w:before="152" w:line="360" w:lineRule="auto"/>
              <w:ind w:left="423"/>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313" w:type="dxa"/>
            <w:shd w:val="clear" w:color="auto" w:fill="auto"/>
            <w:vAlign w:val="center"/>
          </w:tcPr>
          <w:p w14:paraId="5D1AD3A6">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磋商保证金</w:t>
            </w:r>
          </w:p>
        </w:tc>
        <w:tc>
          <w:tcPr>
            <w:tcW w:w="7447" w:type="dxa"/>
            <w:shd w:val="clear" w:color="auto" w:fill="auto"/>
            <w:vAlign w:val="center"/>
          </w:tcPr>
          <w:p w14:paraId="054DAAAA">
            <w:pPr>
              <w:adjustRightInd w:val="0"/>
              <w:snapToGrid w:val="0"/>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保证金：</w:t>
            </w:r>
            <w:r>
              <w:rPr>
                <w:rFonts w:hint="eastAsia" w:ascii="宋体" w:hAnsi="宋体" w:eastAsia="宋体" w:cs="宋体"/>
                <w:b/>
                <w:bCs/>
                <w:color w:val="auto"/>
                <w:kern w:val="0"/>
                <w:sz w:val="24"/>
                <w:szCs w:val="24"/>
                <w:highlight w:val="none"/>
                <w:lang w:val="en-US" w:eastAsia="zh-CN"/>
              </w:rPr>
              <w:t>叁仟元整</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3000</w:t>
            </w:r>
            <w:r>
              <w:rPr>
                <w:rFonts w:hint="eastAsia" w:ascii="宋体" w:hAnsi="宋体" w:eastAsia="宋体" w:cs="宋体"/>
                <w:bCs/>
                <w:color w:val="auto"/>
                <w:kern w:val="0"/>
                <w:sz w:val="24"/>
                <w:szCs w:val="24"/>
                <w:highlight w:val="none"/>
              </w:rPr>
              <w:t>元）</w:t>
            </w:r>
          </w:p>
          <w:p w14:paraId="285CDC5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本项目投标保证金应当采用支票、汇票、本票、网上银行转账或金融机构、担保机构出具的保函等非现金形式足额交纳。推荐投标人以网上银行</w:t>
            </w:r>
            <w:r>
              <w:rPr>
                <w:rFonts w:hint="eastAsia" w:ascii="宋体" w:hAnsi="宋体" w:eastAsia="宋体" w:cs="宋体"/>
                <w:bCs/>
                <w:color w:val="auto"/>
                <w:kern w:val="0"/>
                <w:sz w:val="24"/>
                <w:szCs w:val="24"/>
                <w:highlight w:val="none"/>
                <w:lang w:val="en-US" w:eastAsia="zh-CN"/>
              </w:rPr>
              <w:t>转账</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保证金</w:t>
            </w:r>
            <w:r>
              <w:rPr>
                <w:rFonts w:hint="eastAsia" w:ascii="宋体" w:hAnsi="宋体" w:eastAsia="宋体" w:cs="宋体"/>
                <w:bCs/>
                <w:color w:val="auto"/>
                <w:kern w:val="0"/>
                <w:sz w:val="24"/>
                <w:szCs w:val="24"/>
                <w:highlight w:val="none"/>
              </w:rPr>
              <w:t>咨询热线：</w:t>
            </w:r>
            <w:r>
              <w:rPr>
                <w:rFonts w:hint="eastAsia" w:ascii="宋体" w:hAnsi="宋体" w:eastAsia="宋体" w:cs="宋体"/>
                <w:color w:val="auto"/>
                <w:kern w:val="0"/>
                <w:sz w:val="24"/>
                <w:szCs w:val="24"/>
                <w:highlight w:val="none"/>
              </w:rPr>
              <w:t>0793-833</w:t>
            </w:r>
            <w:r>
              <w:rPr>
                <w:rFonts w:hint="eastAsia" w:ascii="宋体" w:hAnsi="宋体" w:eastAsia="宋体" w:cs="宋体"/>
                <w:color w:val="auto"/>
                <w:kern w:val="0"/>
                <w:sz w:val="24"/>
                <w:szCs w:val="24"/>
                <w:highlight w:val="none"/>
                <w:lang w:val="en-US" w:eastAsia="zh-CN"/>
              </w:rPr>
              <w:t>0665</w:t>
            </w:r>
            <w:r>
              <w:rPr>
                <w:rFonts w:hint="eastAsia" w:ascii="宋体" w:hAnsi="宋体" w:eastAsia="宋体" w:cs="宋体"/>
                <w:bCs/>
                <w:color w:val="auto"/>
                <w:kern w:val="0"/>
                <w:sz w:val="24"/>
                <w:szCs w:val="24"/>
                <w:highlight w:val="none"/>
              </w:rPr>
              <w:t>）或者</w:t>
            </w:r>
            <w:r>
              <w:rPr>
                <w:rFonts w:hint="eastAsia" w:ascii="宋体" w:hAnsi="宋体" w:eastAsia="宋体" w:cs="宋体"/>
                <w:b/>
                <w:bCs w:val="0"/>
                <w:color w:val="auto"/>
                <w:kern w:val="0"/>
                <w:sz w:val="24"/>
                <w:szCs w:val="24"/>
                <w:highlight w:val="none"/>
              </w:rPr>
              <w:t>上饶市阳光采购服务平台出具的电子保函</w:t>
            </w:r>
            <w:r>
              <w:rPr>
                <w:rFonts w:hint="eastAsia" w:ascii="宋体" w:hAnsi="宋体" w:eastAsia="宋体" w:cs="宋体"/>
                <w:bCs/>
                <w:color w:val="auto"/>
                <w:kern w:val="0"/>
                <w:sz w:val="24"/>
                <w:szCs w:val="24"/>
                <w:highlight w:val="none"/>
              </w:rPr>
              <w:t>形式缴纳投标保证金（电子保函咨询热线：</w:t>
            </w:r>
            <w:r>
              <w:rPr>
                <w:rFonts w:hint="eastAsia" w:ascii="宋体" w:hAnsi="宋体" w:eastAsia="宋体" w:cs="宋体"/>
                <w:bCs/>
                <w:color w:val="auto"/>
                <w:kern w:val="0"/>
                <w:sz w:val="24"/>
                <w:szCs w:val="24"/>
                <w:highlight w:val="none"/>
                <w:lang w:val="en-US" w:eastAsia="zh-CN"/>
              </w:rPr>
              <w:t>0793-8330883</w:t>
            </w:r>
            <w:r>
              <w:rPr>
                <w:rFonts w:hint="eastAsia" w:ascii="宋体" w:hAnsi="宋体" w:eastAsia="宋体" w:cs="宋体"/>
                <w:bCs/>
                <w:color w:val="auto"/>
                <w:kern w:val="0"/>
                <w:sz w:val="24"/>
                <w:szCs w:val="24"/>
                <w:highlight w:val="none"/>
              </w:rPr>
              <w:t>）。采用其他方式缴纳投标保证金的需提前与采购代理机构联系，联系方式详见磋商</w:t>
            </w:r>
            <w:r>
              <w:rPr>
                <w:rFonts w:hint="eastAsia" w:ascii="宋体" w:hAnsi="宋体" w:eastAsia="宋体" w:cs="宋体"/>
                <w:bCs/>
                <w:color w:val="auto"/>
                <w:kern w:val="0"/>
                <w:sz w:val="24"/>
                <w:szCs w:val="24"/>
                <w:highlight w:val="none"/>
                <w:lang w:eastAsia="zh-CN"/>
              </w:rPr>
              <w:t>文件</w:t>
            </w:r>
            <w:r>
              <w:rPr>
                <w:rFonts w:hint="eastAsia" w:ascii="宋体" w:hAnsi="宋体" w:eastAsia="宋体" w:cs="宋体"/>
                <w:bCs/>
                <w:color w:val="auto"/>
                <w:kern w:val="0"/>
                <w:sz w:val="24"/>
                <w:szCs w:val="24"/>
                <w:highlight w:val="none"/>
              </w:rPr>
              <w:t>。</w:t>
            </w:r>
          </w:p>
          <w:p w14:paraId="0875629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1.采用</w:t>
            </w:r>
            <w:r>
              <w:rPr>
                <w:rFonts w:hint="eastAsia" w:ascii="宋体" w:hAnsi="宋体" w:eastAsia="宋体" w:cs="宋体"/>
                <w:b/>
                <w:bCs/>
                <w:color w:val="auto"/>
                <w:spacing w:val="3"/>
                <w:sz w:val="24"/>
                <w:szCs w:val="24"/>
                <w:highlight w:val="none"/>
                <w:lang w:eastAsia="zh-CN"/>
              </w:rPr>
              <w:t>银行</w:t>
            </w:r>
            <w:r>
              <w:rPr>
                <w:rFonts w:hint="eastAsia" w:ascii="宋体" w:hAnsi="宋体" w:eastAsia="宋体" w:cs="宋体"/>
                <w:b/>
                <w:bCs/>
                <w:color w:val="auto"/>
                <w:kern w:val="0"/>
                <w:sz w:val="24"/>
                <w:szCs w:val="24"/>
                <w:highlight w:val="none"/>
              </w:rPr>
              <w:t>电汇、转账、网上银行转账形式：</w:t>
            </w:r>
          </w:p>
          <w:p w14:paraId="4E3AAB5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应在</w:t>
            </w:r>
            <w:r>
              <w:rPr>
                <w:rFonts w:hint="eastAsia" w:ascii="宋体" w:hAnsi="宋体" w:eastAsia="宋体" w:cs="宋体"/>
                <w:color w:val="auto"/>
                <w:kern w:val="0"/>
                <w:sz w:val="24"/>
                <w:szCs w:val="24"/>
                <w:highlight w:val="none"/>
                <w:lang w:val="en-US" w:eastAsia="zh-CN"/>
              </w:rPr>
              <w:t>开标截止时间</w:t>
            </w:r>
            <w:r>
              <w:rPr>
                <w:rFonts w:hint="eastAsia" w:ascii="宋体" w:hAnsi="宋体" w:eastAsia="宋体" w:cs="宋体"/>
                <w:color w:val="auto"/>
                <w:kern w:val="0"/>
                <w:sz w:val="24"/>
                <w:szCs w:val="24"/>
                <w:highlight w:val="none"/>
              </w:rPr>
              <w:t>前将投标保证金</w:t>
            </w:r>
            <w:r>
              <w:rPr>
                <w:rFonts w:hint="eastAsia" w:ascii="宋体" w:hAnsi="宋体" w:eastAsia="宋体" w:cs="宋体"/>
                <w:color w:val="auto"/>
                <w:kern w:val="0"/>
                <w:sz w:val="24"/>
                <w:szCs w:val="24"/>
                <w:highlight w:val="none"/>
                <w:lang w:eastAsia="zh-CN"/>
              </w:rPr>
              <w:t>缴纳</w:t>
            </w:r>
            <w:r>
              <w:rPr>
                <w:rFonts w:hint="eastAsia" w:ascii="宋体" w:hAnsi="宋体" w:eastAsia="宋体" w:cs="宋体"/>
                <w:color w:val="auto"/>
                <w:kern w:val="0"/>
                <w:sz w:val="24"/>
                <w:szCs w:val="24"/>
                <w:highlight w:val="none"/>
              </w:rPr>
              <w:t>至指定账户中，投标保证金的交付时间以收款人银行实际</w:t>
            </w:r>
            <w:r>
              <w:rPr>
                <w:rFonts w:hint="eastAsia" w:ascii="宋体" w:hAnsi="宋体" w:eastAsia="宋体" w:cs="宋体"/>
                <w:color w:val="auto"/>
                <w:kern w:val="0"/>
                <w:sz w:val="24"/>
                <w:szCs w:val="24"/>
                <w:highlight w:val="none"/>
                <w:lang w:val="en-US" w:eastAsia="zh-CN"/>
              </w:rPr>
              <w:t>到账</w:t>
            </w:r>
            <w:r>
              <w:rPr>
                <w:rFonts w:hint="eastAsia" w:ascii="宋体" w:hAnsi="宋体" w:eastAsia="宋体" w:cs="宋体"/>
                <w:color w:val="auto"/>
                <w:kern w:val="0"/>
                <w:sz w:val="24"/>
                <w:szCs w:val="24"/>
                <w:highlight w:val="none"/>
              </w:rPr>
              <w:t>为准。</w:t>
            </w:r>
          </w:p>
          <w:p w14:paraId="54B4981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开户行：投标人自行从系统选取</w:t>
            </w:r>
          </w:p>
          <w:p w14:paraId="5E7FDD7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w:t>
            </w:r>
            <w:r>
              <w:rPr>
                <w:rFonts w:hint="eastAsia" w:ascii="宋体" w:hAnsi="宋体" w:eastAsia="宋体" w:cs="宋体"/>
                <w:color w:val="auto"/>
                <w:spacing w:val="3"/>
                <w:sz w:val="24"/>
                <w:szCs w:val="24"/>
                <w:highlight w:val="none"/>
                <w:lang w:eastAsia="zh-CN"/>
              </w:rPr>
              <w:t>账号</w:t>
            </w:r>
            <w:r>
              <w:rPr>
                <w:rFonts w:hint="eastAsia" w:ascii="宋体" w:hAnsi="宋体" w:eastAsia="宋体" w:cs="宋体"/>
                <w:color w:val="auto"/>
                <w:kern w:val="0"/>
                <w:sz w:val="24"/>
                <w:szCs w:val="24"/>
                <w:highlight w:val="none"/>
              </w:rPr>
              <w:t>：投标人自行从系统中生成</w:t>
            </w:r>
          </w:p>
          <w:p w14:paraId="5552DFA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备注：（1）本</w:t>
            </w:r>
            <w:r>
              <w:rPr>
                <w:rFonts w:hint="eastAsia" w:ascii="宋体" w:hAnsi="宋体" w:eastAsia="宋体" w:cs="宋体"/>
                <w:bCs/>
                <w:color w:val="auto"/>
                <w:kern w:val="0"/>
                <w:sz w:val="24"/>
                <w:szCs w:val="24"/>
                <w:highlight w:val="none"/>
              </w:rPr>
              <w:t>项目</w:t>
            </w:r>
            <w:r>
              <w:rPr>
                <w:rFonts w:hint="eastAsia" w:ascii="宋体" w:hAnsi="宋体" w:eastAsia="宋体" w:cs="宋体"/>
                <w:color w:val="auto"/>
                <w:kern w:val="0"/>
                <w:sz w:val="24"/>
                <w:szCs w:val="24"/>
                <w:highlight w:val="none"/>
              </w:rPr>
              <w:t>转账采用虚拟子账户方式网上交纳保证金的，投标人应当按照交易系统工作流程中保证金内容操作，在系统中获取保证金信息及账号，在规定的到账时间之前从投标人交易系统内填写的用户库中基本户银行账户一次性足额转账到达该账号中，未按照上述约定要求缴纳投标保证金的将视为无效，由投标人自行负责。</w:t>
            </w:r>
          </w:p>
          <w:p w14:paraId="0CC3A65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（2）投标人应</w:t>
            </w:r>
            <w:r>
              <w:rPr>
                <w:rFonts w:hint="eastAsia" w:ascii="宋体" w:hAnsi="宋体" w:eastAsia="宋体" w:cs="宋体"/>
                <w:color w:val="auto"/>
                <w:kern w:val="0"/>
                <w:sz w:val="24"/>
                <w:szCs w:val="24"/>
                <w:highlight w:val="none"/>
                <w:lang w:eastAsia="zh-CN"/>
              </w:rPr>
              <w:t>登录</w:t>
            </w:r>
            <w:r>
              <w:rPr>
                <w:rFonts w:hint="eastAsia" w:ascii="宋体" w:hAnsi="宋体" w:eastAsia="宋体" w:cs="宋体"/>
                <w:color w:val="auto"/>
                <w:kern w:val="0"/>
                <w:sz w:val="24"/>
                <w:szCs w:val="24"/>
                <w:highlight w:val="none"/>
              </w:rPr>
              <w:t>上饶市阳光采购服务平台，仔细检查用户库中本单位的基本户银行账户是否填写正确和规范。账户不正确、不规范的单位，请尽快修改正确并完善，以免影响正常投标。</w:t>
            </w:r>
          </w:p>
          <w:p w14:paraId="289D93A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（3）缴纳后投标人</w:t>
            </w:r>
            <w:r>
              <w:rPr>
                <w:rFonts w:hint="eastAsia" w:ascii="宋体" w:hAnsi="宋体" w:eastAsia="宋体" w:cs="宋体"/>
                <w:bCs/>
                <w:color w:val="auto"/>
                <w:kern w:val="0"/>
                <w:sz w:val="24"/>
                <w:szCs w:val="24"/>
                <w:highlight w:val="none"/>
              </w:rPr>
              <w:t>必须</w:t>
            </w:r>
            <w:r>
              <w:rPr>
                <w:rFonts w:hint="eastAsia" w:ascii="宋体" w:hAnsi="宋体" w:eastAsia="宋体" w:cs="宋体"/>
                <w:color w:val="auto"/>
                <w:kern w:val="0"/>
                <w:sz w:val="24"/>
                <w:szCs w:val="24"/>
                <w:highlight w:val="none"/>
              </w:rPr>
              <w:t>返回缴纳页面查询是否缴纳成功，投标资格以系统认定的为准。</w:t>
            </w:r>
          </w:p>
          <w:p w14:paraId="7A88280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采用</w:t>
            </w:r>
            <w:r>
              <w:rPr>
                <w:rFonts w:hint="eastAsia" w:ascii="宋体" w:hAnsi="宋体" w:eastAsia="宋体" w:cs="宋体"/>
                <w:b/>
                <w:bCs/>
                <w:color w:val="auto"/>
                <w:kern w:val="0"/>
                <w:sz w:val="24"/>
                <w:szCs w:val="24"/>
                <w:highlight w:val="none"/>
                <w:lang w:val="en-US" w:eastAsia="zh-CN"/>
              </w:rPr>
              <w:t>电子</w:t>
            </w:r>
            <w:r>
              <w:rPr>
                <w:rFonts w:hint="eastAsia" w:ascii="宋体" w:hAnsi="宋体" w:eastAsia="宋体" w:cs="宋体"/>
                <w:b/>
                <w:bCs/>
                <w:color w:val="auto"/>
                <w:spacing w:val="3"/>
                <w:sz w:val="24"/>
                <w:szCs w:val="24"/>
                <w:highlight w:val="none"/>
                <w:lang w:eastAsia="zh-CN"/>
              </w:rPr>
              <w:t>保函</w:t>
            </w:r>
            <w:r>
              <w:rPr>
                <w:rFonts w:hint="eastAsia" w:ascii="宋体" w:hAnsi="宋体" w:eastAsia="宋体" w:cs="宋体"/>
                <w:b/>
                <w:bCs/>
                <w:color w:val="auto"/>
                <w:kern w:val="0"/>
                <w:sz w:val="24"/>
                <w:szCs w:val="24"/>
                <w:highlight w:val="none"/>
              </w:rPr>
              <w:t>形式：</w:t>
            </w:r>
          </w:p>
          <w:p w14:paraId="6465999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4"/>
                <w:szCs w:val="24"/>
                <w:highlight w:val="none"/>
                <w:lang w:val="en-US" w:eastAsia="zh-CN"/>
              </w:rPr>
              <w:t>采</w:t>
            </w:r>
            <w:r>
              <w:rPr>
                <w:rFonts w:hint="eastAsia" w:ascii="宋体" w:hAnsi="宋体" w:eastAsia="宋体" w:cs="宋体"/>
                <w:color w:val="auto"/>
                <w:kern w:val="0"/>
                <w:sz w:val="24"/>
                <w:szCs w:val="24"/>
                <w:highlight w:val="none"/>
              </w:rPr>
              <w:t>用电子保函的:投标人可</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rPr>
              <w:t>上饶市阳光采购服务平台</w:t>
            </w:r>
            <w:r>
              <w:rPr>
                <w:rFonts w:hint="eastAsia" w:ascii="宋体" w:hAnsi="宋体" w:eastAsia="宋体" w:cs="宋体"/>
                <w:color w:val="auto"/>
                <w:kern w:val="0"/>
                <w:sz w:val="24"/>
                <w:szCs w:val="24"/>
                <w:highlight w:val="none"/>
                <w:lang w:val="en-US" w:eastAsia="zh-CN"/>
              </w:rPr>
              <w:t>金融服务系统（网址：</w:t>
            </w:r>
            <w:r>
              <w:rPr>
                <w:rFonts w:hint="eastAsia" w:ascii="宋体" w:hAnsi="宋体" w:eastAsia="宋体" w:cs="宋体"/>
                <w:color w:val="auto"/>
                <w:spacing w:val="3"/>
                <w:sz w:val="24"/>
                <w:szCs w:val="24"/>
                <w:highlight w:val="none"/>
                <w:lang w:val="en-US" w:eastAsia="zh-CN"/>
              </w:rPr>
              <w:t>https</w:t>
            </w:r>
            <w:r>
              <w:rPr>
                <w:rFonts w:hint="eastAsia" w:ascii="宋体" w:hAnsi="宋体" w:eastAsia="宋体" w:cs="宋体"/>
                <w:color w:val="auto"/>
                <w:kern w:val="0"/>
                <w:sz w:val="24"/>
                <w:szCs w:val="24"/>
                <w:highlight w:val="none"/>
                <w:lang w:val="en-US" w:eastAsia="zh-CN"/>
              </w:rPr>
              <w:t>://www.ygcgfwpt.com/epoint-financeplatform-web/finance/index ）内开具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投标文件中提供</w:t>
            </w:r>
            <w:r>
              <w:rPr>
                <w:rFonts w:hint="eastAsia" w:ascii="宋体" w:hAnsi="宋体" w:eastAsia="宋体" w:cs="宋体"/>
                <w:bCs/>
                <w:color w:val="auto"/>
                <w:kern w:val="0"/>
                <w:sz w:val="24"/>
                <w:szCs w:val="24"/>
                <w:highlight w:val="none"/>
                <w:lang w:val="en-US" w:eastAsia="zh-CN"/>
              </w:rPr>
              <w:t>保函</w:t>
            </w:r>
            <w:r>
              <w:rPr>
                <w:rFonts w:hint="eastAsia" w:ascii="宋体" w:hAnsi="宋体" w:eastAsia="宋体" w:cs="宋体"/>
                <w:color w:val="auto"/>
                <w:kern w:val="0"/>
                <w:sz w:val="24"/>
                <w:szCs w:val="24"/>
                <w:highlight w:val="none"/>
                <w:lang w:val="en-US" w:eastAsia="zh-CN"/>
              </w:rPr>
              <w:t>材料</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2"/>
                <w:szCs w:val="22"/>
                <w:highlight w:val="none"/>
                <w:lang w:eastAsia="zh-CN"/>
              </w:rPr>
              <w:t>（</w:t>
            </w:r>
            <w:r>
              <w:rPr>
                <w:rFonts w:hint="eastAsia" w:ascii="宋体" w:hAnsi="宋体" w:eastAsia="宋体" w:cs="宋体"/>
                <w:b/>
                <w:bCs/>
                <w:color w:val="auto"/>
                <w:kern w:val="0"/>
                <w:sz w:val="21"/>
                <w:szCs w:val="21"/>
                <w:highlight w:val="none"/>
                <w:lang w:val="en-US" w:eastAsia="zh-CN"/>
              </w:rPr>
              <w:t>注：开具投标保函的保费应从投标人对公账户交纳。不同投标人委托同一单位或个人缴纳保费等依法按视为串通投标处理。</w:t>
            </w:r>
            <w:r>
              <w:rPr>
                <w:rFonts w:hint="eastAsia" w:ascii="宋体" w:hAnsi="宋体" w:eastAsia="宋体" w:cs="宋体"/>
                <w:b/>
                <w:bCs/>
                <w:color w:val="auto"/>
                <w:kern w:val="0"/>
                <w:sz w:val="21"/>
                <w:szCs w:val="21"/>
                <w:highlight w:val="yellow"/>
                <w:lang w:val="en-US" w:eastAsia="zh-CN"/>
              </w:rPr>
              <w:t>（告知项无须提供材料）</w:t>
            </w:r>
            <w:r>
              <w:rPr>
                <w:rFonts w:hint="eastAsia" w:ascii="宋体" w:hAnsi="宋体" w:eastAsia="宋体" w:cs="宋体"/>
                <w:b/>
                <w:bCs/>
                <w:color w:val="auto"/>
                <w:kern w:val="0"/>
                <w:sz w:val="21"/>
                <w:szCs w:val="21"/>
                <w:highlight w:val="none"/>
                <w:lang w:eastAsia="zh-CN"/>
              </w:rPr>
              <w:t>）</w:t>
            </w:r>
          </w:p>
          <w:p w14:paraId="51A0074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3、采用支票、汇票、本票等形式：</w:t>
            </w:r>
          </w:p>
          <w:p w14:paraId="68381432">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投标文件中</w:t>
            </w:r>
            <w:r>
              <w:rPr>
                <w:rFonts w:hint="eastAsia" w:ascii="宋体" w:hAnsi="宋体" w:eastAsia="宋体" w:cs="宋体"/>
                <w:bCs/>
                <w:color w:val="auto"/>
                <w:kern w:val="0"/>
                <w:sz w:val="24"/>
                <w:szCs w:val="24"/>
                <w:highlight w:val="none"/>
                <w:lang w:val="en-US" w:eastAsia="zh-CN"/>
              </w:rPr>
              <w:t>提供</w:t>
            </w:r>
            <w:r>
              <w:rPr>
                <w:rFonts w:hint="eastAsia" w:ascii="宋体" w:hAnsi="宋体" w:eastAsia="宋体" w:cs="宋体"/>
                <w:color w:val="auto"/>
                <w:kern w:val="0"/>
                <w:sz w:val="24"/>
                <w:szCs w:val="24"/>
                <w:highlight w:val="none"/>
                <w:lang w:val="en-US" w:eastAsia="zh-CN"/>
              </w:rPr>
              <w:t>符合国家规定的相应凭证佐证，</w:t>
            </w:r>
            <w:r>
              <w:rPr>
                <w:rFonts w:hint="eastAsia" w:ascii="宋体" w:hAnsi="宋体" w:eastAsia="宋体" w:cs="宋体"/>
                <w:color w:val="auto"/>
                <w:kern w:val="0"/>
                <w:sz w:val="24"/>
                <w:szCs w:val="24"/>
                <w:highlight w:val="yellow"/>
                <w:lang w:val="en-US" w:eastAsia="zh-CN"/>
              </w:rPr>
              <w:t>原件须在投标截止时间后20分钟内由法定授权委托代理人递交至开标现场（需携带授权委托书及身份证原件佐证，且现场递交人员须与投标文件中委托代理人一致）</w:t>
            </w:r>
            <w:r>
              <w:rPr>
                <w:rFonts w:hint="eastAsia" w:ascii="宋体" w:hAnsi="宋体" w:eastAsia="宋体" w:cs="宋体"/>
                <w:color w:val="auto"/>
                <w:kern w:val="0"/>
                <w:sz w:val="24"/>
                <w:szCs w:val="24"/>
                <w:highlight w:val="none"/>
                <w:lang w:val="en-US" w:eastAsia="zh-CN"/>
              </w:rPr>
              <w:t>，逾时不予接收，视为未提供。</w:t>
            </w:r>
          </w:p>
        </w:tc>
      </w:tr>
      <w:tr w14:paraId="262AA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745" w:type="dxa"/>
            <w:vAlign w:val="center"/>
          </w:tcPr>
          <w:p w14:paraId="519A61B5">
            <w:pPr>
              <w:pageBreakBefore w:val="0"/>
              <w:widowControl w:val="0"/>
              <w:wordWrap/>
              <w:overflowPunct/>
              <w:topLinePunct w:val="0"/>
              <w:bidi w:val="0"/>
              <w:spacing w:before="152" w:line="240" w:lineRule="auto"/>
              <w:ind w:left="423"/>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313" w:type="dxa"/>
            <w:shd w:val="clear" w:color="auto" w:fill="auto"/>
            <w:vAlign w:val="center"/>
          </w:tcPr>
          <w:p w14:paraId="44B56FDA">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磋商有效期</w:t>
            </w:r>
          </w:p>
        </w:tc>
        <w:tc>
          <w:tcPr>
            <w:tcW w:w="7447" w:type="dxa"/>
            <w:shd w:val="clear" w:color="auto" w:fill="auto"/>
            <w:vAlign w:val="center"/>
          </w:tcPr>
          <w:p w14:paraId="43BA4B7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pacing w:val="-1"/>
                <w:sz w:val="24"/>
                <w:szCs w:val="24"/>
                <w:highlight w:val="none"/>
                <w:lang w:eastAsia="zh-CN"/>
              </w:rPr>
              <w:t>从提交响应文件的截止之日起</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1"/>
                <w:sz w:val="24"/>
                <w:szCs w:val="24"/>
                <w:highlight w:val="none"/>
                <w:u w:val="single"/>
                <w:lang w:eastAsia="zh-CN"/>
              </w:rPr>
              <w:t>9</w:t>
            </w:r>
            <w:r>
              <w:rPr>
                <w:rFonts w:hint="eastAsia" w:ascii="宋体" w:hAnsi="宋体" w:eastAsia="宋体" w:cs="宋体"/>
                <w:color w:val="auto"/>
                <w:spacing w:val="-2"/>
                <w:sz w:val="24"/>
                <w:szCs w:val="24"/>
                <w:highlight w:val="none"/>
                <w:u w:val="single"/>
                <w:lang w:eastAsia="zh-CN"/>
              </w:rPr>
              <w:t>0</w:t>
            </w:r>
            <w:r>
              <w:rPr>
                <w:rFonts w:hint="eastAsia" w:ascii="宋体" w:hAnsi="宋体" w:eastAsia="宋体" w:cs="宋体"/>
                <w:color w:val="auto"/>
                <w:spacing w:val="-46"/>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天</w:t>
            </w:r>
          </w:p>
        </w:tc>
      </w:tr>
      <w:tr w14:paraId="63856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745" w:type="dxa"/>
            <w:vAlign w:val="center"/>
          </w:tcPr>
          <w:p w14:paraId="6E51E810">
            <w:pPr>
              <w:pageBreakBefore w:val="0"/>
              <w:widowControl w:val="0"/>
              <w:wordWrap/>
              <w:overflowPunct/>
              <w:topLinePunct w:val="0"/>
              <w:bidi w:val="0"/>
              <w:spacing w:before="152" w:line="240" w:lineRule="auto"/>
              <w:ind w:left="423"/>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313" w:type="dxa"/>
            <w:shd w:val="clear" w:color="auto" w:fill="auto"/>
            <w:vAlign w:val="center"/>
          </w:tcPr>
          <w:p w14:paraId="7C3C9CAD">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提交响应文件截止时间</w:t>
            </w:r>
          </w:p>
        </w:tc>
        <w:tc>
          <w:tcPr>
            <w:tcW w:w="7447" w:type="dxa"/>
            <w:shd w:val="clear" w:color="auto" w:fill="auto"/>
            <w:vAlign w:val="center"/>
          </w:tcPr>
          <w:p w14:paraId="16B9386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提交响应文件截止时间：详见“第一章 磋商邀请”</w:t>
            </w:r>
          </w:p>
          <w:p w14:paraId="44422A4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eastAsia="zh-CN"/>
              </w:rPr>
              <w:t>加盖电子签章的电子版响应文件必须在提交响应文件截止时间</w:t>
            </w:r>
            <w:r>
              <w:rPr>
                <w:rFonts w:hint="eastAsia" w:ascii="宋体" w:hAnsi="宋体" w:eastAsia="宋体" w:cs="宋体"/>
                <w:color w:val="auto"/>
                <w:spacing w:val="-1"/>
                <w:sz w:val="24"/>
                <w:szCs w:val="24"/>
                <w:highlight w:val="none"/>
                <w:lang w:eastAsia="zh-CN"/>
              </w:rPr>
              <w:t>前上传到上饶市阳光采购服务平台</w:t>
            </w:r>
            <w:r>
              <w:rPr>
                <w:rFonts w:hint="eastAsia" w:ascii="宋体" w:hAnsi="宋体" w:eastAsia="宋体" w:cs="宋体"/>
                <w:color w:val="auto"/>
                <w:spacing w:val="-4"/>
                <w:sz w:val="24"/>
                <w:szCs w:val="24"/>
                <w:highlight w:val="none"/>
                <w:lang w:eastAsia="zh-CN"/>
              </w:rPr>
              <w:t>；供应商未</w:t>
            </w:r>
            <w:r>
              <w:rPr>
                <w:rFonts w:hint="eastAsia" w:ascii="宋体" w:hAnsi="宋体" w:eastAsia="宋体" w:cs="宋体"/>
                <w:color w:val="auto"/>
                <w:spacing w:val="-4"/>
                <w:sz w:val="24"/>
                <w:szCs w:val="24"/>
                <w:highlight w:val="none"/>
                <w:lang w:val="en-US" w:eastAsia="zh-CN"/>
              </w:rPr>
              <w:t>在</w:t>
            </w:r>
            <w:r>
              <w:rPr>
                <w:rFonts w:hint="eastAsia" w:ascii="宋体" w:hAnsi="宋体" w:eastAsia="宋体" w:cs="宋体"/>
                <w:color w:val="auto"/>
                <w:spacing w:val="-4"/>
                <w:sz w:val="24"/>
                <w:szCs w:val="24"/>
                <w:highlight w:val="none"/>
                <w:lang w:eastAsia="zh-CN"/>
              </w:rPr>
              <w:t>提交响应文件截止时间前进行网上签到的或</w:t>
            </w:r>
            <w:r>
              <w:rPr>
                <w:rFonts w:hint="eastAsia" w:ascii="宋体" w:hAnsi="宋体" w:eastAsia="宋体" w:cs="宋体"/>
                <w:color w:val="auto"/>
                <w:spacing w:val="-5"/>
                <w:sz w:val="24"/>
                <w:szCs w:val="24"/>
                <w:highlight w:val="none"/>
                <w:lang w:eastAsia="zh-CN"/>
              </w:rPr>
              <w:t>未在规定</w:t>
            </w:r>
            <w:r>
              <w:rPr>
                <w:rFonts w:hint="eastAsia" w:ascii="宋体" w:hAnsi="宋体" w:eastAsia="宋体" w:cs="宋体"/>
                <w:color w:val="auto"/>
                <w:spacing w:val="-2"/>
                <w:sz w:val="24"/>
                <w:szCs w:val="24"/>
                <w:highlight w:val="none"/>
                <w:lang w:eastAsia="zh-CN"/>
              </w:rPr>
              <w:t>时间内</w:t>
            </w:r>
            <w:r>
              <w:rPr>
                <w:rFonts w:hint="eastAsia" w:ascii="宋体" w:hAnsi="宋体" w:eastAsia="宋体" w:cs="宋体"/>
                <w:color w:val="auto"/>
                <w:spacing w:val="-2"/>
                <w:sz w:val="24"/>
                <w:szCs w:val="24"/>
                <w:highlight w:val="none"/>
                <w:lang w:val="en-US" w:eastAsia="zh-CN"/>
              </w:rPr>
              <w:t>使用</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CA</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数字证</w:t>
            </w:r>
            <w:r>
              <w:rPr>
                <w:rFonts w:hint="eastAsia" w:ascii="宋体" w:hAnsi="宋体" w:eastAsia="宋体" w:cs="宋体"/>
                <w:color w:val="auto"/>
                <w:spacing w:val="-5"/>
                <w:sz w:val="24"/>
                <w:szCs w:val="24"/>
                <w:highlight w:val="none"/>
                <w:lang w:eastAsia="zh-CN"/>
              </w:rPr>
              <w:t>书</w:t>
            </w:r>
            <w:r>
              <w:rPr>
                <w:rFonts w:hint="eastAsia" w:ascii="宋体" w:hAnsi="宋体" w:eastAsia="宋体" w:cs="宋体"/>
                <w:color w:val="auto"/>
                <w:spacing w:val="-2"/>
                <w:sz w:val="24"/>
                <w:szCs w:val="24"/>
                <w:highlight w:val="none"/>
                <w:lang w:eastAsia="zh-CN"/>
              </w:rPr>
              <w:t>完成解密响应文件的</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响应</w:t>
            </w:r>
            <w:r>
              <w:rPr>
                <w:rFonts w:hint="eastAsia" w:ascii="宋体" w:hAnsi="宋体" w:eastAsia="宋体" w:cs="宋体"/>
                <w:b/>
                <w:bCs/>
                <w:color w:val="auto"/>
                <w:spacing w:val="-2"/>
                <w:sz w:val="24"/>
                <w:szCs w:val="24"/>
                <w:highlight w:val="none"/>
                <w:lang w:eastAsia="zh-CN"/>
              </w:rPr>
              <w:t>无效。</w:t>
            </w:r>
          </w:p>
        </w:tc>
      </w:tr>
      <w:tr w14:paraId="3E3BD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745" w:type="dxa"/>
            <w:vAlign w:val="center"/>
          </w:tcPr>
          <w:p w14:paraId="7A8A1E4F">
            <w:pPr>
              <w:pageBreakBefore w:val="0"/>
              <w:widowControl w:val="0"/>
              <w:wordWrap/>
              <w:overflowPunct/>
              <w:topLinePunct w:val="0"/>
              <w:bidi w:val="0"/>
              <w:spacing w:before="152" w:line="240" w:lineRule="auto"/>
              <w:ind w:left="423"/>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313" w:type="dxa"/>
            <w:shd w:val="clear" w:color="auto" w:fill="auto"/>
            <w:vAlign w:val="center"/>
          </w:tcPr>
          <w:p w14:paraId="33B7F673">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分包</w:t>
            </w:r>
          </w:p>
        </w:tc>
        <w:tc>
          <w:tcPr>
            <w:tcW w:w="7447" w:type="dxa"/>
            <w:shd w:val="clear" w:color="auto" w:fill="auto"/>
            <w:vAlign w:val="center"/>
          </w:tcPr>
          <w:p w14:paraId="774A614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本项目</w:t>
            </w:r>
            <w:r>
              <w:rPr>
                <w:rFonts w:hint="eastAsia" w:ascii="宋体" w:hAnsi="宋体" w:eastAsia="宋体" w:cs="宋体"/>
                <w:color w:val="auto"/>
                <w:spacing w:val="3"/>
                <w:sz w:val="24"/>
                <w:szCs w:val="24"/>
                <w:highlight w:val="none"/>
                <w:lang w:eastAsia="zh-CN"/>
              </w:rPr>
              <w:t>是否</w:t>
            </w:r>
            <w:r>
              <w:rPr>
                <w:rFonts w:hint="eastAsia" w:ascii="宋体" w:hAnsi="宋体" w:eastAsia="宋体" w:cs="宋体"/>
                <w:color w:val="auto"/>
                <w:spacing w:val="0"/>
                <w:w w:val="100"/>
                <w:position w:val="0"/>
                <w:sz w:val="24"/>
                <w:szCs w:val="24"/>
                <w:highlight w:val="none"/>
                <w:lang w:eastAsia="zh-CN"/>
              </w:rPr>
              <w:t xml:space="preserve">允许分包： </w:t>
            </w:r>
          </w:p>
          <w:p w14:paraId="654E177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sym w:font="Wingdings 2" w:char="0052"/>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lang w:eastAsia="zh-CN"/>
              </w:rPr>
              <w:t>不</w:t>
            </w:r>
            <w:r>
              <w:rPr>
                <w:rFonts w:hint="eastAsia" w:ascii="宋体" w:hAnsi="宋体" w:eastAsia="宋体" w:cs="宋体"/>
                <w:color w:val="auto"/>
                <w:spacing w:val="3"/>
                <w:sz w:val="24"/>
                <w:szCs w:val="24"/>
                <w:highlight w:val="none"/>
                <w:lang w:eastAsia="zh-CN"/>
              </w:rPr>
              <w:t>允许</w:t>
            </w:r>
          </w:p>
          <w:p w14:paraId="17E876E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eastAsia="zh-CN"/>
              </w:rPr>
              <w:sym w:font="Wingdings 2" w:char="00A3"/>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3"/>
                <w:sz w:val="24"/>
                <w:szCs w:val="24"/>
                <w:highlight w:val="none"/>
                <w:lang w:eastAsia="zh-CN"/>
              </w:rPr>
              <w:t>允许</w:t>
            </w:r>
            <w:r>
              <w:rPr>
                <w:rFonts w:hint="eastAsia" w:ascii="宋体" w:hAnsi="宋体" w:eastAsia="宋体" w:cs="宋体"/>
                <w:color w:val="auto"/>
                <w:spacing w:val="3"/>
                <w:sz w:val="24"/>
                <w:szCs w:val="24"/>
                <w:highlight w:val="none"/>
                <w:lang w:val="en-US" w:eastAsia="zh-CN"/>
              </w:rPr>
              <w:t xml:space="preserve"> 具体</w:t>
            </w:r>
            <w:r>
              <w:rPr>
                <w:rFonts w:hint="eastAsia" w:ascii="宋体" w:hAnsi="宋体" w:eastAsia="宋体" w:cs="宋体"/>
                <w:color w:val="auto"/>
                <w:spacing w:val="0"/>
                <w:w w:val="100"/>
                <w:position w:val="0"/>
                <w:sz w:val="24"/>
                <w:szCs w:val="24"/>
                <w:highlight w:val="none"/>
                <w:lang w:val="en-US" w:eastAsia="zh-CN"/>
              </w:rPr>
              <w:t>要求：</w:t>
            </w:r>
          </w:p>
          <w:p w14:paraId="2E031C3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snapToGrid w:val="0"/>
                <w:color w:val="auto"/>
                <w:spacing w:val="0"/>
                <w:w w:val="100"/>
                <w:kern w:val="0"/>
                <w:position w:val="0"/>
                <w:sz w:val="24"/>
                <w:szCs w:val="24"/>
                <w:highlight w:val="none"/>
                <w:lang w:val="en-US" w:eastAsia="zh-CN" w:bidi="ar-SA"/>
              </w:rPr>
              <w:t>（1）可以</w:t>
            </w:r>
            <w:r>
              <w:rPr>
                <w:rFonts w:hint="eastAsia" w:ascii="宋体" w:hAnsi="宋体" w:eastAsia="宋体" w:cs="宋体"/>
                <w:color w:val="auto"/>
                <w:spacing w:val="3"/>
                <w:sz w:val="24"/>
                <w:szCs w:val="24"/>
                <w:highlight w:val="none"/>
                <w:lang w:val="en-US" w:eastAsia="zh-CN"/>
              </w:rPr>
              <w:t>分包</w:t>
            </w:r>
            <w:r>
              <w:rPr>
                <w:rFonts w:hint="eastAsia" w:ascii="宋体" w:hAnsi="宋体" w:eastAsia="宋体" w:cs="宋体"/>
                <w:snapToGrid w:val="0"/>
                <w:color w:val="auto"/>
                <w:spacing w:val="0"/>
                <w:w w:val="100"/>
                <w:kern w:val="0"/>
                <w:position w:val="0"/>
                <w:sz w:val="24"/>
                <w:szCs w:val="24"/>
                <w:highlight w:val="none"/>
                <w:lang w:val="en-US" w:eastAsia="zh-CN" w:bidi="ar-SA"/>
              </w:rPr>
              <w:t>履行的具体内容：</w:t>
            </w:r>
            <w:r>
              <w:rPr>
                <w:rFonts w:hint="eastAsia" w:ascii="宋体" w:hAnsi="宋体" w:eastAsia="宋体" w:cs="宋体"/>
                <w:snapToGrid w:val="0"/>
                <w:color w:val="auto"/>
                <w:spacing w:val="0"/>
                <w:w w:val="100"/>
                <w:kern w:val="0"/>
                <w:position w:val="0"/>
                <w:sz w:val="24"/>
                <w:szCs w:val="24"/>
                <w:highlight w:val="none"/>
                <w:u w:val="single"/>
                <w:lang w:val="en-US" w:eastAsia="zh-CN" w:bidi="ar-SA"/>
              </w:rPr>
              <w:t xml:space="preserve">       </w:t>
            </w:r>
            <w:r>
              <w:rPr>
                <w:rFonts w:hint="eastAsia" w:ascii="宋体" w:hAnsi="宋体" w:eastAsia="宋体" w:cs="宋体"/>
                <w:snapToGrid w:val="0"/>
                <w:color w:val="auto"/>
                <w:spacing w:val="0"/>
                <w:w w:val="100"/>
                <w:kern w:val="0"/>
                <w:position w:val="0"/>
                <w:sz w:val="24"/>
                <w:szCs w:val="24"/>
                <w:highlight w:val="none"/>
                <w:lang w:val="en-US" w:eastAsia="zh-CN" w:bidi="ar-SA"/>
              </w:rPr>
              <w:t>；</w:t>
            </w:r>
          </w:p>
          <w:p w14:paraId="2F836F1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snapToGrid w:val="0"/>
                <w:color w:val="auto"/>
                <w:spacing w:val="0"/>
                <w:w w:val="100"/>
                <w:kern w:val="0"/>
                <w:position w:val="0"/>
                <w:sz w:val="24"/>
                <w:szCs w:val="24"/>
                <w:highlight w:val="none"/>
                <w:lang w:val="en-US" w:eastAsia="zh-CN" w:bidi="ar-SA"/>
              </w:rPr>
              <w:t>（2）允许</w:t>
            </w:r>
            <w:r>
              <w:rPr>
                <w:rFonts w:hint="eastAsia" w:ascii="宋体" w:hAnsi="宋体" w:eastAsia="宋体" w:cs="宋体"/>
                <w:color w:val="auto"/>
                <w:spacing w:val="3"/>
                <w:sz w:val="24"/>
                <w:szCs w:val="24"/>
                <w:highlight w:val="none"/>
                <w:lang w:val="en-US" w:eastAsia="zh-CN"/>
              </w:rPr>
              <w:t>分包</w:t>
            </w:r>
            <w:r>
              <w:rPr>
                <w:rFonts w:hint="eastAsia" w:ascii="宋体" w:hAnsi="宋体" w:eastAsia="宋体" w:cs="宋体"/>
                <w:snapToGrid w:val="0"/>
                <w:color w:val="auto"/>
                <w:spacing w:val="0"/>
                <w:w w:val="100"/>
                <w:kern w:val="0"/>
                <w:position w:val="0"/>
                <w:sz w:val="24"/>
                <w:szCs w:val="24"/>
                <w:highlight w:val="none"/>
                <w:lang w:val="en-US" w:eastAsia="zh-CN" w:bidi="ar-SA"/>
              </w:rPr>
              <w:t>的金额或者比例：</w:t>
            </w:r>
            <w:r>
              <w:rPr>
                <w:rFonts w:hint="eastAsia" w:ascii="宋体" w:hAnsi="宋体" w:eastAsia="宋体" w:cs="宋体"/>
                <w:snapToGrid w:val="0"/>
                <w:color w:val="auto"/>
                <w:spacing w:val="0"/>
                <w:w w:val="100"/>
                <w:kern w:val="0"/>
                <w:position w:val="0"/>
                <w:sz w:val="24"/>
                <w:szCs w:val="24"/>
                <w:highlight w:val="none"/>
                <w:u w:val="single"/>
                <w:lang w:val="en-US" w:eastAsia="zh-CN" w:bidi="ar-SA"/>
              </w:rPr>
              <w:t xml:space="preserve">       </w:t>
            </w:r>
            <w:r>
              <w:rPr>
                <w:rFonts w:hint="eastAsia" w:ascii="宋体" w:hAnsi="宋体" w:eastAsia="宋体" w:cs="宋体"/>
                <w:snapToGrid w:val="0"/>
                <w:color w:val="auto"/>
                <w:spacing w:val="0"/>
                <w:w w:val="100"/>
                <w:kern w:val="0"/>
                <w:position w:val="0"/>
                <w:sz w:val="24"/>
                <w:szCs w:val="24"/>
                <w:highlight w:val="none"/>
                <w:lang w:val="en-US" w:eastAsia="zh-CN" w:bidi="ar-SA"/>
              </w:rPr>
              <w:t>；</w:t>
            </w:r>
          </w:p>
          <w:p w14:paraId="27FA85D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spacing w:val="0"/>
                <w:w w:val="100"/>
                <w:kern w:val="0"/>
                <w:position w:val="0"/>
                <w:sz w:val="24"/>
                <w:szCs w:val="24"/>
                <w:highlight w:val="none"/>
                <w:lang w:val="en-US" w:eastAsia="zh-CN" w:bidi="ar-SA"/>
              </w:rPr>
              <w:t>（3）其他</w:t>
            </w:r>
            <w:r>
              <w:rPr>
                <w:rFonts w:hint="eastAsia" w:ascii="宋体" w:hAnsi="宋体" w:eastAsia="宋体" w:cs="宋体"/>
                <w:color w:val="auto"/>
                <w:spacing w:val="3"/>
                <w:sz w:val="24"/>
                <w:szCs w:val="24"/>
                <w:highlight w:val="none"/>
                <w:lang w:val="en-US" w:eastAsia="zh-CN"/>
              </w:rPr>
              <w:t>要求</w:t>
            </w:r>
            <w:r>
              <w:rPr>
                <w:rFonts w:hint="eastAsia" w:ascii="宋体" w:hAnsi="宋体" w:eastAsia="宋体" w:cs="宋体"/>
                <w:snapToGrid w:val="0"/>
                <w:color w:val="auto"/>
                <w:spacing w:val="0"/>
                <w:w w:val="100"/>
                <w:kern w:val="0"/>
                <w:position w:val="0"/>
                <w:sz w:val="24"/>
                <w:szCs w:val="24"/>
                <w:highlight w:val="none"/>
                <w:lang w:val="en-US" w:eastAsia="zh-CN" w:bidi="ar-SA"/>
              </w:rPr>
              <w:t>：</w:t>
            </w:r>
            <w:r>
              <w:rPr>
                <w:rFonts w:hint="eastAsia" w:ascii="宋体" w:hAnsi="宋体" w:eastAsia="宋体" w:cs="宋体"/>
                <w:snapToGrid w:val="0"/>
                <w:color w:val="auto"/>
                <w:spacing w:val="0"/>
                <w:w w:val="100"/>
                <w:kern w:val="0"/>
                <w:position w:val="0"/>
                <w:sz w:val="24"/>
                <w:szCs w:val="24"/>
                <w:highlight w:val="none"/>
                <w:u w:val="single"/>
                <w:lang w:val="en-US" w:eastAsia="zh-CN" w:bidi="ar-SA"/>
              </w:rPr>
              <w:t xml:space="preserve">         </w:t>
            </w:r>
            <w:r>
              <w:rPr>
                <w:rFonts w:hint="eastAsia" w:ascii="宋体" w:hAnsi="宋体" w:eastAsia="宋体" w:cs="宋体"/>
                <w:snapToGrid w:val="0"/>
                <w:color w:val="auto"/>
                <w:spacing w:val="0"/>
                <w:w w:val="100"/>
                <w:kern w:val="0"/>
                <w:position w:val="0"/>
                <w:sz w:val="24"/>
                <w:szCs w:val="24"/>
                <w:highlight w:val="none"/>
                <w:lang w:val="en-US" w:eastAsia="zh-CN" w:bidi="ar-SA"/>
              </w:rPr>
              <w:t>。</w:t>
            </w:r>
          </w:p>
        </w:tc>
      </w:tr>
      <w:tr w14:paraId="2705A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745" w:type="dxa"/>
            <w:vAlign w:val="center"/>
          </w:tcPr>
          <w:p w14:paraId="648D545D">
            <w:pPr>
              <w:pageBreakBefore w:val="0"/>
              <w:widowControl w:val="0"/>
              <w:wordWrap/>
              <w:overflowPunct/>
              <w:topLinePunct w:val="0"/>
              <w:bidi w:val="0"/>
              <w:spacing w:before="152" w:line="24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313" w:type="dxa"/>
            <w:shd w:val="clear" w:color="auto" w:fill="auto"/>
            <w:vAlign w:val="center"/>
          </w:tcPr>
          <w:p w14:paraId="26EAB827">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eastAsia="zh-CN"/>
              </w:rPr>
              <w:t>履约保证金</w:t>
            </w:r>
          </w:p>
        </w:tc>
        <w:tc>
          <w:tcPr>
            <w:tcW w:w="7447" w:type="dxa"/>
            <w:shd w:val="clear" w:color="auto" w:fill="auto"/>
            <w:vAlign w:val="center"/>
          </w:tcPr>
          <w:p w14:paraId="69B732B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default" w:ascii="宋体" w:hAnsi="宋体" w:eastAsia="宋体" w:cs="宋体"/>
                <w:b/>
                <w:bCs/>
                <w:color w:val="auto"/>
                <w:spacing w:val="4"/>
                <w:sz w:val="24"/>
                <w:szCs w:val="28"/>
                <w:highlight w:val="none"/>
                <w:lang w:val="en-US" w:eastAsia="zh-CN"/>
              </w:rPr>
            </w:pPr>
            <w:r>
              <w:rPr>
                <w:rFonts w:hint="eastAsia" w:ascii="宋体" w:hAnsi="宋体" w:eastAsia="宋体" w:cs="宋体"/>
                <w:b/>
                <w:bCs/>
                <w:color w:val="auto"/>
                <w:spacing w:val="4"/>
                <w:sz w:val="24"/>
                <w:szCs w:val="28"/>
                <w:highlight w:val="none"/>
                <w:lang w:val="en-US" w:eastAsia="zh-CN"/>
              </w:rPr>
              <w:t>履约保证金：合同金额10%</w:t>
            </w:r>
          </w:p>
          <w:p w14:paraId="4F6BA5C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spacing w:val="4"/>
                <w:sz w:val="24"/>
                <w:szCs w:val="28"/>
                <w:highlight w:val="none"/>
                <w:lang w:val="en-US" w:eastAsia="zh-CN"/>
              </w:rPr>
            </w:pPr>
            <w:r>
              <w:rPr>
                <w:rFonts w:hint="eastAsia" w:ascii="宋体" w:hAnsi="宋体" w:eastAsia="宋体" w:cs="宋体"/>
                <w:color w:val="auto"/>
                <w:spacing w:val="4"/>
                <w:sz w:val="24"/>
                <w:szCs w:val="28"/>
                <w:highlight w:val="none"/>
                <w:lang w:val="en-US" w:eastAsia="zh-CN"/>
              </w:rPr>
              <w:t>履约保证金以银行转账（电汇）、支票、汇票、本票或者金融机构、担保机构出具的保函等非现金形式提交。</w:t>
            </w:r>
          </w:p>
          <w:p w14:paraId="07B180B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spacing w:val="4"/>
                <w:sz w:val="24"/>
                <w:szCs w:val="28"/>
                <w:highlight w:val="none"/>
                <w:lang w:val="en-US" w:eastAsia="zh-CN"/>
              </w:rPr>
            </w:pPr>
            <w:r>
              <w:rPr>
                <w:rFonts w:hint="eastAsia" w:ascii="宋体" w:hAnsi="宋体" w:eastAsia="宋体" w:cs="宋体"/>
                <w:color w:val="auto"/>
                <w:spacing w:val="4"/>
                <w:sz w:val="24"/>
                <w:szCs w:val="28"/>
                <w:highlight w:val="none"/>
                <w:lang w:val="en-US" w:eastAsia="zh-CN"/>
              </w:rPr>
              <w:t>1、采用银行电汇、转账、网上银行转账形式提交的须在签订合同前从投标人基本账户一次性足额转入到采购单位指定账户；</w:t>
            </w:r>
          </w:p>
          <w:p w14:paraId="6E7C4E7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spacing w:val="4"/>
                <w:sz w:val="24"/>
                <w:szCs w:val="28"/>
                <w:highlight w:val="none"/>
                <w:lang w:val="en-US" w:eastAsia="zh-CN"/>
              </w:rPr>
            </w:pPr>
            <w:r>
              <w:rPr>
                <w:rFonts w:hint="eastAsia" w:ascii="宋体" w:hAnsi="宋体" w:eastAsia="宋体" w:cs="宋体"/>
                <w:color w:val="auto"/>
                <w:spacing w:val="4"/>
                <w:sz w:val="24"/>
                <w:szCs w:val="28"/>
                <w:highlight w:val="none"/>
                <w:lang w:val="en-US" w:eastAsia="zh-CN"/>
              </w:rPr>
              <w:t>2、采用保函形式提交的须为投标人基本账户所在银行或专业担保机构出具的不可撤销、见索即付的独立保函，保函受益人为采购人，保函有效期须不少于本项目合同履约期限，保函原件须在签订合同前递交到采购人。</w:t>
            </w:r>
          </w:p>
          <w:p w14:paraId="598E0652">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spacing w:val="4"/>
                <w:sz w:val="24"/>
                <w:szCs w:val="28"/>
                <w:highlight w:val="none"/>
                <w:lang w:val="en-US" w:eastAsia="zh-CN"/>
              </w:rPr>
            </w:pPr>
            <w:r>
              <w:rPr>
                <w:rFonts w:hint="eastAsia" w:ascii="宋体" w:hAnsi="宋体" w:eastAsia="宋体" w:cs="宋体"/>
                <w:color w:val="auto"/>
                <w:spacing w:val="4"/>
                <w:sz w:val="24"/>
                <w:szCs w:val="28"/>
                <w:highlight w:val="none"/>
                <w:lang w:val="en-US" w:eastAsia="zh-CN"/>
              </w:rPr>
              <w:t>3、采用支票、汇票、本票形式提交的提供符合国家规定的相应凭证佐证，原件须在签订合同前递交到采购人。</w:t>
            </w:r>
          </w:p>
          <w:p w14:paraId="06C5A3B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spacing w:val="4"/>
                <w:sz w:val="24"/>
                <w:szCs w:val="28"/>
                <w:highlight w:val="none"/>
                <w:lang w:val="en-US" w:eastAsia="zh-CN"/>
              </w:rPr>
            </w:pPr>
            <w:r>
              <w:rPr>
                <w:rFonts w:hint="eastAsia" w:ascii="宋体" w:hAnsi="宋体" w:eastAsia="宋体" w:cs="宋体"/>
                <w:color w:val="auto"/>
                <w:spacing w:val="4"/>
                <w:sz w:val="24"/>
                <w:szCs w:val="28"/>
                <w:highlight w:val="none"/>
                <w:lang w:val="en-US" w:eastAsia="zh-CN"/>
              </w:rPr>
              <w:t>未在规定的</w:t>
            </w:r>
            <w:r>
              <w:rPr>
                <w:rFonts w:hint="eastAsia" w:ascii="宋体" w:hAnsi="宋体" w:eastAsia="宋体" w:cs="宋体"/>
                <w:color w:val="auto"/>
                <w:spacing w:val="-4"/>
                <w:sz w:val="24"/>
                <w:szCs w:val="24"/>
                <w:highlight w:val="none"/>
                <w:lang w:val="en-US" w:eastAsia="zh-CN"/>
              </w:rPr>
              <w:t>时间</w:t>
            </w:r>
            <w:r>
              <w:rPr>
                <w:rFonts w:hint="eastAsia" w:ascii="宋体" w:hAnsi="宋体" w:eastAsia="宋体" w:cs="宋体"/>
                <w:color w:val="auto"/>
                <w:spacing w:val="4"/>
                <w:sz w:val="24"/>
                <w:szCs w:val="28"/>
                <w:highlight w:val="none"/>
                <w:lang w:val="en-US" w:eastAsia="zh-CN"/>
              </w:rPr>
              <w:t>内足额支付到位的，采购人有权取消其中标资格。</w:t>
            </w:r>
          </w:p>
          <w:p w14:paraId="5DA672B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snapToGrid w:val="0"/>
                <w:color w:val="auto"/>
                <w:spacing w:val="0"/>
                <w:w w:val="100"/>
                <w:position w:val="0"/>
                <w:sz w:val="24"/>
                <w:szCs w:val="24"/>
                <w:highlight w:val="none"/>
                <w:lang w:val="en-US" w:eastAsia="zh-CN" w:bidi="ar-SA"/>
              </w:rPr>
            </w:pPr>
            <w:r>
              <w:rPr>
                <w:rFonts w:hint="eastAsia" w:ascii="宋体" w:hAnsi="宋体" w:eastAsia="宋体" w:cs="宋体"/>
                <w:color w:val="auto"/>
                <w:spacing w:val="4"/>
                <w:sz w:val="24"/>
                <w:szCs w:val="28"/>
                <w:highlight w:val="none"/>
                <w:lang w:val="en-US" w:eastAsia="zh-CN"/>
              </w:rPr>
              <w:t>履约保证金</w:t>
            </w:r>
            <w:r>
              <w:rPr>
                <w:rFonts w:hint="eastAsia" w:ascii="宋体" w:hAnsi="宋体" w:eastAsia="宋体" w:cs="宋体"/>
                <w:color w:val="auto"/>
                <w:spacing w:val="-4"/>
                <w:sz w:val="24"/>
                <w:szCs w:val="24"/>
                <w:highlight w:val="none"/>
                <w:lang w:val="en-US" w:eastAsia="zh-CN"/>
              </w:rPr>
              <w:t>退还</w:t>
            </w:r>
            <w:r>
              <w:rPr>
                <w:rFonts w:hint="eastAsia" w:ascii="宋体" w:hAnsi="宋体" w:eastAsia="宋体" w:cs="宋体"/>
                <w:color w:val="auto"/>
                <w:spacing w:val="4"/>
                <w:sz w:val="24"/>
                <w:szCs w:val="28"/>
                <w:highlight w:val="none"/>
                <w:lang w:val="en-US" w:eastAsia="zh-CN"/>
              </w:rPr>
              <w:t>：在服务期满后一次性退回。</w:t>
            </w:r>
          </w:p>
        </w:tc>
      </w:tr>
      <w:tr w14:paraId="6C12E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745" w:type="dxa"/>
            <w:vAlign w:val="center"/>
          </w:tcPr>
          <w:p w14:paraId="460FA7A1">
            <w:pPr>
              <w:pageBreakBefore w:val="0"/>
              <w:widowControl w:val="0"/>
              <w:wordWrap/>
              <w:overflowPunct/>
              <w:topLinePunct w:val="0"/>
              <w:bidi w:val="0"/>
              <w:spacing w:before="152" w:line="24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313" w:type="dxa"/>
            <w:shd w:val="clear" w:color="auto" w:fill="auto"/>
            <w:vAlign w:val="center"/>
          </w:tcPr>
          <w:p w14:paraId="4E40683D">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采购代理</w:t>
            </w:r>
          </w:p>
          <w:p w14:paraId="5283DE7D">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eastAsia="zh-CN"/>
              </w:rPr>
              <w:t>服务费</w:t>
            </w:r>
          </w:p>
        </w:tc>
        <w:tc>
          <w:tcPr>
            <w:tcW w:w="7447" w:type="dxa"/>
            <w:shd w:val="clear" w:color="auto" w:fill="auto"/>
            <w:vAlign w:val="bottom"/>
          </w:tcPr>
          <w:p w14:paraId="2ED75AB5">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color w:val="auto"/>
                <w:spacing w:val="4"/>
                <w:sz w:val="24"/>
                <w:szCs w:val="24"/>
                <w:highlight w:val="none"/>
                <w:lang w:val="zh-CN"/>
              </w:rPr>
            </w:pPr>
            <w:r>
              <w:rPr>
                <w:rFonts w:hint="eastAsia" w:ascii="宋体" w:hAnsi="宋体"/>
                <w:b/>
                <w:spacing w:val="4"/>
                <w:sz w:val="24"/>
                <w:szCs w:val="24"/>
                <w:highlight w:val="none"/>
              </w:rPr>
              <w:t>代理服务费：</w:t>
            </w:r>
            <w:r>
              <w:rPr>
                <w:rFonts w:hint="eastAsia" w:ascii="宋体" w:hAnsi="宋体"/>
                <w:b w:val="0"/>
                <w:bCs/>
                <w:spacing w:val="4"/>
                <w:sz w:val="24"/>
                <w:szCs w:val="24"/>
                <w:highlight w:val="none"/>
              </w:rPr>
              <w:t>招标代理服务费取费标准按《关于印发〈招标代理服务收费管理暂行办法〉的通知》（计价格〔2002〕1980号）、《国家发展改革委关于降低部分建设项目收费标准规范收费行为等有关问题的通知》（发改价格〔2011〕534号）执行</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color w:val="auto"/>
                <w:spacing w:val="4"/>
                <w:sz w:val="24"/>
                <w:szCs w:val="24"/>
                <w:highlight w:val="none"/>
                <w:lang w:val="zh-CN"/>
              </w:rPr>
              <w:t>将向最后中标</w:t>
            </w:r>
            <w:r>
              <w:rPr>
                <w:rFonts w:hint="eastAsia" w:ascii="宋体" w:hAnsi="宋体" w:cs="宋体"/>
                <w:color w:val="auto"/>
                <w:spacing w:val="4"/>
                <w:sz w:val="24"/>
                <w:szCs w:val="24"/>
                <w:highlight w:val="none"/>
                <w:lang w:val="en-US" w:eastAsia="zh-CN"/>
              </w:rPr>
              <w:t>单位</w:t>
            </w:r>
            <w:r>
              <w:rPr>
                <w:rFonts w:hint="eastAsia" w:ascii="宋体" w:hAnsi="宋体" w:eastAsia="宋体" w:cs="宋体"/>
                <w:color w:val="auto"/>
                <w:spacing w:val="4"/>
                <w:sz w:val="24"/>
                <w:szCs w:val="24"/>
                <w:highlight w:val="none"/>
                <w:lang w:val="zh-CN"/>
              </w:rPr>
              <w:t>收取代理服务费，请各投标人在报价时充分考虑这一因素，</w:t>
            </w:r>
            <w:r>
              <w:rPr>
                <w:rFonts w:hint="eastAsia" w:ascii="宋体" w:hAnsi="宋体" w:eastAsia="宋体" w:cs="宋体"/>
                <w:color w:val="auto"/>
                <w:spacing w:val="4"/>
                <w:kern w:val="1"/>
                <w:sz w:val="24"/>
                <w:szCs w:val="24"/>
                <w:highlight w:val="none"/>
                <w:lang w:val="zh-CN"/>
              </w:rPr>
              <w:t>按差额定率累进法计算，</w:t>
            </w:r>
            <w:r>
              <w:rPr>
                <w:rFonts w:hint="eastAsia" w:ascii="宋体" w:hAnsi="宋体" w:eastAsia="宋体" w:cs="宋体"/>
                <w:color w:val="auto"/>
                <w:spacing w:val="4"/>
                <w:sz w:val="24"/>
                <w:szCs w:val="24"/>
                <w:highlight w:val="none"/>
                <w:lang w:val="zh-CN"/>
              </w:rPr>
              <w:t>具体收费标准如下表所列：收费标准=</w:t>
            </w:r>
            <w:r>
              <w:rPr>
                <w:rFonts w:hint="eastAsia" w:ascii="宋体" w:hAnsi="宋体" w:eastAsia="宋体" w:cs="宋体"/>
                <w:color w:val="auto"/>
                <w:spacing w:val="4"/>
                <w:sz w:val="24"/>
                <w:szCs w:val="24"/>
                <w:highlight w:val="none"/>
                <w:lang w:val="en-US" w:eastAsia="zh-CN"/>
              </w:rPr>
              <w:t>中标</w:t>
            </w:r>
            <w:r>
              <w:rPr>
                <w:rFonts w:hint="eastAsia" w:ascii="宋体" w:hAnsi="宋体" w:eastAsia="宋体" w:cs="宋体"/>
                <w:color w:val="auto"/>
                <w:spacing w:val="4"/>
                <w:sz w:val="24"/>
                <w:szCs w:val="24"/>
                <w:highlight w:val="none"/>
                <w:lang w:val="zh-CN"/>
              </w:rPr>
              <w:t>金额*收费率。代理费服务不足2000元的按2000元收取。</w:t>
            </w:r>
          </w:p>
          <w:tbl>
            <w:tblPr>
              <w:tblStyle w:val="19"/>
              <w:tblW w:w="0" w:type="auto"/>
              <w:jc w:val="center"/>
              <w:tblLayout w:type="fixed"/>
              <w:tblCellMar>
                <w:top w:w="0" w:type="dxa"/>
                <w:left w:w="108" w:type="dxa"/>
                <w:bottom w:w="0" w:type="dxa"/>
                <w:right w:w="108" w:type="dxa"/>
              </w:tblCellMar>
            </w:tblPr>
            <w:tblGrid>
              <w:gridCol w:w="3490"/>
              <w:gridCol w:w="3490"/>
            </w:tblGrid>
            <w:tr w14:paraId="15458E6F">
              <w:tblPrEx>
                <w:tblCellMar>
                  <w:top w:w="0" w:type="dxa"/>
                  <w:left w:w="108" w:type="dxa"/>
                  <w:bottom w:w="0" w:type="dxa"/>
                  <w:right w:w="108" w:type="dxa"/>
                </w:tblCellMar>
              </w:tblPrEx>
              <w:trPr>
                <w:trHeight w:val="293" w:hRule="atLeast"/>
                <w:jc w:val="center"/>
              </w:trPr>
              <w:tc>
                <w:tcPr>
                  <w:tcW w:w="3490" w:type="dxa"/>
                  <w:tcBorders>
                    <w:top w:val="single" w:color="000000" w:sz="4" w:space="0"/>
                    <w:left w:val="single" w:color="000000" w:sz="4" w:space="0"/>
                    <w:bottom w:val="single" w:color="000000" w:sz="4" w:space="0"/>
                    <w:right w:val="single" w:color="000000" w:sz="4" w:space="0"/>
                  </w:tcBorders>
                  <w:noWrap w:val="0"/>
                  <w:vAlign w:val="center"/>
                </w:tcPr>
                <w:p w14:paraId="50911FAC">
                  <w:pPr>
                    <w:keepNext w:val="0"/>
                    <w:keepLines w:val="0"/>
                    <w:pageBreakBefore w:val="0"/>
                    <w:widowControl w:val="0"/>
                    <w:kinsoku/>
                    <w:wordWrap/>
                    <w:overflowPunct/>
                    <w:topLinePunct w:val="0"/>
                    <w:autoSpaceDE/>
                    <w:autoSpaceDN/>
                    <w:bidi w:val="0"/>
                    <w:snapToGrid w:val="0"/>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中标（成交）金额（万元）</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14:paraId="3832A936">
                  <w:pPr>
                    <w:keepNext w:val="0"/>
                    <w:keepLines w:val="0"/>
                    <w:pageBreakBefore w:val="0"/>
                    <w:widowControl w:val="0"/>
                    <w:kinsoku/>
                    <w:wordWrap/>
                    <w:overflowPunct/>
                    <w:topLinePunct w:val="0"/>
                    <w:autoSpaceDE/>
                    <w:autoSpaceDN/>
                    <w:bidi w:val="0"/>
                    <w:snapToGrid w:val="0"/>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收费率</w:t>
                  </w:r>
                </w:p>
              </w:tc>
            </w:tr>
            <w:tr w14:paraId="69EB5120">
              <w:tblPrEx>
                <w:tblCellMar>
                  <w:top w:w="0" w:type="dxa"/>
                  <w:left w:w="108" w:type="dxa"/>
                  <w:bottom w:w="0" w:type="dxa"/>
                  <w:right w:w="108" w:type="dxa"/>
                </w:tblCellMar>
              </w:tblPrEx>
              <w:trPr>
                <w:trHeight w:val="287" w:hRule="atLeast"/>
                <w:jc w:val="center"/>
              </w:trPr>
              <w:tc>
                <w:tcPr>
                  <w:tcW w:w="3490" w:type="dxa"/>
                  <w:tcBorders>
                    <w:top w:val="single" w:color="000000" w:sz="4" w:space="0"/>
                    <w:left w:val="single" w:color="000000" w:sz="4" w:space="0"/>
                    <w:bottom w:val="single" w:color="000000" w:sz="4" w:space="0"/>
                    <w:right w:val="single" w:color="000000" w:sz="4" w:space="0"/>
                  </w:tcBorders>
                  <w:noWrap w:val="0"/>
                  <w:vAlign w:val="center"/>
                </w:tcPr>
                <w:p w14:paraId="68C60B59">
                  <w:pPr>
                    <w:keepNext w:val="0"/>
                    <w:keepLines w:val="0"/>
                    <w:pageBreakBefore w:val="0"/>
                    <w:widowControl w:val="0"/>
                    <w:kinsoku/>
                    <w:wordWrap/>
                    <w:overflowPunct/>
                    <w:topLinePunct w:val="0"/>
                    <w:autoSpaceDE/>
                    <w:autoSpaceDN/>
                    <w:bidi w:val="0"/>
                    <w:snapToGrid w:val="0"/>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100以下</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14:paraId="79C2EAA7">
                  <w:pPr>
                    <w:keepNext w:val="0"/>
                    <w:keepLines w:val="0"/>
                    <w:pageBreakBefore w:val="0"/>
                    <w:widowControl w:val="0"/>
                    <w:kinsoku/>
                    <w:wordWrap/>
                    <w:overflowPunct/>
                    <w:topLinePunct w:val="0"/>
                    <w:autoSpaceDE/>
                    <w:autoSpaceDN/>
                    <w:bidi w:val="0"/>
                    <w:snapToGrid w:val="0"/>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14:paraId="109523A1">
              <w:tblPrEx>
                <w:tblCellMar>
                  <w:top w:w="0" w:type="dxa"/>
                  <w:left w:w="108" w:type="dxa"/>
                  <w:bottom w:w="0" w:type="dxa"/>
                  <w:right w:w="108" w:type="dxa"/>
                </w:tblCellMar>
              </w:tblPrEx>
              <w:trPr>
                <w:trHeight w:val="314" w:hRule="atLeast"/>
                <w:jc w:val="center"/>
              </w:trPr>
              <w:tc>
                <w:tcPr>
                  <w:tcW w:w="3490" w:type="dxa"/>
                  <w:tcBorders>
                    <w:top w:val="single" w:color="000000" w:sz="4" w:space="0"/>
                    <w:left w:val="single" w:color="000000" w:sz="4" w:space="0"/>
                    <w:bottom w:val="single" w:color="000000" w:sz="4" w:space="0"/>
                    <w:right w:val="single" w:color="000000" w:sz="4" w:space="0"/>
                  </w:tcBorders>
                  <w:noWrap w:val="0"/>
                  <w:vAlign w:val="center"/>
                </w:tcPr>
                <w:p w14:paraId="0B6BD6AA">
                  <w:pPr>
                    <w:keepNext w:val="0"/>
                    <w:keepLines w:val="0"/>
                    <w:pageBreakBefore w:val="0"/>
                    <w:widowControl w:val="0"/>
                    <w:kinsoku/>
                    <w:wordWrap/>
                    <w:overflowPunct/>
                    <w:topLinePunct w:val="0"/>
                    <w:autoSpaceDE/>
                    <w:autoSpaceDN/>
                    <w:bidi w:val="0"/>
                    <w:snapToGrid w:val="0"/>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14:paraId="1C716A40">
                  <w:pPr>
                    <w:keepNext w:val="0"/>
                    <w:keepLines w:val="0"/>
                    <w:pageBreakBefore w:val="0"/>
                    <w:widowControl w:val="0"/>
                    <w:kinsoku/>
                    <w:wordWrap/>
                    <w:overflowPunct/>
                    <w:topLinePunct w:val="0"/>
                    <w:autoSpaceDE/>
                    <w:autoSpaceDN/>
                    <w:bidi w:val="0"/>
                    <w:snapToGrid w:val="0"/>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w:t>
                  </w:r>
                </w:p>
              </w:tc>
            </w:tr>
          </w:tbl>
          <w:p w14:paraId="609308FE">
            <w:pPr>
              <w:pageBreakBefore w:val="0"/>
              <w:widowControl w:val="0"/>
              <w:wordWrap/>
              <w:overflowPunct/>
              <w:topLinePunct w:val="0"/>
              <w:bidi w:val="0"/>
              <w:spacing w:before="40" w:line="360" w:lineRule="auto"/>
              <w:jc w:val="both"/>
              <w:rPr>
                <w:rFonts w:hint="eastAsia" w:ascii="宋体" w:hAnsi="宋体" w:eastAsia="宋体" w:cs="宋体"/>
                <w:snapToGrid w:val="0"/>
                <w:color w:val="auto"/>
                <w:spacing w:val="0"/>
                <w:w w:val="100"/>
                <w:position w:val="0"/>
                <w:sz w:val="24"/>
                <w:szCs w:val="24"/>
                <w:highlight w:val="none"/>
                <w:lang w:val="en-US" w:eastAsia="zh-CN" w:bidi="ar-SA"/>
              </w:rPr>
            </w:pPr>
          </w:p>
        </w:tc>
      </w:tr>
      <w:tr w14:paraId="02901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745" w:type="dxa"/>
            <w:vAlign w:val="center"/>
          </w:tcPr>
          <w:p w14:paraId="0CA895F6">
            <w:pPr>
              <w:pageBreakBefore w:val="0"/>
              <w:widowControl w:val="0"/>
              <w:wordWrap/>
              <w:overflowPunct/>
              <w:topLinePunct w:val="0"/>
              <w:bidi w:val="0"/>
              <w:spacing w:before="152" w:line="24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313" w:type="dxa"/>
            <w:shd w:val="clear" w:color="auto" w:fill="auto"/>
            <w:vAlign w:val="center"/>
          </w:tcPr>
          <w:p w14:paraId="237B9A16">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信用查询</w:t>
            </w:r>
          </w:p>
        </w:tc>
        <w:tc>
          <w:tcPr>
            <w:tcW w:w="7447" w:type="dxa"/>
            <w:shd w:val="clear" w:color="auto" w:fill="auto"/>
            <w:vAlign w:val="center"/>
          </w:tcPr>
          <w:p w14:paraId="5D7E3D7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b/>
                <w:snapToGrid w:val="0"/>
                <w:color w:val="auto"/>
                <w:spacing w:val="4"/>
                <w:sz w:val="24"/>
                <w:szCs w:val="24"/>
                <w:highlight w:val="none"/>
                <w:lang w:val="en-US" w:eastAsia="zh-CN" w:bidi="ar-SA"/>
              </w:rPr>
            </w:pPr>
            <w:r>
              <w:rPr>
                <w:rFonts w:hint="eastAsia" w:ascii="宋体" w:hAnsi="宋体" w:eastAsia="宋体" w:cs="宋体"/>
                <w:color w:val="auto"/>
                <w:spacing w:val="4"/>
                <w:sz w:val="24"/>
                <w:szCs w:val="24"/>
                <w:highlight w:val="none"/>
              </w:rPr>
              <w:t>将对所有</w:t>
            </w:r>
            <w:r>
              <w:rPr>
                <w:rFonts w:hint="eastAsia" w:ascii="宋体" w:hAnsi="宋体" w:eastAsia="宋体" w:cs="宋体"/>
                <w:color w:val="auto"/>
                <w:spacing w:val="3"/>
                <w:sz w:val="24"/>
                <w:szCs w:val="24"/>
                <w:highlight w:val="none"/>
                <w:lang w:eastAsia="zh-CN"/>
              </w:rPr>
              <w:t>递交</w:t>
            </w:r>
            <w:r>
              <w:rPr>
                <w:rFonts w:hint="eastAsia" w:ascii="宋体" w:hAnsi="宋体" w:eastAsia="宋体" w:cs="宋体"/>
                <w:color w:val="auto"/>
                <w:spacing w:val="4"/>
                <w:sz w:val="24"/>
                <w:szCs w:val="24"/>
                <w:highlight w:val="none"/>
              </w:rPr>
              <w:t>了投标文件的投标人进行网上信用查询，对投标截止时间前列入失信被执行人、重大税收违法案件当事人名单、政府采购严重违法失信行为记录名单的将作无效投标处理。查询网址：“信用中国”网站(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spacing w:val="4"/>
                <w:sz w:val="24"/>
                <w:szCs w:val="24"/>
                <w:highlight w:val="none"/>
              </w:rPr>
              <w:t>www.creditchina.gov.cn</w:t>
            </w:r>
            <w:r>
              <w:rPr>
                <w:rFonts w:hint="eastAsia" w:ascii="宋体" w:hAnsi="宋体" w:eastAsia="宋体" w:cs="宋体"/>
                <w:color w:val="auto"/>
                <w:spacing w:val="4"/>
                <w:sz w:val="24"/>
                <w:szCs w:val="24"/>
                <w:highlight w:val="none"/>
              </w:rPr>
              <w:fldChar w:fldCharType="end"/>
            </w:r>
            <w:r>
              <w:rPr>
                <w:rFonts w:hint="eastAsia" w:ascii="宋体" w:hAnsi="宋体" w:eastAsia="宋体" w:cs="宋体"/>
                <w:color w:val="auto"/>
                <w:spacing w:val="4"/>
                <w:sz w:val="24"/>
                <w:szCs w:val="24"/>
                <w:highlight w:val="none"/>
              </w:rPr>
              <w:t>)和中国政府采购(</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spacing w:val="4"/>
                <w:sz w:val="24"/>
                <w:szCs w:val="24"/>
                <w:highlight w:val="none"/>
              </w:rPr>
              <w:t>www.ccgp.gov.cn</w:t>
            </w:r>
            <w:r>
              <w:rPr>
                <w:rFonts w:hint="eastAsia" w:ascii="宋体" w:hAnsi="宋体" w:eastAsia="宋体" w:cs="宋体"/>
                <w:color w:val="auto"/>
                <w:spacing w:val="4"/>
                <w:sz w:val="24"/>
                <w:szCs w:val="24"/>
                <w:highlight w:val="none"/>
              </w:rPr>
              <w:fldChar w:fldCharType="end"/>
            </w:r>
            <w:r>
              <w:rPr>
                <w:rFonts w:hint="eastAsia" w:ascii="宋体" w:hAnsi="宋体" w:eastAsia="宋体" w:cs="宋体"/>
                <w:color w:val="auto"/>
                <w:spacing w:val="4"/>
                <w:sz w:val="24"/>
                <w:szCs w:val="24"/>
                <w:highlight w:val="none"/>
              </w:rPr>
              <w:t>)等。</w:t>
            </w:r>
          </w:p>
        </w:tc>
      </w:tr>
      <w:tr w14:paraId="6863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745" w:type="dxa"/>
            <w:vAlign w:val="center"/>
          </w:tcPr>
          <w:p w14:paraId="69D7C9F2">
            <w:pPr>
              <w:pageBreakBefore w:val="0"/>
              <w:widowControl w:val="0"/>
              <w:wordWrap/>
              <w:overflowPunct/>
              <w:topLinePunct w:val="0"/>
              <w:bidi w:val="0"/>
              <w:spacing w:before="152" w:line="24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313" w:type="dxa"/>
            <w:shd w:val="clear" w:color="auto" w:fill="auto"/>
            <w:vAlign w:val="center"/>
          </w:tcPr>
          <w:p w14:paraId="64C10985">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合同签订</w:t>
            </w:r>
          </w:p>
        </w:tc>
        <w:tc>
          <w:tcPr>
            <w:tcW w:w="7447" w:type="dxa"/>
            <w:shd w:val="clear" w:color="auto" w:fill="auto"/>
            <w:vAlign w:val="center"/>
          </w:tcPr>
          <w:p w14:paraId="19259D5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snapToGrid w:val="0"/>
                <w:color w:val="auto"/>
                <w:spacing w:val="4"/>
                <w:sz w:val="24"/>
                <w:szCs w:val="24"/>
                <w:highlight w:val="none"/>
                <w:lang w:val="en-US" w:eastAsia="zh-CN" w:bidi="ar-SA"/>
              </w:rPr>
            </w:pPr>
            <w:r>
              <w:rPr>
                <w:rFonts w:hint="eastAsia" w:ascii="宋体" w:hAnsi="宋体" w:eastAsia="宋体" w:cs="宋体"/>
                <w:color w:val="auto"/>
                <w:spacing w:val="4"/>
                <w:sz w:val="24"/>
                <w:highlight w:val="none"/>
              </w:rPr>
              <w:t>合同签订：在发出中标通知书（即中标结果公告的当天）的30日内，中标人与采购人签订采购合同，中标人及采购人应根据招标文件要求及中标人的投标文件响应情况调整采购合同格式（格式详见第五章 采购合同），但合同内容不得与招标文件及投标响应相冲突。</w:t>
            </w:r>
          </w:p>
        </w:tc>
      </w:tr>
      <w:tr w14:paraId="79DA3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745" w:type="dxa"/>
            <w:vAlign w:val="center"/>
          </w:tcPr>
          <w:p w14:paraId="7FD52B29">
            <w:pPr>
              <w:pageBreakBefore w:val="0"/>
              <w:widowControl w:val="0"/>
              <w:wordWrap/>
              <w:overflowPunct/>
              <w:topLinePunct w:val="0"/>
              <w:bidi w:val="0"/>
              <w:spacing w:before="152" w:line="24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313" w:type="dxa"/>
            <w:shd w:val="clear" w:color="auto" w:fill="auto"/>
            <w:vAlign w:val="center"/>
          </w:tcPr>
          <w:p w14:paraId="25F3E097">
            <w:pPr>
              <w:pageBreakBefore w:val="0"/>
              <w:widowControl w:val="0"/>
              <w:wordWrap/>
              <w:overflowPunct/>
              <w:topLinePunct w:val="0"/>
              <w:bidi w:val="0"/>
              <w:spacing w:before="79" w:line="219" w:lineRule="auto"/>
              <w:ind w:left="0" w:leftChars="0" w:firstLine="0" w:firstLineChars="0"/>
              <w:jc w:val="center"/>
              <w:rPr>
                <w:rFonts w:hint="eastAsia" w:ascii="宋体" w:hAnsi="宋体" w:eastAsia="宋体" w:cs="宋体"/>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eastAsia="zh-CN"/>
              </w:rPr>
              <w:t>线上</w:t>
            </w:r>
            <w:r>
              <w:rPr>
                <w:rFonts w:hint="eastAsia" w:ascii="宋体" w:hAnsi="宋体" w:eastAsia="宋体" w:cs="宋体"/>
                <w:b/>
                <w:bCs/>
                <w:color w:val="auto"/>
                <w:spacing w:val="3"/>
                <w:sz w:val="24"/>
                <w:szCs w:val="24"/>
                <w:highlight w:val="none"/>
                <w:lang w:val="en-US" w:eastAsia="zh-CN"/>
              </w:rPr>
              <w:t>开标</w:t>
            </w:r>
            <w:r>
              <w:rPr>
                <w:rFonts w:hint="eastAsia" w:ascii="宋体" w:hAnsi="宋体" w:eastAsia="宋体" w:cs="宋体"/>
                <w:b/>
                <w:bCs/>
                <w:color w:val="auto"/>
                <w:spacing w:val="3"/>
                <w:sz w:val="24"/>
                <w:szCs w:val="24"/>
                <w:highlight w:val="none"/>
                <w:lang w:eastAsia="zh-CN"/>
              </w:rPr>
              <w:t>及直播观看</w:t>
            </w:r>
          </w:p>
        </w:tc>
        <w:tc>
          <w:tcPr>
            <w:tcW w:w="7447" w:type="dxa"/>
            <w:shd w:val="clear" w:color="auto" w:fill="auto"/>
            <w:vAlign w:val="center"/>
          </w:tcPr>
          <w:p w14:paraId="4E0C452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采用“不见面方式开标”的项目，投标人不需要到场参加开标会。现场环节全部</w:t>
            </w:r>
            <w:r>
              <w:rPr>
                <w:rFonts w:hint="eastAsia" w:ascii="宋体" w:hAnsi="宋体" w:eastAsia="宋体" w:cs="宋体"/>
                <w:color w:val="auto"/>
                <w:spacing w:val="3"/>
                <w:sz w:val="24"/>
                <w:szCs w:val="24"/>
                <w:highlight w:val="none"/>
                <w:lang w:val="en-US" w:eastAsia="zh-CN"/>
              </w:rPr>
              <w:t>转为</w:t>
            </w:r>
            <w:r>
              <w:rPr>
                <w:rFonts w:hint="eastAsia" w:ascii="宋体" w:hAnsi="宋体" w:eastAsia="宋体" w:cs="宋体"/>
                <w:color w:val="auto"/>
                <w:sz w:val="24"/>
                <w:highlight w:val="none"/>
                <w:lang w:val="en-US" w:eastAsia="zh-CN"/>
              </w:rPr>
              <w:t>系统线上操作。</w:t>
            </w:r>
          </w:p>
          <w:p w14:paraId="3BC9609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采用“不见面开标”方式，投标人无需抵达开标现场，可远程登录“上饶不见面开标大厅”参与开标过程。具体操作指南可进入上饶市阳光采购平台官网服务指南下载：不见面开标大厅操作指南（投标人）</w:t>
            </w:r>
          </w:p>
          <w:p w14:paraId="392AEED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2、开评标全过程中，各投标人参与远程交互的授权委托人或法定代表人应</w:t>
            </w:r>
            <w:r>
              <w:rPr>
                <w:rFonts w:hint="eastAsia" w:ascii="宋体" w:hAnsi="宋体" w:eastAsia="宋体" w:cs="宋体"/>
                <w:color w:val="auto"/>
                <w:spacing w:val="3"/>
                <w:sz w:val="24"/>
                <w:szCs w:val="24"/>
                <w:highlight w:val="none"/>
                <w:lang w:val="en-US" w:eastAsia="zh-CN"/>
              </w:rPr>
              <w:t>始终</w:t>
            </w:r>
            <w:r>
              <w:rPr>
                <w:rFonts w:hint="eastAsia" w:ascii="宋体" w:hAnsi="宋体" w:eastAsia="宋体" w:cs="宋体"/>
                <w:color w:val="auto"/>
                <w:sz w:val="24"/>
                <w:highlight w:val="none"/>
                <w:lang w:val="en-US" w:eastAsia="zh-CN"/>
              </w:rPr>
              <w:t>保持为同一人，中途不得更换，在解密、澄清、提疑、传送文件等特殊情况下需要交互时，投标人一端参与交互的人员将均被视为是投标人的授权委托人或法定代表人，投标人不得以不承认交互人员的资格或身份等为借口抵赖推脱，投标人自行承担随意更换人员所导致的一切后果。授权委托人或法定代表人应当熟练的操作系统且在项目开评标期间保持在线状态。</w:t>
            </w:r>
          </w:p>
          <w:p w14:paraId="52D499F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提交投标文件截止时间后，采购代理机构将在不见面开标大厅内公布供应商名单，然后在不见面开标大厅发出响应文件解密的指令；在宣布开始解密后30分钟内必须完成解密，供应商在各自地点进入不见面大厅自行实施远程解密，参加网上在线开标活动。</w:t>
            </w:r>
          </w:p>
          <w:p w14:paraId="61C2464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textAlignment w:val="baseline"/>
              <w:rPr>
                <w:rFonts w:hint="eastAsia" w:ascii="宋体" w:hAnsi="宋体" w:eastAsia="宋体" w:cs="宋体"/>
                <w:color w:val="auto"/>
                <w:spacing w:val="4"/>
                <w:sz w:val="24"/>
                <w:highlight w:val="none"/>
              </w:rPr>
            </w:pPr>
            <w:r>
              <w:rPr>
                <w:rFonts w:hint="eastAsia" w:ascii="宋体" w:hAnsi="宋体" w:eastAsia="宋体" w:cs="宋体"/>
                <w:color w:val="auto"/>
                <w:sz w:val="24"/>
                <w:highlight w:val="none"/>
                <w:lang w:val="en-US" w:eastAsia="zh-CN"/>
              </w:rPr>
              <w:t>4、投标人应全程保持在线状态，当手机收到询标通知后，应及时响应，并对询标内容进行回复（自询标通知发出起20分钟内完成回复），否则视为放弃解释说明的权利且完全认可专家的意见，因业务不熟悉而导致的一切后果由投标人自行承担。</w:t>
            </w:r>
          </w:p>
        </w:tc>
      </w:tr>
    </w:tbl>
    <w:p w14:paraId="1B466271">
      <w:pPr>
        <w:pageBreakBefore w:val="0"/>
        <w:widowControl w:val="0"/>
        <w:wordWrap/>
        <w:overflowPunct/>
        <w:topLinePunct w:val="0"/>
        <w:bidi w:val="0"/>
        <w:rPr>
          <w:rFonts w:hint="eastAsia" w:ascii="宋体" w:hAnsi="宋体" w:eastAsia="宋体" w:cs="宋体"/>
          <w:color w:val="auto"/>
          <w:highlight w:val="none"/>
          <w:lang w:eastAsia="zh-CN"/>
        </w:rPr>
        <w:sectPr>
          <w:footerReference r:id="rId4" w:type="default"/>
          <w:pgSz w:w="11906" w:h="16839"/>
          <w:pgMar w:top="1134" w:right="1134" w:bottom="1134" w:left="1134" w:header="0" w:footer="1200" w:gutter="0"/>
          <w:pgBorders>
            <w:top w:val="none" w:sz="0" w:space="0"/>
            <w:left w:val="none" w:sz="0" w:space="0"/>
            <w:bottom w:val="none" w:sz="0" w:space="0"/>
            <w:right w:val="none" w:sz="0" w:space="0"/>
          </w:pgBorders>
          <w:pgNumType w:fmt="decimal" w:start="1"/>
          <w:cols w:space="720" w:num="1"/>
        </w:sectPr>
      </w:pPr>
    </w:p>
    <w:p w14:paraId="4C4A06DE">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z w:val="24"/>
          <w:szCs w:val="24"/>
          <w:highlight w:val="none"/>
          <w:lang w:eastAsia="zh-CN"/>
        </w:rPr>
      </w:pPr>
      <w:bookmarkStart w:id="60" w:name="bookmark11"/>
      <w:bookmarkEnd w:id="60"/>
      <w:bookmarkStart w:id="61" w:name="_Toc10028"/>
      <w:bookmarkStart w:id="62" w:name="_Toc31837"/>
      <w:bookmarkStart w:id="63" w:name="_Toc19890"/>
      <w:r>
        <w:rPr>
          <w:rFonts w:hint="eastAsia"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t>二</w:t>
      </w:r>
      <w:r>
        <w:rPr>
          <w:rFonts w:hint="eastAsia" w:ascii="宋体" w:hAnsi="宋体" w:eastAsia="宋体" w:cs="宋体"/>
          <w:color w:val="auto"/>
          <w:spacing w:val="-92"/>
          <w:sz w:val="24"/>
          <w:szCs w:val="24"/>
          <w:highlight w:val="none"/>
          <w:lang w:eastAsia="zh-CN"/>
        </w:rPr>
        <w:t xml:space="preserve"> </w:t>
      </w:r>
      <w:r>
        <w:rPr>
          <w:rFonts w:hint="eastAsia"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t>、磋商文件</w:t>
      </w:r>
      <w:bookmarkEnd w:id="61"/>
      <w:bookmarkEnd w:id="62"/>
      <w:bookmarkEnd w:id="63"/>
    </w:p>
    <w:p w14:paraId="62D2BDEF">
      <w:pPr>
        <w:pageBreakBefore w:val="0"/>
        <w:widowControl w:val="0"/>
        <w:wordWrap/>
        <w:overflowPunct/>
        <w:topLinePunct w:val="0"/>
        <w:bidi w:val="0"/>
        <w:spacing w:beforeAutospacing="0" w:line="363" w:lineRule="auto"/>
        <w:rPr>
          <w:rFonts w:hint="eastAsia" w:ascii="宋体" w:hAnsi="宋体" w:eastAsia="宋体" w:cs="宋体"/>
          <w:color w:val="auto"/>
          <w:highlight w:val="none"/>
          <w:lang w:eastAsia="zh-CN"/>
        </w:rPr>
      </w:pPr>
    </w:p>
    <w:p w14:paraId="279D6E9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2"/>
        <w:rPr>
          <w:rFonts w:hint="eastAsia" w:ascii="宋体" w:hAnsi="宋体" w:eastAsia="宋体" w:cs="宋体"/>
          <w:color w:val="auto"/>
          <w:spacing w:val="0"/>
          <w:position w:val="0"/>
          <w:sz w:val="24"/>
          <w:szCs w:val="24"/>
          <w:highlight w:val="none"/>
          <w:lang w:eastAsia="zh-CN"/>
        </w:rPr>
      </w:pPr>
      <w:bookmarkStart w:id="64" w:name="bookmark12"/>
      <w:bookmarkEnd w:id="64"/>
      <w:bookmarkStart w:id="65" w:name="_Toc29558"/>
      <w:bookmarkStart w:id="66" w:name="_Toc32750"/>
      <w:bookmarkStart w:id="67" w:name="_Toc30864"/>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1.适用范围</w:t>
      </w:r>
      <w:bookmarkEnd w:id="65"/>
      <w:bookmarkEnd w:id="66"/>
      <w:bookmarkEnd w:id="67"/>
    </w:p>
    <w:p w14:paraId="107853B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1.1 本磋商文件仅适用于本“磋商邀请”中所述服务的采购。</w:t>
      </w:r>
    </w:p>
    <w:p w14:paraId="33271F4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68" w:name="bookmark13"/>
      <w:bookmarkEnd w:id="68"/>
      <w:bookmarkStart w:id="69" w:name="_Toc30306"/>
      <w:bookmarkStart w:id="70" w:name="_Toc17668"/>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bCs/>
          <w:color w:val="auto"/>
          <w:spacing w:val="0"/>
          <w:position w:val="0"/>
          <w:sz w:val="24"/>
          <w:szCs w:val="24"/>
          <w:highlight w:val="none"/>
          <w:lang w:eastAsia="zh-CN"/>
        </w:rPr>
        <w:t>定义</w:t>
      </w:r>
      <w:bookmarkEnd w:id="69"/>
      <w:bookmarkEnd w:id="70"/>
    </w:p>
    <w:p w14:paraId="6454236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2.1 采购人：详见“</w:t>
      </w:r>
      <w:r>
        <w:rPr>
          <w:rFonts w:hint="eastAsia" w:ascii="宋体" w:hAnsi="宋体" w:eastAsia="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eastAsia="宋体" w:cs="宋体"/>
          <w:color w:val="auto"/>
          <w:spacing w:val="0"/>
          <w:position w:val="0"/>
          <w:sz w:val="24"/>
          <w:szCs w:val="24"/>
          <w:highlight w:val="none"/>
        </w:rPr>
        <w:t>邀请</w:t>
      </w:r>
      <w:r>
        <w:rPr>
          <w:rFonts w:hint="eastAsia" w:ascii="宋体" w:hAnsi="宋体" w:eastAsia="宋体" w:cs="宋体"/>
          <w:color w:val="auto"/>
          <w:spacing w:val="0"/>
          <w:position w:val="0"/>
          <w:sz w:val="24"/>
          <w:szCs w:val="24"/>
          <w:highlight w:val="none"/>
          <w:lang w:eastAsia="zh-CN"/>
        </w:rPr>
        <w:t xml:space="preserve"> ”。</w:t>
      </w:r>
    </w:p>
    <w:p w14:paraId="68AAC18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2.2 采购代理机构：详见“</w:t>
      </w:r>
      <w:r>
        <w:rPr>
          <w:rFonts w:hint="eastAsia" w:ascii="宋体" w:hAnsi="宋体" w:eastAsia="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eastAsia="宋体" w:cs="宋体"/>
          <w:color w:val="auto"/>
          <w:spacing w:val="0"/>
          <w:position w:val="0"/>
          <w:sz w:val="24"/>
          <w:szCs w:val="24"/>
          <w:highlight w:val="none"/>
        </w:rPr>
        <w:t>邀请</w:t>
      </w:r>
      <w:r>
        <w:rPr>
          <w:rFonts w:hint="eastAsia" w:ascii="宋体" w:hAnsi="宋体" w:eastAsia="宋体" w:cs="宋体"/>
          <w:color w:val="auto"/>
          <w:spacing w:val="0"/>
          <w:position w:val="0"/>
          <w:sz w:val="24"/>
          <w:szCs w:val="24"/>
          <w:highlight w:val="none"/>
          <w:lang w:eastAsia="zh-CN"/>
        </w:rPr>
        <w:t xml:space="preserve"> ”。</w:t>
      </w:r>
    </w:p>
    <w:p w14:paraId="0886116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2.3 供应商：是指</w:t>
      </w:r>
      <w:r>
        <w:rPr>
          <w:rFonts w:hint="eastAsia" w:ascii="宋体" w:hAnsi="宋体" w:eastAsia="宋体" w:cs="宋体"/>
          <w:color w:val="auto"/>
          <w:spacing w:val="0"/>
          <w:position w:val="0"/>
          <w:sz w:val="24"/>
          <w:szCs w:val="24"/>
          <w:highlight w:val="none"/>
          <w:lang w:val="en-US" w:eastAsia="zh-CN"/>
        </w:rPr>
        <w:t>向采购人提供</w:t>
      </w:r>
      <w:r>
        <w:rPr>
          <w:rFonts w:hint="eastAsia" w:ascii="宋体" w:hAnsi="宋体" w:eastAsia="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eastAsia="宋体" w:cs="宋体"/>
          <w:color w:val="auto"/>
          <w:spacing w:val="0"/>
          <w:position w:val="0"/>
          <w:sz w:val="24"/>
          <w:szCs w:val="24"/>
          <w:highlight w:val="none"/>
        </w:rPr>
        <w:t>邀请”中采购内容</w:t>
      </w:r>
      <w:r>
        <w:rPr>
          <w:rFonts w:hint="eastAsia" w:ascii="宋体" w:hAnsi="宋体" w:eastAsia="宋体" w:cs="宋体"/>
          <w:color w:val="auto"/>
          <w:spacing w:val="0"/>
          <w:position w:val="0"/>
          <w:sz w:val="24"/>
          <w:szCs w:val="24"/>
          <w:highlight w:val="none"/>
          <w:lang w:eastAsia="zh-CN"/>
        </w:rPr>
        <w:t>的法人、其他组织或者自然人。</w:t>
      </w:r>
    </w:p>
    <w:p w14:paraId="166F18C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71" w:name="bookmark14"/>
      <w:bookmarkEnd w:id="71"/>
      <w:bookmarkStart w:id="72" w:name="_Toc27145"/>
      <w:bookmarkStart w:id="73" w:name="_Toc19706"/>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3.合</w:t>
      </w:r>
      <w:r>
        <w:rPr>
          <w:rFonts w:hint="eastAsia" w:ascii="宋体" w:hAnsi="宋体" w:eastAsia="宋体" w:cs="宋体"/>
          <w:b/>
          <w:bCs/>
          <w:color w:val="auto"/>
          <w:spacing w:val="0"/>
          <w:position w:val="0"/>
          <w:sz w:val="24"/>
          <w:szCs w:val="24"/>
          <w:highlight w:val="none"/>
          <w:lang w:eastAsia="zh-CN"/>
        </w:rPr>
        <w:t>格供应商</w:t>
      </w:r>
      <w:bookmarkEnd w:id="72"/>
      <w:bookmarkEnd w:id="73"/>
    </w:p>
    <w:p w14:paraId="42B5013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3.1 供应商的资格条件：详见“第一章 磋商邀请”。</w:t>
      </w:r>
    </w:p>
    <w:p w14:paraId="4A6137B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3.2 联合体</w:t>
      </w:r>
      <w:r>
        <w:rPr>
          <w:rFonts w:hint="eastAsia" w:ascii="宋体" w:hAnsi="宋体" w:eastAsia="宋体" w:cs="宋体"/>
          <w:color w:val="auto"/>
          <w:spacing w:val="0"/>
          <w:position w:val="0"/>
          <w:sz w:val="24"/>
          <w:szCs w:val="24"/>
          <w:highlight w:val="none"/>
          <w:lang w:val="en-US" w:eastAsia="zh-CN"/>
        </w:rPr>
        <w:t>参加磋商。</w:t>
      </w:r>
    </w:p>
    <w:p w14:paraId="5642AA2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3.2.1 是否接受联合体</w:t>
      </w:r>
      <w:r>
        <w:rPr>
          <w:rFonts w:hint="eastAsia" w:ascii="宋体" w:hAnsi="宋体" w:eastAsia="宋体" w:cs="宋体"/>
          <w:color w:val="auto"/>
          <w:spacing w:val="0"/>
          <w:position w:val="0"/>
          <w:sz w:val="24"/>
          <w:szCs w:val="24"/>
          <w:highlight w:val="none"/>
          <w:lang w:val="en-US" w:eastAsia="zh-CN"/>
        </w:rPr>
        <w:t>参加磋商</w:t>
      </w:r>
      <w:r>
        <w:rPr>
          <w:rFonts w:hint="eastAsia" w:ascii="宋体" w:hAnsi="宋体" w:eastAsia="宋体" w:cs="宋体"/>
          <w:color w:val="auto"/>
          <w:spacing w:val="0"/>
          <w:position w:val="0"/>
          <w:sz w:val="24"/>
          <w:szCs w:val="24"/>
          <w:highlight w:val="none"/>
          <w:lang w:eastAsia="zh-CN"/>
        </w:rPr>
        <w:t>：详见“供应商须知前附表 ”。</w:t>
      </w:r>
    </w:p>
    <w:p w14:paraId="6A6EA4C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eastAsia="zh-CN"/>
        </w:rPr>
        <w:t>3.2.2 两个以上的自然人、法人或者其他组织可以组成一个联合体，以一个供应商的身份共同参加政府采购。以联合体形式进行政府采购的，参加联合体的供应商均应当具备供应商的资格条件，并应当向采购人提交联合协议，载明联合体各方承担的工作和义务。联合体各方应当共同与采购人签订采购合同，就采购合同约定的事项对采购人承担连带责任。否则，将导致其</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响应无效。（适用于联合体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16FB169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3.2.3 联合体各方均应当满足相应的资格条件，项目中有特定资质要求的，联合体当中承担此项工作的供应商必须具备相应的资质。联合体</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lang w:eastAsia="zh-CN"/>
        </w:rPr>
        <w:t>后，必须由联合体中具备“相应 ”资质的供应商承担，否则将承担违约责任，并赔偿因违约给采购人造成的一切损失。</w:t>
      </w:r>
    </w:p>
    <w:p w14:paraId="4F08D78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74" w:name="bookmark15"/>
      <w:bookmarkEnd w:id="74"/>
      <w:r>
        <w:rPr>
          <w:rFonts w:hint="eastAsia" w:ascii="宋体" w:hAnsi="宋体" w:eastAsia="宋体" w:cs="宋体"/>
          <w:color w:val="auto"/>
          <w:spacing w:val="0"/>
          <w:position w:val="0"/>
          <w:sz w:val="24"/>
          <w:szCs w:val="24"/>
          <w:highlight w:val="none"/>
        </w:rPr>
        <w:t>3.2.</w:t>
      </w: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rPr>
        <w:t>以</w:t>
      </w:r>
      <w:r>
        <w:rPr>
          <w:rFonts w:hint="eastAsia" w:ascii="宋体" w:hAnsi="宋体" w:eastAsia="宋体" w:cs="宋体"/>
          <w:color w:val="auto"/>
          <w:spacing w:val="0"/>
          <w:position w:val="0"/>
          <w:sz w:val="24"/>
          <w:szCs w:val="24"/>
          <w:highlight w:val="none"/>
          <w:lang w:eastAsia="zh-CN"/>
        </w:rPr>
        <w:t>联合体</w:t>
      </w:r>
      <w:r>
        <w:rPr>
          <w:rFonts w:hint="eastAsia" w:ascii="宋体" w:hAnsi="宋体" w:eastAsia="宋体" w:cs="宋体"/>
          <w:color w:val="auto"/>
          <w:spacing w:val="0"/>
          <w:position w:val="0"/>
          <w:sz w:val="24"/>
          <w:szCs w:val="24"/>
          <w:highlight w:val="none"/>
        </w:rPr>
        <w:t>参加</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rPr>
        <w:t>的，联合体中有同类资质的</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按联合体分工承担相同工作的，应当按照资质等级较低的</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确定资质等级。</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40070C8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rPr>
        <w:t>3.2.</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联合体</w:t>
      </w:r>
      <w:r>
        <w:rPr>
          <w:rFonts w:hint="eastAsia" w:ascii="宋体" w:hAnsi="宋体" w:eastAsia="宋体" w:cs="宋体"/>
          <w:color w:val="auto"/>
          <w:spacing w:val="0"/>
          <w:position w:val="0"/>
          <w:sz w:val="24"/>
          <w:szCs w:val="24"/>
          <w:highlight w:val="none"/>
        </w:rPr>
        <w:t>各方不得再单独参加或者与其他</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另外组成联合体参加同一合同项下的政府采购活动。</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309CCAA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75" w:name="_Toc14088"/>
      <w:bookmarkStart w:id="76" w:name="_Toc14106"/>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费用</w:t>
      </w:r>
      <w:bookmarkEnd w:id="75"/>
      <w:bookmarkEnd w:id="76"/>
    </w:p>
    <w:p w14:paraId="3CCE6DF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sz w:val="24"/>
          <w:szCs w:val="24"/>
          <w:highlight w:val="none"/>
          <w:lang w:eastAsia="zh-CN"/>
        </w:rPr>
        <w:t>4.1 供应商应自行承担所有与准备和参加</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有关的全部费用。不论</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的结果如何，采</w:t>
      </w:r>
      <w:r>
        <w:rPr>
          <w:rFonts w:hint="eastAsia" w:ascii="宋体" w:hAnsi="宋体" w:eastAsia="宋体" w:cs="宋体"/>
          <w:color w:val="auto"/>
          <w:spacing w:val="0"/>
          <w:position w:val="0"/>
          <w:sz w:val="24"/>
          <w:szCs w:val="24"/>
          <w:highlight w:val="none"/>
          <w:lang w:val="en-US" w:eastAsia="zh-CN"/>
        </w:rPr>
        <w:t>购代理机构均无义务和责任承担这些费用。</w:t>
      </w:r>
    </w:p>
    <w:p w14:paraId="0AF97FF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77" w:name="bookmark16"/>
      <w:bookmarkEnd w:id="77"/>
      <w:bookmarkStart w:id="78" w:name="_Toc7243"/>
      <w:bookmarkStart w:id="79" w:name="_Toc16379"/>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5.</w:t>
      </w:r>
      <w:r>
        <w:rPr>
          <w:rFonts w:hint="eastAsia" w:ascii="宋体" w:hAnsi="宋体" w:eastAsia="宋体" w:cs="宋体"/>
          <w:b/>
          <w:bCs/>
          <w:color w:val="auto"/>
          <w:spacing w:val="0"/>
          <w:position w:val="0"/>
          <w:sz w:val="24"/>
          <w:szCs w:val="24"/>
          <w:highlight w:val="none"/>
          <w:lang w:eastAsia="zh-CN"/>
        </w:rPr>
        <w:t>供应商代</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表</w:t>
      </w:r>
      <w:bookmarkEnd w:id="78"/>
      <w:bookmarkEnd w:id="79"/>
    </w:p>
    <w:p w14:paraId="0DFCAEC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sz w:val="24"/>
          <w:szCs w:val="24"/>
          <w:highlight w:val="none"/>
          <w:lang w:eastAsia="zh-CN"/>
        </w:rPr>
        <w:t>5.1 指全权代表供应商参加</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活动并签署响应文件的人。如果供应商代表不是法定代表人，须持有《法定代表人授权书》。</w:t>
      </w:r>
    </w:p>
    <w:p w14:paraId="2EB7CD7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80" w:name="bookmark17"/>
      <w:bookmarkEnd w:id="80"/>
      <w:bookmarkStart w:id="81" w:name="_Toc31597"/>
      <w:bookmarkStart w:id="82" w:name="_Toc10185"/>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6.磋商文件的构成</w:t>
      </w:r>
      <w:bookmarkEnd w:id="81"/>
      <w:bookmarkEnd w:id="82"/>
    </w:p>
    <w:p w14:paraId="73D94B3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6.1 要求提供的服务、</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过程和合同条款在磋商文件中均有说明。</w:t>
      </w:r>
    </w:p>
    <w:p w14:paraId="6500BF2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磋商文件共</w:t>
      </w:r>
      <w:r>
        <w:rPr>
          <w:rFonts w:hint="eastAsia" w:ascii="宋体" w:hAnsi="宋体" w:eastAsia="宋体" w:cs="宋体"/>
          <w:color w:val="auto"/>
          <w:spacing w:val="0"/>
          <w:position w:val="0"/>
          <w:sz w:val="24"/>
          <w:szCs w:val="24"/>
          <w:highlight w:val="none"/>
          <w:lang w:val="en-US" w:eastAsia="zh-CN"/>
        </w:rPr>
        <w:t>五</w:t>
      </w:r>
      <w:r>
        <w:rPr>
          <w:rFonts w:hint="eastAsia" w:ascii="宋体" w:hAnsi="宋体" w:eastAsia="宋体" w:cs="宋体"/>
          <w:color w:val="auto"/>
          <w:spacing w:val="0"/>
          <w:position w:val="0"/>
          <w:sz w:val="24"/>
          <w:szCs w:val="24"/>
          <w:highlight w:val="none"/>
          <w:lang w:eastAsia="zh-CN"/>
        </w:rPr>
        <w:t>章，各章的内容如下：</w:t>
      </w:r>
    </w:p>
    <w:p w14:paraId="5599944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 xml:space="preserve">第一章 </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邀请</w:t>
      </w:r>
    </w:p>
    <w:p w14:paraId="38EE01B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第二章 供应商须知</w:t>
      </w:r>
    </w:p>
    <w:p w14:paraId="7D05AE1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第三章 拟签订的合同文本</w:t>
      </w:r>
    </w:p>
    <w:p w14:paraId="78E1B0A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第四章 响应文件格式</w:t>
      </w:r>
    </w:p>
    <w:p w14:paraId="65A07A7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第五章 采购需求</w:t>
      </w:r>
    </w:p>
    <w:p w14:paraId="398B68B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val="en-US" w:eastAsia="zh-CN" w:bidi="ar-SA"/>
        </w:rPr>
        <w:t xml:space="preserve">第六章 </w:t>
      </w:r>
      <w:r>
        <w:rPr>
          <w:rFonts w:hint="eastAsia" w:ascii="宋体" w:hAnsi="宋体" w:eastAsia="宋体" w:cs="宋体"/>
          <w:color w:val="auto"/>
          <w:spacing w:val="0"/>
          <w:position w:val="0"/>
          <w:sz w:val="24"/>
          <w:szCs w:val="24"/>
          <w:highlight w:val="none"/>
          <w:lang w:val="en-US" w:eastAsia="zh-CN"/>
        </w:rPr>
        <w:t>评审</w:t>
      </w:r>
      <w:r>
        <w:rPr>
          <w:rFonts w:hint="eastAsia" w:ascii="宋体" w:hAnsi="宋体" w:eastAsia="宋体" w:cs="宋体"/>
          <w:snapToGrid w:val="0"/>
          <w:color w:val="auto"/>
          <w:spacing w:val="0"/>
          <w:position w:val="0"/>
          <w:sz w:val="24"/>
          <w:szCs w:val="24"/>
          <w:highlight w:val="none"/>
          <w:lang w:val="en-US" w:eastAsia="zh-CN" w:bidi="ar-SA"/>
        </w:rPr>
        <w:t>标准</w:t>
      </w:r>
    </w:p>
    <w:p w14:paraId="02B511C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6.2 除非有特殊要求，磋商文件不单独提供</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服务使用地的自然环境、气候条件、公用设施等情况，供应商被视为熟悉上述与履行合同有关的一切情况。</w:t>
      </w:r>
    </w:p>
    <w:p w14:paraId="50D283E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83" w:name="_Toc12539"/>
      <w:bookmarkStart w:id="84" w:name="_Toc1463"/>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7.供应商应当提交的资格、资信证明文件</w:t>
      </w:r>
      <w:bookmarkEnd w:id="83"/>
      <w:bookmarkEnd w:id="84"/>
    </w:p>
    <w:p w14:paraId="5A1BFD82">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7.1 </w:t>
      </w:r>
      <w:r>
        <w:rPr>
          <w:rFonts w:hint="eastAsia" w:ascii="宋体" w:hAnsi="宋体" w:eastAsia="宋体" w:cs="宋体"/>
          <w:color w:val="auto"/>
          <w:spacing w:val="0"/>
          <w:position w:val="0"/>
          <w:sz w:val="24"/>
          <w:szCs w:val="24"/>
          <w:highlight w:val="none"/>
          <w:lang w:eastAsia="zh-CN"/>
        </w:rPr>
        <w:t>具有独立承担民事责任的能力的资格证明文件</w:t>
      </w:r>
      <w:r>
        <w:rPr>
          <w:rFonts w:hint="eastAsia" w:ascii="宋体" w:hAnsi="宋体" w:eastAsia="宋体" w:cs="宋体"/>
          <w:color w:val="auto"/>
          <w:spacing w:val="0"/>
          <w:position w:val="0"/>
          <w:sz w:val="24"/>
          <w:szCs w:val="24"/>
          <w:highlight w:val="none"/>
          <w:lang w:val="en-US" w:eastAsia="zh-CN"/>
        </w:rPr>
        <w:t>；</w:t>
      </w:r>
    </w:p>
    <w:p w14:paraId="1F6707B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2 </w:t>
      </w:r>
      <w:r>
        <w:rPr>
          <w:rFonts w:hint="eastAsia" w:ascii="宋体" w:hAnsi="宋体" w:eastAsia="宋体" w:cs="宋体"/>
          <w:color w:val="auto"/>
          <w:spacing w:val="0"/>
          <w:position w:val="0"/>
          <w:sz w:val="24"/>
          <w:szCs w:val="24"/>
          <w:highlight w:val="none"/>
          <w:lang w:eastAsia="zh-CN"/>
        </w:rPr>
        <w:t>具有良好的商业信誉和健全的财务会计制度的证明文件；</w:t>
      </w:r>
    </w:p>
    <w:p w14:paraId="3E4A9A0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3 </w:t>
      </w:r>
      <w:r>
        <w:rPr>
          <w:rFonts w:hint="eastAsia" w:ascii="宋体" w:hAnsi="宋体" w:eastAsia="宋体" w:cs="宋体"/>
          <w:color w:val="auto"/>
          <w:spacing w:val="0"/>
          <w:position w:val="0"/>
          <w:sz w:val="24"/>
          <w:szCs w:val="24"/>
          <w:highlight w:val="none"/>
          <w:lang w:eastAsia="zh-CN"/>
        </w:rPr>
        <w:t>具有履行合同所必需的设备和专业技术能力的证明文件；</w:t>
      </w:r>
    </w:p>
    <w:p w14:paraId="277B03E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4 </w:t>
      </w:r>
      <w:r>
        <w:rPr>
          <w:rFonts w:hint="eastAsia" w:ascii="宋体" w:hAnsi="宋体" w:eastAsia="宋体" w:cs="宋体"/>
          <w:color w:val="auto"/>
          <w:spacing w:val="0"/>
          <w:position w:val="0"/>
          <w:sz w:val="24"/>
          <w:szCs w:val="24"/>
          <w:highlight w:val="none"/>
          <w:lang w:eastAsia="zh-CN"/>
        </w:rPr>
        <w:t>有依法缴纳税收和社会保障资金的良好记录的证明文件；</w:t>
      </w:r>
    </w:p>
    <w:p w14:paraId="67677BC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5 </w:t>
      </w:r>
      <w:r>
        <w:rPr>
          <w:rFonts w:hint="eastAsia" w:ascii="宋体" w:hAnsi="宋体" w:eastAsia="宋体" w:cs="宋体"/>
          <w:color w:val="auto"/>
          <w:spacing w:val="0"/>
          <w:position w:val="0"/>
          <w:sz w:val="24"/>
          <w:szCs w:val="24"/>
          <w:highlight w:val="none"/>
          <w:lang w:eastAsia="zh-CN"/>
        </w:rPr>
        <w:t>参加政府采购</w:t>
      </w:r>
      <w:r>
        <w:rPr>
          <w:rFonts w:hint="eastAsia" w:ascii="宋体" w:hAnsi="宋体" w:eastAsia="宋体" w:cs="宋体"/>
          <w:color w:val="auto"/>
          <w:spacing w:val="0"/>
          <w:position w:val="0"/>
          <w:sz w:val="24"/>
          <w:szCs w:val="24"/>
          <w:highlight w:val="none"/>
          <w:lang w:val="en-US" w:eastAsia="zh-CN"/>
        </w:rPr>
        <w:t>活动</w:t>
      </w:r>
      <w:r>
        <w:rPr>
          <w:rFonts w:hint="eastAsia" w:ascii="宋体" w:hAnsi="宋体" w:eastAsia="宋体" w:cs="宋体"/>
          <w:color w:val="auto"/>
          <w:spacing w:val="0"/>
          <w:position w:val="0"/>
          <w:sz w:val="24"/>
          <w:szCs w:val="24"/>
          <w:highlight w:val="none"/>
          <w:lang w:eastAsia="zh-CN"/>
        </w:rPr>
        <w:t>前三年内，在经营活动中没有重大违法记录的证明文件；</w:t>
      </w:r>
    </w:p>
    <w:p w14:paraId="33F8B4B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6 </w:t>
      </w:r>
      <w:r>
        <w:rPr>
          <w:rFonts w:hint="eastAsia" w:ascii="宋体" w:hAnsi="宋体" w:eastAsia="宋体" w:cs="宋体"/>
          <w:color w:val="auto"/>
          <w:spacing w:val="0"/>
          <w:position w:val="0"/>
          <w:sz w:val="24"/>
          <w:szCs w:val="24"/>
          <w:highlight w:val="none"/>
          <w:lang w:eastAsia="zh-CN"/>
        </w:rPr>
        <w:t>法定代表人授权书；（格式详见“第四章响应文件格式 7-</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lang w:eastAsia="zh-CN"/>
        </w:rPr>
        <w:t>”）</w:t>
      </w:r>
    </w:p>
    <w:p w14:paraId="1649434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7 </w:t>
      </w:r>
      <w:r>
        <w:rPr>
          <w:rFonts w:hint="eastAsia" w:ascii="宋体" w:hAnsi="宋体" w:eastAsia="宋体" w:cs="宋体"/>
          <w:color w:val="auto"/>
          <w:spacing w:val="0"/>
          <w:position w:val="0"/>
          <w:sz w:val="24"/>
          <w:szCs w:val="24"/>
          <w:highlight w:val="none"/>
          <w:lang w:eastAsia="zh-CN"/>
        </w:rPr>
        <w:t>供应商的资格声明；（格式详见“第四章响应文件格式 7-</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 xml:space="preserve"> ”）</w:t>
      </w:r>
    </w:p>
    <w:p w14:paraId="0460337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8 </w:t>
      </w:r>
      <w:r>
        <w:rPr>
          <w:rFonts w:hint="eastAsia" w:ascii="宋体" w:hAnsi="宋体" w:eastAsia="宋体" w:cs="宋体"/>
          <w:color w:val="auto"/>
          <w:spacing w:val="0"/>
          <w:position w:val="0"/>
          <w:sz w:val="24"/>
          <w:szCs w:val="24"/>
          <w:highlight w:val="none"/>
          <w:lang w:eastAsia="zh-CN"/>
        </w:rPr>
        <w:t>磋商保证金凭证；（格式详见“第四章响应文件格式 7-</w:t>
      </w: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eastAsia="zh-CN"/>
        </w:rPr>
        <w:t>”）</w:t>
      </w:r>
    </w:p>
    <w:p w14:paraId="1B83255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7.9 联合体协议；（格式详见“第四章响应文件格式 7-6 ”）</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749FEA9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7.1</w:t>
      </w:r>
      <w:r>
        <w:rPr>
          <w:rFonts w:hint="eastAsia" w:ascii="宋体" w:hAnsi="宋体" w:eastAsia="宋体" w:cs="宋体"/>
          <w:color w:val="auto"/>
          <w:spacing w:val="0"/>
          <w:position w:val="0"/>
          <w:sz w:val="24"/>
          <w:szCs w:val="24"/>
          <w:highlight w:val="none"/>
          <w:lang w:val="en-US" w:eastAsia="zh-CN"/>
        </w:rPr>
        <w:t xml:space="preserve">0 </w:t>
      </w:r>
      <w:r>
        <w:rPr>
          <w:rFonts w:hint="eastAsia" w:ascii="宋体" w:hAnsi="宋体" w:eastAsia="宋体" w:cs="宋体"/>
          <w:b w:val="0"/>
          <w:bCs/>
          <w:color w:val="auto"/>
          <w:spacing w:val="0"/>
          <w:position w:val="0"/>
          <w:sz w:val="24"/>
          <w:szCs w:val="24"/>
          <w:highlight w:val="none"/>
        </w:rPr>
        <w:t>本</w:t>
      </w:r>
      <w:r>
        <w:rPr>
          <w:rFonts w:hint="eastAsia" w:ascii="宋体" w:hAnsi="宋体" w:eastAsia="宋体" w:cs="宋体"/>
          <w:color w:val="auto"/>
          <w:spacing w:val="0"/>
          <w:position w:val="0"/>
          <w:sz w:val="24"/>
          <w:szCs w:val="24"/>
          <w:highlight w:val="none"/>
          <w:lang w:eastAsia="zh-CN"/>
        </w:rPr>
        <w:t>项目</w:t>
      </w:r>
      <w:r>
        <w:rPr>
          <w:rFonts w:hint="eastAsia" w:ascii="宋体" w:hAnsi="宋体" w:eastAsia="宋体" w:cs="宋体"/>
          <w:b w:val="0"/>
          <w:bCs/>
          <w:color w:val="auto"/>
          <w:spacing w:val="0"/>
          <w:position w:val="0"/>
          <w:sz w:val="24"/>
          <w:szCs w:val="24"/>
          <w:highlight w:val="none"/>
        </w:rPr>
        <w:t>的特定资格证明材料</w:t>
      </w:r>
      <w:r>
        <w:rPr>
          <w:rFonts w:hint="eastAsia" w:ascii="宋体" w:hAnsi="宋体" w:eastAsia="宋体" w:cs="宋体"/>
          <w:b w:val="0"/>
          <w:bCs/>
          <w:color w:val="auto"/>
          <w:spacing w:val="0"/>
          <w:position w:val="0"/>
          <w:sz w:val="24"/>
          <w:szCs w:val="24"/>
          <w:highlight w:val="none"/>
          <w:lang w:eastAsia="zh-CN"/>
        </w:rPr>
        <w:t>。</w:t>
      </w:r>
    </w:p>
    <w:p w14:paraId="6C2738B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85" w:name="bookmark20"/>
      <w:bookmarkEnd w:id="85"/>
      <w:bookmarkStart w:id="86" w:name="bookmark19"/>
      <w:bookmarkEnd w:id="86"/>
      <w:bookmarkStart w:id="87" w:name="_Toc15296"/>
      <w:bookmarkStart w:id="88" w:name="_Toc12920"/>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8</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.磋商文件的修改</w:t>
      </w:r>
      <w:bookmarkEnd w:id="87"/>
      <w:bookmarkEnd w:id="88"/>
    </w:p>
    <w:p w14:paraId="14097B5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8</w:t>
      </w:r>
      <w:r>
        <w:rPr>
          <w:rFonts w:hint="eastAsia"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提交首次响应文件截止时间前的任何时候，采购代理机构可以对已发出的</w:t>
      </w:r>
      <w:r>
        <w:rPr>
          <w:rFonts w:hint="eastAsia" w:ascii="宋体" w:hAnsi="宋体" w:eastAsia="宋体" w:cs="宋体"/>
          <w:color w:val="auto"/>
          <w:spacing w:val="0"/>
          <w:position w:val="0"/>
          <w:sz w:val="24"/>
          <w:szCs w:val="24"/>
          <w:highlight w:val="none"/>
          <w:lang w:eastAsia="zh-CN"/>
        </w:rPr>
        <w:t>磋商</w:t>
      </w:r>
      <w:r>
        <w:rPr>
          <w:rFonts w:hint="eastAsia" w:ascii="宋体" w:hAnsi="宋体" w:eastAsia="宋体" w:cs="宋体"/>
          <w:color w:val="auto"/>
          <w:spacing w:val="0"/>
          <w:position w:val="0"/>
          <w:sz w:val="24"/>
          <w:szCs w:val="24"/>
          <w:highlight w:val="none"/>
        </w:rPr>
        <w:t>文件进行必要的澄清或者修改，澄清或者修改的内容作为</w:t>
      </w:r>
      <w:r>
        <w:rPr>
          <w:rFonts w:hint="eastAsia" w:ascii="宋体" w:hAnsi="宋体" w:eastAsia="宋体" w:cs="宋体"/>
          <w:color w:val="auto"/>
          <w:spacing w:val="0"/>
          <w:position w:val="0"/>
          <w:sz w:val="24"/>
          <w:szCs w:val="24"/>
          <w:highlight w:val="none"/>
          <w:lang w:eastAsia="zh-CN"/>
        </w:rPr>
        <w:t>磋商</w:t>
      </w:r>
      <w:r>
        <w:rPr>
          <w:rFonts w:hint="eastAsia" w:ascii="宋体" w:hAnsi="宋体" w:eastAsia="宋体" w:cs="宋体"/>
          <w:color w:val="auto"/>
          <w:spacing w:val="0"/>
          <w:position w:val="0"/>
          <w:sz w:val="24"/>
          <w:szCs w:val="24"/>
          <w:highlight w:val="none"/>
        </w:rPr>
        <w:t>文件的组成部分。</w:t>
      </w:r>
    </w:p>
    <w:p w14:paraId="30BFF54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8.2 </w:t>
      </w:r>
      <w:r>
        <w:rPr>
          <w:rFonts w:hint="eastAsia" w:ascii="宋体" w:hAnsi="宋体" w:eastAsia="宋体" w:cs="宋体"/>
          <w:color w:val="auto"/>
          <w:spacing w:val="0"/>
          <w:position w:val="0"/>
          <w:sz w:val="24"/>
          <w:szCs w:val="24"/>
          <w:highlight w:val="none"/>
          <w:lang w:eastAsia="zh-CN"/>
        </w:rPr>
        <w:t>采购代理机构可以对已发出的磋商文件进行必要澄清或者修改，澄清或者修改的内容可能影响响应文件编制的，采购代理机构在提交</w:t>
      </w:r>
      <w:r>
        <w:rPr>
          <w:rFonts w:hint="eastAsia" w:ascii="宋体" w:hAnsi="宋体" w:eastAsia="宋体" w:cs="宋体"/>
          <w:color w:val="auto"/>
          <w:spacing w:val="0"/>
          <w:position w:val="0"/>
          <w:sz w:val="24"/>
          <w:szCs w:val="24"/>
          <w:highlight w:val="none"/>
          <w:lang w:val="en-US" w:eastAsia="zh-CN"/>
        </w:rPr>
        <w:t>首次</w:t>
      </w:r>
      <w:r>
        <w:rPr>
          <w:rFonts w:hint="eastAsia" w:ascii="宋体" w:hAnsi="宋体" w:eastAsia="宋体" w:cs="宋体"/>
          <w:color w:val="auto"/>
          <w:spacing w:val="0"/>
          <w:position w:val="0"/>
          <w:sz w:val="24"/>
          <w:szCs w:val="24"/>
          <w:highlight w:val="none"/>
          <w:lang w:eastAsia="zh-CN"/>
        </w:rPr>
        <w:t>响应文件截止时间至少</w:t>
      </w:r>
      <w:r>
        <w:rPr>
          <w:rFonts w:hint="eastAsia" w:ascii="宋体" w:hAnsi="宋体" w:eastAsia="宋体" w:cs="宋体"/>
          <w:color w:val="auto"/>
          <w:spacing w:val="0"/>
          <w:position w:val="0"/>
          <w:sz w:val="24"/>
          <w:szCs w:val="24"/>
          <w:highlight w:val="none"/>
          <w:lang w:val="en-US" w:eastAsia="zh-CN"/>
        </w:rPr>
        <w:t>5日</w:t>
      </w:r>
      <w:r>
        <w:rPr>
          <w:rFonts w:hint="eastAsia" w:ascii="宋体" w:hAnsi="宋体" w:eastAsia="宋体" w:cs="宋体"/>
          <w:color w:val="auto"/>
          <w:spacing w:val="0"/>
          <w:position w:val="0"/>
          <w:sz w:val="24"/>
          <w:szCs w:val="24"/>
          <w:highlight w:val="none"/>
          <w:lang w:eastAsia="zh-CN"/>
        </w:rPr>
        <w:t>前，在</w:t>
      </w:r>
      <w:r>
        <w:rPr>
          <w:rFonts w:hint="eastAsia" w:ascii="宋体" w:hAnsi="宋体" w:eastAsia="宋体" w:cs="宋体"/>
          <w:strike w:val="0"/>
          <w:dstrike w:val="0"/>
          <w:color w:val="auto"/>
          <w:spacing w:val="0"/>
          <w:position w:val="0"/>
          <w:sz w:val="24"/>
          <w:szCs w:val="24"/>
          <w:highlight w:val="none"/>
          <w:lang w:val="en-US" w:eastAsia="zh-CN"/>
        </w:rPr>
        <w:t>原公告发布媒体</w:t>
      </w:r>
      <w:r>
        <w:rPr>
          <w:rFonts w:hint="eastAsia" w:ascii="宋体" w:hAnsi="宋体" w:eastAsia="宋体" w:cs="宋体"/>
          <w:color w:val="auto"/>
          <w:spacing w:val="0"/>
          <w:position w:val="0"/>
          <w:sz w:val="24"/>
          <w:szCs w:val="24"/>
          <w:highlight w:val="none"/>
          <w:lang w:eastAsia="zh-CN"/>
        </w:rPr>
        <w:t>上发布更正公告，上传答疑澄清文件。不足</w:t>
      </w:r>
      <w:r>
        <w:rPr>
          <w:rFonts w:hint="eastAsia" w:ascii="宋体" w:hAnsi="宋体" w:eastAsia="宋体" w:cs="宋体"/>
          <w:color w:val="auto"/>
          <w:spacing w:val="0"/>
          <w:position w:val="0"/>
          <w:sz w:val="24"/>
          <w:szCs w:val="24"/>
          <w:highlight w:val="none"/>
          <w:lang w:val="en-US" w:eastAsia="zh-CN"/>
        </w:rPr>
        <w:t>5日</w:t>
      </w:r>
      <w:r>
        <w:rPr>
          <w:rFonts w:hint="eastAsia" w:ascii="宋体" w:hAnsi="宋体" w:eastAsia="宋体" w:cs="宋体"/>
          <w:color w:val="auto"/>
          <w:spacing w:val="0"/>
          <w:position w:val="0"/>
          <w:sz w:val="24"/>
          <w:szCs w:val="24"/>
          <w:highlight w:val="none"/>
          <w:lang w:eastAsia="zh-CN"/>
        </w:rPr>
        <w:t>的，采购代理机构应当顺延提交</w:t>
      </w:r>
      <w:r>
        <w:rPr>
          <w:rFonts w:hint="eastAsia" w:ascii="宋体" w:hAnsi="宋体" w:eastAsia="宋体" w:cs="宋体"/>
          <w:color w:val="auto"/>
          <w:spacing w:val="0"/>
          <w:position w:val="0"/>
          <w:sz w:val="24"/>
          <w:szCs w:val="24"/>
          <w:highlight w:val="none"/>
        </w:rPr>
        <w:t>首次</w:t>
      </w:r>
      <w:r>
        <w:rPr>
          <w:rFonts w:hint="eastAsia" w:ascii="宋体" w:hAnsi="宋体" w:eastAsia="宋体" w:cs="宋体"/>
          <w:color w:val="auto"/>
          <w:spacing w:val="0"/>
          <w:position w:val="0"/>
          <w:sz w:val="24"/>
          <w:szCs w:val="24"/>
          <w:highlight w:val="none"/>
          <w:lang w:eastAsia="zh-CN"/>
        </w:rPr>
        <w:t>响应文件的截止时间。</w:t>
      </w:r>
    </w:p>
    <w:p w14:paraId="76E0552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8</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eastAsia="zh-CN"/>
        </w:rPr>
        <w:t xml:space="preserve"> 已下载磋商文件的供应商必须在上饶市阳光采购服务平台上下载答疑澄清文件。供应商因未下载答疑澄清文件、由此可能引起的响应文件递交失败、解密失败、内容缺失等相关后果由供应商自行承担。</w:t>
      </w:r>
    </w:p>
    <w:p w14:paraId="39EF21F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8</w:t>
      </w:r>
      <w:r>
        <w:rPr>
          <w:rFonts w:hint="eastAsia" w:ascii="宋体" w:hAnsi="宋体" w:eastAsia="宋体" w:cs="宋体"/>
          <w:color w:val="auto"/>
          <w:spacing w:val="0"/>
          <w:position w:val="0"/>
          <w:sz w:val="24"/>
          <w:szCs w:val="24"/>
          <w:highlight w:val="none"/>
          <w:lang w:eastAsia="zh-CN"/>
        </w:rPr>
        <w:t>.3 当磋商文件和澄清文件在同一内容的表述上不一致时，以最后发出的文件为准。</w:t>
      </w:r>
    </w:p>
    <w:p w14:paraId="23D6976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highlight w:val="none"/>
          <w:lang w:eastAsia="zh-CN"/>
        </w:rPr>
      </w:pPr>
      <w:bookmarkStart w:id="89" w:name="_Toc12242"/>
      <w:bookmarkStart w:id="90" w:name="_Toc16717"/>
      <w:r>
        <w:rPr>
          <w:rFonts w:hint="eastAsia" w:ascii="宋体" w:hAnsi="宋体" w:eastAsia="宋体" w:cs="宋体"/>
          <w:color w:val="auto"/>
          <w:spacing w:val="0"/>
          <w:position w:val="0"/>
          <w:sz w:val="24"/>
          <w:szCs w:val="24"/>
          <w:highlight w:val="none"/>
          <w:lang w:val="en-US" w:eastAsia="zh-CN"/>
        </w:rPr>
        <w:t>8</w:t>
      </w:r>
      <w:r>
        <w:rPr>
          <w:rFonts w:hint="eastAsia" w:ascii="宋体" w:hAnsi="宋体" w:eastAsia="宋体" w:cs="宋体"/>
          <w:color w:val="auto"/>
          <w:spacing w:val="0"/>
          <w:position w:val="0"/>
          <w:sz w:val="24"/>
          <w:szCs w:val="24"/>
          <w:highlight w:val="none"/>
          <w:lang w:eastAsia="zh-CN"/>
        </w:rPr>
        <w:t>.4 更正或者修改的内容是磋商文件的组成部分，并对供应商具有约束力。</w:t>
      </w:r>
      <w:bookmarkEnd w:id="89"/>
      <w:bookmarkEnd w:id="90"/>
    </w:p>
    <w:p w14:paraId="7BF7B220">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91" w:name="_Toc11700"/>
      <w:bookmarkStart w:id="92" w:name="_Toc16432"/>
      <w:bookmarkStart w:id="93" w:name="_Toc15762"/>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三</w:t>
      </w:r>
      <w:r>
        <w:rPr>
          <w:rFonts w:hint="eastAsia"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响应文件的编制与递交</w:t>
      </w:r>
      <w:bookmarkEnd w:id="91"/>
      <w:bookmarkEnd w:id="92"/>
      <w:bookmarkEnd w:id="93"/>
    </w:p>
    <w:p w14:paraId="738FB02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94" w:name="_Toc21818"/>
      <w:bookmarkStart w:id="95" w:name="_Toc3144"/>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9</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w:t>
      </w:r>
      <w:r>
        <w:rPr>
          <w:rFonts w:hint="eastAsia"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应</w:t>
      </w:r>
      <w:r>
        <w:rPr>
          <w:rFonts w:hint="eastAsia" w:ascii="宋体" w:hAnsi="宋体" w:eastAsia="宋体" w:cs="宋体"/>
          <w:b/>
          <w:bCs/>
          <w:color w:val="auto"/>
          <w:spacing w:val="0"/>
          <w:position w:val="0"/>
          <w:sz w:val="24"/>
          <w:szCs w:val="24"/>
          <w:highlight w:val="none"/>
          <w:lang w:eastAsia="zh-CN"/>
        </w:rPr>
        <w:t>文件</w:t>
      </w:r>
      <w:r>
        <w:rPr>
          <w:rFonts w:hint="eastAsia"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的</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编制</w:t>
      </w:r>
      <w:bookmarkEnd w:id="94"/>
      <w:bookmarkEnd w:id="95"/>
    </w:p>
    <w:p w14:paraId="35E2984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9.1 供应商应当按照磋商文件的要求编制响应文件。响应文件应当对磋商文件提出的要求和条件做出明确响应。</w:t>
      </w:r>
    </w:p>
    <w:p w14:paraId="77281C6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9.2 磋商文件中注明不可以采购进口产品的（见“第一章 磋商邀请”），不允许提供进口产品参与采购活动。提供进口产品参与采购活动的，</w:t>
      </w:r>
      <w:r>
        <w:rPr>
          <w:rFonts w:hint="eastAsia" w:ascii="宋体" w:hAnsi="宋体" w:eastAsia="宋体" w:cs="宋体"/>
          <w:b/>
          <w:bCs/>
          <w:color w:val="auto"/>
          <w:spacing w:val="0"/>
          <w:position w:val="0"/>
          <w:sz w:val="24"/>
          <w:szCs w:val="24"/>
          <w:highlight w:val="none"/>
          <w:lang w:val="en-US" w:eastAsia="zh-CN"/>
        </w:rPr>
        <w:t>其响应文件被视为无效。</w:t>
      </w:r>
    </w:p>
    <w:p w14:paraId="1D1AEE7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9.3 磋商文件中注明进口产品的，有符合条件的国产产品可以参与采购活动。</w:t>
      </w:r>
    </w:p>
    <w:p w14:paraId="33B3235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9</w:t>
      </w:r>
      <w:r>
        <w:rPr>
          <w:rFonts w:hint="eastAsia" w:ascii="宋体" w:hAnsi="宋体" w:eastAsia="宋体" w:cs="宋体"/>
          <w:color w:val="auto"/>
          <w:spacing w:val="0"/>
          <w:position w:val="0"/>
          <w:sz w:val="24"/>
          <w:szCs w:val="24"/>
          <w:highlight w:val="none"/>
          <w:lang w:eastAsia="zh-CN"/>
        </w:rPr>
        <w:t>.4</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eastAsia="zh-CN"/>
        </w:rPr>
        <w:t>供应商提交的响应文件以及供应商与采购代理机构所有来往书面文件均须使用中文。响应文件中如附有外文资料，必须逐一对应翻译成中文。</w:t>
      </w:r>
    </w:p>
    <w:p w14:paraId="67C76C1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9</w:t>
      </w:r>
      <w:r>
        <w:rPr>
          <w:rFonts w:hint="eastAsia" w:ascii="宋体" w:hAnsi="宋体" w:eastAsia="宋体" w:cs="宋体"/>
          <w:color w:val="auto"/>
          <w:spacing w:val="0"/>
          <w:position w:val="0"/>
          <w:sz w:val="24"/>
          <w:szCs w:val="24"/>
          <w:highlight w:val="none"/>
          <w:lang w:eastAsia="zh-CN"/>
        </w:rPr>
        <w:t>.5</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eastAsia="zh-CN"/>
        </w:rPr>
        <w:t>翻译的中文资料与外文资料如果出现差异和矛盾时，以中文为准。</w:t>
      </w:r>
    </w:p>
    <w:p w14:paraId="17DFEC2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96" w:name="_Toc12839"/>
      <w:bookmarkStart w:id="97" w:name="_Toc10133"/>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0</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w:t>
      </w:r>
      <w:r>
        <w:rPr>
          <w:rFonts w:hint="eastAsia"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应</w:t>
      </w:r>
      <w:r>
        <w:rPr>
          <w:rFonts w:hint="eastAsia" w:ascii="宋体" w:hAnsi="宋体" w:eastAsia="宋体" w:cs="宋体"/>
          <w:b/>
          <w:bCs/>
          <w:color w:val="auto"/>
          <w:spacing w:val="0"/>
          <w:position w:val="0"/>
          <w:sz w:val="24"/>
          <w:szCs w:val="24"/>
          <w:highlight w:val="none"/>
          <w:lang w:eastAsia="zh-CN"/>
        </w:rPr>
        <w:t>文件</w:t>
      </w:r>
      <w:r>
        <w:rPr>
          <w:rFonts w:hint="eastAsia"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计</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量单位</w:t>
      </w:r>
      <w:bookmarkEnd w:id="96"/>
      <w:bookmarkEnd w:id="97"/>
    </w:p>
    <w:p w14:paraId="63E28A9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0</w:t>
      </w:r>
      <w:r>
        <w:rPr>
          <w:rFonts w:hint="eastAsia" w:ascii="宋体" w:hAnsi="宋体" w:eastAsia="宋体" w:cs="宋体"/>
          <w:color w:val="auto"/>
          <w:spacing w:val="0"/>
          <w:position w:val="0"/>
          <w:sz w:val="24"/>
          <w:szCs w:val="24"/>
          <w:highlight w:val="none"/>
          <w:lang w:eastAsia="zh-CN"/>
        </w:rPr>
        <w:t>.1 响应文件中所使用的计量单位, 除磋商文件中有特殊要求外，均应采用国家法定计量单位。</w:t>
      </w:r>
    </w:p>
    <w:p w14:paraId="029B501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98" w:name="_Toc12643"/>
      <w:bookmarkStart w:id="99" w:name="_Toc5074"/>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11</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w:t>
      </w:r>
      <w:r>
        <w:rPr>
          <w:rFonts w:hint="eastAsia"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应</w:t>
      </w:r>
      <w:r>
        <w:rPr>
          <w:rFonts w:hint="eastAsia" w:ascii="宋体" w:hAnsi="宋体" w:eastAsia="宋体" w:cs="宋体"/>
          <w:b/>
          <w:bCs/>
          <w:color w:val="auto"/>
          <w:spacing w:val="0"/>
          <w:position w:val="0"/>
          <w:sz w:val="24"/>
          <w:szCs w:val="24"/>
          <w:highlight w:val="none"/>
          <w:lang w:eastAsia="zh-CN"/>
        </w:rPr>
        <w:t>文件</w:t>
      </w:r>
      <w:r>
        <w:rPr>
          <w:rFonts w:hint="eastAsia"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的</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构成</w:t>
      </w:r>
      <w:bookmarkEnd w:id="98"/>
      <w:bookmarkEnd w:id="99"/>
    </w:p>
    <w:p w14:paraId="4F3ED62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eastAsia="zh-CN"/>
        </w:rPr>
        <w:t>.1 响应文件应由下列部分构成。（格式详见“第四章 响应文件格式 ”）</w:t>
      </w:r>
    </w:p>
    <w:p w14:paraId="5E7636A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（1）磋商</w:t>
      </w:r>
      <w:r>
        <w:rPr>
          <w:rFonts w:hint="eastAsia" w:ascii="宋体" w:hAnsi="宋体" w:eastAsia="宋体" w:cs="宋体"/>
          <w:color w:val="auto"/>
          <w:spacing w:val="0"/>
          <w:position w:val="0"/>
          <w:sz w:val="24"/>
          <w:szCs w:val="24"/>
          <w:highlight w:val="none"/>
        </w:rPr>
        <w:t>响应书</w:t>
      </w:r>
    </w:p>
    <w:p w14:paraId="3FDD9D4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w:t>
      </w:r>
      <w:r>
        <w:rPr>
          <w:rFonts w:hint="eastAsia" w:ascii="宋体" w:hAnsi="宋体" w:eastAsia="宋体" w:cs="宋体"/>
          <w:color w:val="auto"/>
          <w:spacing w:val="0"/>
          <w:position w:val="0"/>
          <w:sz w:val="24"/>
          <w:szCs w:val="24"/>
          <w:highlight w:val="none"/>
          <w:lang w:val="en-US" w:eastAsia="zh-CN"/>
        </w:rPr>
        <w:t>开标</w:t>
      </w:r>
      <w:r>
        <w:rPr>
          <w:rFonts w:hint="eastAsia" w:ascii="宋体" w:hAnsi="宋体" w:eastAsia="宋体" w:cs="宋体"/>
          <w:color w:val="auto"/>
          <w:spacing w:val="0"/>
          <w:position w:val="0"/>
          <w:sz w:val="24"/>
          <w:szCs w:val="24"/>
          <w:highlight w:val="none"/>
          <w:lang w:eastAsia="zh-CN"/>
        </w:rPr>
        <w:t>一览表</w:t>
      </w:r>
    </w:p>
    <w:p w14:paraId="7B621D1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开标</w:t>
      </w:r>
      <w:r>
        <w:rPr>
          <w:rFonts w:hint="eastAsia" w:ascii="宋体" w:hAnsi="宋体" w:eastAsia="宋体" w:cs="宋体"/>
          <w:color w:val="auto"/>
          <w:spacing w:val="0"/>
          <w:position w:val="0"/>
          <w:sz w:val="24"/>
          <w:szCs w:val="24"/>
          <w:highlight w:val="none"/>
          <w:lang w:eastAsia="zh-CN"/>
        </w:rPr>
        <w:t>一览明细表</w:t>
      </w:r>
    </w:p>
    <w:p w14:paraId="66FD794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服务要</w:t>
      </w:r>
      <w:r>
        <w:rPr>
          <w:rFonts w:hint="eastAsia" w:ascii="宋体" w:hAnsi="宋体" w:eastAsia="宋体" w:cs="宋体"/>
          <w:color w:val="auto"/>
          <w:spacing w:val="0"/>
          <w:position w:val="0"/>
          <w:sz w:val="24"/>
          <w:szCs w:val="24"/>
          <w:highlight w:val="none"/>
          <w:lang w:eastAsia="zh-CN"/>
        </w:rPr>
        <w:t>求响应/偏离表</w:t>
      </w:r>
    </w:p>
    <w:p w14:paraId="1EF8091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）商务条件响应/偏离表</w:t>
      </w:r>
    </w:p>
    <w:p w14:paraId="138CB4B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lang w:eastAsia="zh-CN"/>
        </w:rPr>
        <w:t>）供应商应当提交的资格、资信证明文件</w:t>
      </w:r>
    </w:p>
    <w:p w14:paraId="594BA74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7</w:t>
      </w:r>
      <w:r>
        <w:rPr>
          <w:rFonts w:hint="eastAsia" w:ascii="宋体" w:hAnsi="宋体" w:eastAsia="宋体" w:cs="宋体"/>
          <w:color w:val="auto"/>
          <w:spacing w:val="0"/>
          <w:position w:val="0"/>
          <w:sz w:val="24"/>
          <w:szCs w:val="24"/>
          <w:highlight w:val="none"/>
          <w:lang w:eastAsia="zh-CN"/>
        </w:rPr>
        <w:t>）技术文件</w:t>
      </w:r>
    </w:p>
    <w:p w14:paraId="2DA6229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eastAsia="zh-CN"/>
        </w:rPr>
        <w:t>.2 供应商应编写响应文件目录及页码。</w:t>
      </w:r>
    </w:p>
    <w:p w14:paraId="6179969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100" w:name="_Toc12683"/>
      <w:bookmarkStart w:id="101" w:name="_Toc27825"/>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12</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报价</w:t>
      </w:r>
      <w:bookmarkEnd w:id="100"/>
      <w:bookmarkEnd w:id="101"/>
    </w:p>
    <w:p w14:paraId="4B4F1CA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lang w:eastAsia="zh-CN"/>
        </w:rPr>
        <w:t>.1 磋商</w:t>
      </w:r>
      <w:r>
        <w:rPr>
          <w:rFonts w:hint="eastAsia" w:ascii="宋体" w:hAnsi="宋体" w:eastAsia="宋体" w:cs="宋体"/>
          <w:color w:val="auto"/>
          <w:spacing w:val="0"/>
          <w:position w:val="0"/>
          <w:sz w:val="24"/>
          <w:szCs w:val="24"/>
          <w:highlight w:val="none"/>
        </w:rPr>
        <w:t>报价</w:t>
      </w:r>
      <w:r>
        <w:rPr>
          <w:rFonts w:hint="eastAsia" w:ascii="宋体" w:hAnsi="宋体" w:eastAsia="宋体" w:cs="宋体"/>
          <w:color w:val="auto"/>
          <w:spacing w:val="0"/>
          <w:position w:val="0"/>
          <w:sz w:val="24"/>
          <w:szCs w:val="24"/>
          <w:highlight w:val="none"/>
          <w:lang w:eastAsia="zh-CN"/>
        </w:rPr>
        <w:t>均以人民币报价，报价内容包含磋商文件规定的服务所需的设备、人员、培训、技术支持、税费等一切相关费用</w:t>
      </w:r>
    </w:p>
    <w:p w14:paraId="1AF8AE2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b/>
          <w:bCs/>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lang w:eastAsia="zh-CN"/>
        </w:rPr>
        <w:t>.2 供应商要按</w:t>
      </w:r>
      <w:r>
        <w:rPr>
          <w:rFonts w:hint="eastAsia" w:ascii="宋体" w:hAnsi="宋体" w:eastAsia="宋体" w:cs="宋体"/>
          <w:color w:val="auto"/>
          <w:spacing w:val="0"/>
          <w:position w:val="0"/>
          <w:sz w:val="24"/>
          <w:szCs w:val="24"/>
          <w:highlight w:val="none"/>
        </w:rPr>
        <w:t>报价</w:t>
      </w:r>
      <w:r>
        <w:rPr>
          <w:rFonts w:hint="eastAsia" w:ascii="宋体" w:hAnsi="宋体" w:eastAsia="宋体" w:cs="宋体"/>
          <w:color w:val="auto"/>
          <w:spacing w:val="0"/>
          <w:position w:val="0"/>
          <w:sz w:val="24"/>
          <w:szCs w:val="24"/>
          <w:highlight w:val="none"/>
          <w:lang w:val="en-US" w:eastAsia="zh-CN"/>
        </w:rPr>
        <w:t>一览</w:t>
      </w:r>
      <w:r>
        <w:rPr>
          <w:rFonts w:hint="eastAsia" w:ascii="宋体" w:hAnsi="宋体" w:eastAsia="宋体" w:cs="宋体"/>
          <w:color w:val="auto"/>
          <w:spacing w:val="0"/>
          <w:position w:val="0"/>
          <w:sz w:val="24"/>
          <w:szCs w:val="24"/>
          <w:highlight w:val="none"/>
          <w:lang w:eastAsia="zh-CN"/>
        </w:rPr>
        <w:t>表（统一格式）、</w:t>
      </w:r>
      <w:r>
        <w:rPr>
          <w:rFonts w:hint="eastAsia" w:ascii="宋体" w:hAnsi="宋体" w:eastAsia="宋体" w:cs="宋体"/>
          <w:color w:val="auto"/>
          <w:spacing w:val="0"/>
          <w:position w:val="0"/>
          <w:sz w:val="24"/>
          <w:szCs w:val="24"/>
          <w:highlight w:val="none"/>
          <w:lang w:val="en-US" w:eastAsia="zh-CN"/>
        </w:rPr>
        <w:t>报价</w:t>
      </w:r>
      <w:r>
        <w:rPr>
          <w:rFonts w:hint="eastAsia" w:ascii="宋体" w:hAnsi="宋体" w:eastAsia="宋体" w:cs="宋体"/>
          <w:color w:val="auto"/>
          <w:spacing w:val="0"/>
          <w:position w:val="0"/>
          <w:sz w:val="24"/>
          <w:szCs w:val="24"/>
          <w:highlight w:val="none"/>
          <w:lang w:eastAsia="zh-CN"/>
        </w:rPr>
        <w:t>一览明细表的内容填写产品单价、总价及其他事项。磋商</w:t>
      </w:r>
      <w:r>
        <w:rPr>
          <w:rFonts w:hint="eastAsia" w:ascii="宋体" w:hAnsi="宋体" w:eastAsia="宋体" w:cs="宋体"/>
          <w:color w:val="auto"/>
          <w:spacing w:val="0"/>
          <w:position w:val="0"/>
          <w:sz w:val="24"/>
          <w:szCs w:val="24"/>
          <w:highlight w:val="none"/>
        </w:rPr>
        <w:t>报价</w:t>
      </w:r>
      <w:r>
        <w:rPr>
          <w:rFonts w:hint="eastAsia" w:ascii="宋体" w:hAnsi="宋体" w:eastAsia="宋体" w:cs="宋体"/>
          <w:color w:val="auto"/>
          <w:spacing w:val="0"/>
          <w:position w:val="0"/>
          <w:sz w:val="24"/>
          <w:szCs w:val="24"/>
          <w:highlight w:val="none"/>
          <w:lang w:eastAsia="zh-CN"/>
        </w:rPr>
        <w:t>中不得包含磋商文件要求以外的内容，否则，在</w:t>
      </w:r>
      <w:r>
        <w:rPr>
          <w:rFonts w:hint="eastAsia" w:ascii="宋体" w:hAnsi="宋体" w:eastAsia="宋体" w:cs="宋体"/>
          <w:color w:val="auto"/>
          <w:spacing w:val="0"/>
          <w:position w:val="0"/>
          <w:sz w:val="24"/>
          <w:szCs w:val="24"/>
          <w:highlight w:val="none"/>
          <w:lang w:val="en-US" w:eastAsia="zh-CN"/>
        </w:rPr>
        <w:t>评审</w:t>
      </w:r>
      <w:r>
        <w:rPr>
          <w:rFonts w:hint="eastAsia" w:ascii="宋体" w:hAnsi="宋体" w:eastAsia="宋体" w:cs="宋体"/>
          <w:color w:val="auto"/>
          <w:spacing w:val="0"/>
          <w:position w:val="0"/>
          <w:sz w:val="24"/>
          <w:szCs w:val="24"/>
          <w:highlight w:val="none"/>
          <w:lang w:eastAsia="zh-CN"/>
        </w:rPr>
        <w:t>时不予核减。若供应商不同意，</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eastAsia="宋体" w:cs="宋体"/>
          <w:b/>
          <w:bCs/>
          <w:color w:val="auto"/>
          <w:spacing w:val="0"/>
          <w:position w:val="0"/>
          <w:sz w:val="24"/>
          <w:szCs w:val="24"/>
          <w:highlight w:val="none"/>
        </w:rPr>
        <w:t>响应文件被视为无效</w:t>
      </w:r>
      <w:r>
        <w:rPr>
          <w:rFonts w:hint="eastAsia"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6F33ED8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lang w:eastAsia="zh-CN"/>
        </w:rPr>
        <w:t>.3 磋商</w:t>
      </w:r>
      <w:r>
        <w:rPr>
          <w:rFonts w:hint="eastAsia" w:ascii="宋体" w:hAnsi="宋体" w:eastAsia="宋体" w:cs="宋体"/>
          <w:color w:val="auto"/>
          <w:spacing w:val="0"/>
          <w:position w:val="0"/>
          <w:sz w:val="24"/>
          <w:szCs w:val="24"/>
          <w:highlight w:val="none"/>
        </w:rPr>
        <w:t>报价</w:t>
      </w:r>
      <w:r>
        <w:rPr>
          <w:rFonts w:hint="eastAsia" w:ascii="宋体" w:hAnsi="宋体" w:eastAsia="宋体" w:cs="宋体"/>
          <w:color w:val="auto"/>
          <w:spacing w:val="0"/>
          <w:position w:val="0"/>
          <w:sz w:val="24"/>
          <w:szCs w:val="24"/>
          <w:highlight w:val="none"/>
          <w:lang w:eastAsia="zh-CN"/>
        </w:rPr>
        <w:t>中如缺漏磋商文件所要求的内容，供应商</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lang w:eastAsia="zh-CN"/>
        </w:rPr>
        <w:t>后须提供，且</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lang w:eastAsia="zh-CN"/>
        </w:rPr>
        <w:t>价以</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报价为准。若供应商不同意，</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eastAsia="宋体" w:cs="宋体"/>
          <w:b/>
          <w:bCs/>
          <w:color w:val="auto"/>
          <w:spacing w:val="0"/>
          <w:position w:val="0"/>
          <w:sz w:val="24"/>
          <w:szCs w:val="24"/>
          <w:highlight w:val="none"/>
        </w:rPr>
        <w:t>响应文件被视为无效</w:t>
      </w:r>
      <w:r>
        <w:rPr>
          <w:rFonts w:hint="eastAsia"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3FFF12A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lang w:eastAsia="zh-CN"/>
        </w:rPr>
        <w:t>.4 供应商的</w:t>
      </w:r>
      <w:r>
        <w:rPr>
          <w:rFonts w:hint="eastAsia" w:ascii="宋体" w:hAnsi="宋体" w:eastAsia="宋体" w:cs="宋体"/>
          <w:color w:val="auto"/>
          <w:spacing w:val="0"/>
          <w:position w:val="0"/>
          <w:sz w:val="24"/>
          <w:szCs w:val="24"/>
          <w:highlight w:val="none"/>
          <w:lang w:val="en-US" w:eastAsia="zh-CN"/>
        </w:rPr>
        <w:t>磋商报</w:t>
      </w:r>
      <w:r>
        <w:rPr>
          <w:rFonts w:hint="eastAsia" w:ascii="宋体" w:hAnsi="宋体" w:eastAsia="宋体" w:cs="宋体"/>
          <w:color w:val="auto"/>
          <w:spacing w:val="0"/>
          <w:position w:val="0"/>
          <w:sz w:val="24"/>
          <w:szCs w:val="24"/>
          <w:highlight w:val="none"/>
          <w:lang w:eastAsia="zh-CN"/>
        </w:rPr>
        <w:t>价在合同执行过程中是固定不变的</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eastAsia="zh-CN"/>
        </w:rPr>
        <w:t>不得以任何理由予以变更。供应商应对所有</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内容进行</w:t>
      </w:r>
      <w:r>
        <w:rPr>
          <w:rFonts w:hint="eastAsia" w:ascii="宋体" w:hAnsi="宋体" w:eastAsia="宋体" w:cs="宋体"/>
          <w:color w:val="auto"/>
          <w:spacing w:val="0"/>
          <w:position w:val="0"/>
          <w:sz w:val="24"/>
          <w:szCs w:val="24"/>
          <w:highlight w:val="none"/>
          <w:lang w:val="en-US" w:eastAsia="zh-CN"/>
        </w:rPr>
        <w:t>响应</w:t>
      </w:r>
      <w:r>
        <w:rPr>
          <w:rFonts w:hint="eastAsia" w:ascii="宋体" w:hAnsi="宋体" w:eastAsia="宋体" w:cs="宋体"/>
          <w:color w:val="auto"/>
          <w:spacing w:val="0"/>
          <w:position w:val="0"/>
          <w:sz w:val="24"/>
          <w:szCs w:val="24"/>
          <w:highlight w:val="none"/>
          <w:lang w:eastAsia="zh-CN"/>
        </w:rPr>
        <w:t>，且只提供最优方案一套，供应商提交任何包含价格调整要求的</w:t>
      </w:r>
      <w:r>
        <w:rPr>
          <w:rFonts w:hint="eastAsia" w:ascii="宋体" w:hAnsi="宋体" w:eastAsia="宋体" w:cs="宋体"/>
          <w:color w:val="auto"/>
          <w:spacing w:val="0"/>
          <w:position w:val="0"/>
          <w:sz w:val="24"/>
          <w:szCs w:val="24"/>
          <w:highlight w:val="none"/>
          <w:lang w:val="en-US" w:eastAsia="zh-CN"/>
        </w:rPr>
        <w:t>响应</w:t>
      </w:r>
      <w:r>
        <w:rPr>
          <w:rFonts w:hint="eastAsia" w:ascii="宋体" w:hAnsi="宋体" w:eastAsia="宋体" w:cs="宋体"/>
          <w:color w:val="auto"/>
          <w:spacing w:val="0"/>
          <w:position w:val="0"/>
          <w:sz w:val="24"/>
          <w:szCs w:val="24"/>
          <w:highlight w:val="none"/>
          <w:lang w:eastAsia="zh-CN"/>
        </w:rPr>
        <w:t>将按非实质性响应，</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eastAsia="宋体" w:cs="宋体"/>
          <w:b/>
          <w:bCs/>
          <w:color w:val="auto"/>
          <w:spacing w:val="0"/>
          <w:position w:val="0"/>
          <w:sz w:val="24"/>
          <w:szCs w:val="24"/>
          <w:highlight w:val="none"/>
        </w:rPr>
        <w:t>响应文件被视为无效</w:t>
      </w:r>
      <w:r>
        <w:rPr>
          <w:rFonts w:hint="eastAsia"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735D7DA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102" w:name="bookmark29"/>
      <w:bookmarkEnd w:id="102"/>
      <w:bookmarkStart w:id="103" w:name="_Toc29412"/>
      <w:bookmarkStart w:id="104" w:name="_Toc1612"/>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color w:val="auto"/>
          <w:spacing w:val="0"/>
          <w:position w:val="0"/>
          <w:sz w:val="24"/>
          <w:szCs w:val="24"/>
          <w:highlight w:val="none"/>
          <w:lang w:eastAsia="zh-CN"/>
        </w:rPr>
        <w:t>保证金</w:t>
      </w:r>
      <w:bookmarkEnd w:id="103"/>
      <w:bookmarkEnd w:id="104"/>
    </w:p>
    <w:p w14:paraId="05D634B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 xml:space="preserve">1 </w:t>
      </w:r>
      <w:r>
        <w:rPr>
          <w:rFonts w:hint="eastAsia" w:ascii="宋体" w:hAnsi="宋体" w:eastAsia="宋体" w:cs="宋体"/>
          <w:color w:val="auto"/>
          <w:spacing w:val="0"/>
          <w:position w:val="0"/>
          <w:sz w:val="24"/>
          <w:szCs w:val="24"/>
          <w:highlight w:val="none"/>
          <w:lang w:eastAsia="zh-CN"/>
        </w:rPr>
        <w:t>供应商须在响应文件递交截止时间之前提交</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保证金，并作为其响应文件的一部分，详见“供应商须知前附表 ”。联合体</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的，可以由联合体中的一方或者共同提交</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保证金，以一方名义提交</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保证金的，对联合体各方均具有约束力。（适用联合体</w:t>
      </w:r>
      <w:r>
        <w:rPr>
          <w:rFonts w:hint="eastAsia" w:ascii="宋体" w:hAnsi="宋体" w:eastAsia="宋体" w:cs="宋体"/>
          <w:color w:val="auto"/>
          <w:spacing w:val="0"/>
          <w:position w:val="0"/>
          <w:sz w:val="24"/>
          <w:szCs w:val="24"/>
          <w:highlight w:val="none"/>
          <w:lang w:val="en-US" w:eastAsia="zh-CN"/>
        </w:rPr>
        <w:t>参加磋商</w:t>
      </w:r>
      <w:r>
        <w:rPr>
          <w:rFonts w:hint="eastAsia" w:ascii="宋体" w:hAnsi="宋体" w:eastAsia="宋体" w:cs="宋体"/>
          <w:color w:val="auto"/>
          <w:spacing w:val="0"/>
          <w:position w:val="0"/>
          <w:sz w:val="24"/>
          <w:szCs w:val="24"/>
          <w:highlight w:val="none"/>
          <w:lang w:eastAsia="zh-CN"/>
        </w:rPr>
        <w:t>）</w:t>
      </w:r>
    </w:p>
    <w:p w14:paraId="3440297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b/>
          <w:bCs/>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.2 任何未按“供应商须知第1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.1 条 ”要求提交</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保证金的响应文件，</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eastAsia="宋体" w:cs="宋体"/>
          <w:b/>
          <w:bCs/>
          <w:color w:val="auto"/>
          <w:spacing w:val="0"/>
          <w:position w:val="0"/>
          <w:sz w:val="24"/>
          <w:szCs w:val="24"/>
          <w:highlight w:val="none"/>
          <w:lang w:eastAsia="zh-CN"/>
        </w:rPr>
        <w:t>响应文件被视为无效。</w:t>
      </w:r>
    </w:p>
    <w:p w14:paraId="6EC8A0D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.3 自</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lang w:eastAsia="zh-CN"/>
        </w:rPr>
        <w:t>通知书发出之日起5个工作日内退还未</w:t>
      </w:r>
      <w:r>
        <w:rPr>
          <w:rFonts w:hint="eastAsia" w:ascii="宋体" w:hAnsi="宋体" w:eastAsia="宋体" w:cs="宋体"/>
          <w:color w:val="auto"/>
          <w:spacing w:val="0"/>
          <w:position w:val="0"/>
          <w:sz w:val="24"/>
          <w:szCs w:val="24"/>
          <w:highlight w:val="none"/>
          <w:lang w:val="en-US" w:eastAsia="zh-CN"/>
        </w:rPr>
        <w:t>成交供应商</w:t>
      </w:r>
      <w:r>
        <w:rPr>
          <w:rFonts w:hint="eastAsia" w:ascii="宋体" w:hAnsi="宋体" w:eastAsia="宋体" w:cs="宋体"/>
          <w:color w:val="auto"/>
          <w:spacing w:val="0"/>
          <w:position w:val="0"/>
          <w:sz w:val="24"/>
          <w:szCs w:val="24"/>
          <w:highlight w:val="none"/>
          <w:lang w:eastAsia="zh-CN"/>
        </w:rPr>
        <w:t>的磋商保证金，自采购合同签订之日起5个工作日内退还</w:t>
      </w:r>
      <w:r>
        <w:rPr>
          <w:rFonts w:hint="eastAsia" w:ascii="宋体" w:hAnsi="宋体" w:eastAsia="宋体" w:cs="宋体"/>
          <w:color w:val="auto"/>
          <w:spacing w:val="0"/>
          <w:position w:val="0"/>
          <w:sz w:val="24"/>
          <w:szCs w:val="24"/>
          <w:highlight w:val="none"/>
          <w:lang w:val="en-US" w:eastAsia="zh-CN"/>
        </w:rPr>
        <w:t>成交供应商</w:t>
      </w:r>
      <w:r>
        <w:rPr>
          <w:rFonts w:hint="eastAsia" w:ascii="宋体" w:hAnsi="宋体" w:eastAsia="宋体" w:cs="宋体"/>
          <w:color w:val="auto"/>
          <w:spacing w:val="0"/>
          <w:position w:val="0"/>
          <w:sz w:val="24"/>
          <w:szCs w:val="24"/>
          <w:highlight w:val="none"/>
          <w:lang w:eastAsia="zh-CN"/>
        </w:rPr>
        <w:t>的磋商保证金。</w:t>
      </w:r>
    </w:p>
    <w:p w14:paraId="0881378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.4 供应商在提交响应文件截止</w:t>
      </w:r>
      <w:r>
        <w:rPr>
          <w:rFonts w:hint="eastAsia" w:ascii="宋体" w:hAnsi="宋体" w:eastAsia="宋体" w:cs="宋体"/>
          <w:color w:val="auto"/>
          <w:spacing w:val="0"/>
          <w:position w:val="0"/>
          <w:sz w:val="24"/>
          <w:szCs w:val="24"/>
          <w:highlight w:val="none"/>
          <w:lang w:val="en-US" w:eastAsia="zh-CN"/>
        </w:rPr>
        <w:t>时间</w:t>
      </w:r>
      <w:r>
        <w:rPr>
          <w:rFonts w:hint="eastAsia" w:ascii="宋体" w:hAnsi="宋体" w:eastAsia="宋体" w:cs="宋体"/>
          <w:color w:val="auto"/>
          <w:spacing w:val="0"/>
          <w:position w:val="0"/>
          <w:sz w:val="24"/>
          <w:szCs w:val="24"/>
          <w:highlight w:val="none"/>
          <w:lang w:eastAsia="zh-CN"/>
        </w:rPr>
        <w:t>前撤回已提交的响应文件的，采购代理机构应当自提交响应文件截止之日起5个工作日内，退还已收取的磋商保证金，但因供应商自身原因导致无法及时退还的除外。</w:t>
      </w:r>
    </w:p>
    <w:p w14:paraId="679E99D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.5 下列任何情况发生时，磋商保证金不予退</w:t>
      </w:r>
      <w:r>
        <w:rPr>
          <w:rFonts w:hint="eastAsia" w:ascii="宋体" w:hAnsi="宋体" w:eastAsia="宋体" w:cs="宋体"/>
          <w:color w:val="auto"/>
          <w:spacing w:val="0"/>
          <w:position w:val="0"/>
          <w:sz w:val="24"/>
          <w:szCs w:val="24"/>
          <w:highlight w:val="none"/>
          <w:lang w:val="en-US" w:eastAsia="zh-CN"/>
        </w:rPr>
        <w:t>还</w:t>
      </w:r>
      <w:r>
        <w:rPr>
          <w:rFonts w:hint="eastAsia" w:ascii="宋体" w:hAnsi="宋体" w:eastAsia="宋体" w:cs="宋体"/>
          <w:color w:val="auto"/>
          <w:spacing w:val="0"/>
          <w:position w:val="0"/>
          <w:sz w:val="24"/>
          <w:szCs w:val="24"/>
          <w:highlight w:val="none"/>
          <w:lang w:eastAsia="zh-CN"/>
        </w:rPr>
        <w:t xml:space="preserve">： </w:t>
      </w:r>
    </w:p>
    <w:p w14:paraId="461DB91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（1)供应商在提交响应文件截止时间后撤回响应文件的；</w:t>
      </w:r>
    </w:p>
    <w:p w14:paraId="3D24A59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w:t>
      </w:r>
      <w:r>
        <w:rPr>
          <w:rFonts w:hint="eastAsia" w:ascii="宋体" w:hAnsi="宋体" w:eastAsia="宋体" w:cs="宋体"/>
          <w:color w:val="auto"/>
          <w:spacing w:val="0"/>
          <w:position w:val="0"/>
          <w:sz w:val="24"/>
          <w:szCs w:val="24"/>
          <w:highlight w:val="none"/>
        </w:rPr>
        <w:t>除因</w:t>
      </w:r>
      <w:r>
        <w:rPr>
          <w:rFonts w:hint="eastAsia" w:ascii="宋体" w:hAnsi="宋体" w:eastAsia="宋体" w:cs="宋体"/>
          <w:color w:val="auto"/>
          <w:spacing w:val="0"/>
          <w:position w:val="0"/>
          <w:sz w:val="24"/>
          <w:szCs w:val="24"/>
          <w:highlight w:val="none"/>
          <w:lang w:eastAsia="zh-CN"/>
        </w:rPr>
        <w:t>不可抗力</w:t>
      </w:r>
      <w:r>
        <w:rPr>
          <w:rFonts w:hint="eastAsia" w:ascii="宋体" w:hAnsi="宋体" w:eastAsia="宋体" w:cs="宋体"/>
          <w:color w:val="auto"/>
          <w:spacing w:val="0"/>
          <w:position w:val="0"/>
          <w:sz w:val="24"/>
          <w:szCs w:val="24"/>
          <w:highlight w:val="none"/>
        </w:rPr>
        <w:t>或</w:t>
      </w:r>
      <w:r>
        <w:rPr>
          <w:rFonts w:hint="eastAsia" w:ascii="宋体" w:hAnsi="宋体" w:eastAsia="宋体" w:cs="宋体"/>
          <w:color w:val="auto"/>
          <w:spacing w:val="0"/>
          <w:position w:val="0"/>
          <w:sz w:val="24"/>
          <w:szCs w:val="24"/>
          <w:highlight w:val="none"/>
          <w:lang w:eastAsia="zh-CN"/>
        </w:rPr>
        <w:t>磋商</w:t>
      </w:r>
      <w:r>
        <w:rPr>
          <w:rFonts w:hint="eastAsia" w:ascii="宋体" w:hAnsi="宋体" w:eastAsia="宋体" w:cs="宋体"/>
          <w:color w:val="auto"/>
          <w:spacing w:val="0"/>
          <w:position w:val="0"/>
          <w:sz w:val="24"/>
          <w:szCs w:val="24"/>
          <w:highlight w:val="none"/>
        </w:rPr>
        <w:t>文件认可的情形以外，成交供应商不与采购人签订合同的；</w:t>
      </w:r>
    </w:p>
    <w:p w14:paraId="54E26E2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成交供应商</w:t>
      </w:r>
      <w:r>
        <w:rPr>
          <w:rFonts w:hint="eastAsia" w:ascii="宋体" w:hAnsi="宋体" w:eastAsia="宋体" w:cs="宋体"/>
          <w:color w:val="auto"/>
          <w:spacing w:val="0"/>
          <w:position w:val="0"/>
          <w:sz w:val="24"/>
          <w:szCs w:val="24"/>
          <w:highlight w:val="none"/>
          <w:lang w:eastAsia="zh-CN"/>
        </w:rPr>
        <w:t>未按</w:t>
      </w:r>
      <w:r>
        <w:rPr>
          <w:rFonts w:hint="eastAsia" w:ascii="宋体" w:hAnsi="宋体" w:eastAsia="宋体" w:cs="宋体"/>
          <w:color w:val="auto"/>
          <w:spacing w:val="0"/>
          <w:position w:val="0"/>
          <w:sz w:val="24"/>
          <w:szCs w:val="24"/>
          <w:highlight w:val="none"/>
          <w:lang w:val="en-US" w:eastAsia="zh-CN"/>
        </w:rPr>
        <w:t>磋商文件规定支付</w:t>
      </w:r>
      <w:r>
        <w:rPr>
          <w:rFonts w:hint="eastAsia" w:ascii="宋体" w:hAnsi="宋体" w:eastAsia="宋体" w:cs="宋体"/>
          <w:color w:val="auto"/>
          <w:spacing w:val="0"/>
          <w:position w:val="0"/>
          <w:sz w:val="24"/>
          <w:szCs w:val="24"/>
          <w:highlight w:val="none"/>
          <w:lang w:eastAsia="zh-CN"/>
        </w:rPr>
        <w:t>采购代理服务费；</w:t>
      </w:r>
    </w:p>
    <w:p w14:paraId="0F7938B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10"/>
          <w:szCs w:val="10"/>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eastAsia="zh-CN"/>
        </w:rPr>
        <w:t>（4)</w:t>
      </w:r>
      <w:r>
        <w:rPr>
          <w:rFonts w:hint="eastAsia" w:ascii="宋体" w:hAnsi="宋体" w:eastAsia="宋体" w:cs="宋体"/>
          <w:color w:val="auto"/>
          <w:spacing w:val="0"/>
          <w:position w:val="0"/>
          <w:sz w:val="24"/>
          <w:szCs w:val="24"/>
          <w:highlight w:val="none"/>
          <w:lang w:val="en-US" w:eastAsia="zh-CN"/>
        </w:rPr>
        <w:t>成交供应商</w:t>
      </w:r>
      <w:r>
        <w:rPr>
          <w:rFonts w:hint="eastAsia" w:ascii="宋体" w:hAnsi="宋体" w:eastAsia="宋体" w:cs="宋体"/>
          <w:color w:val="auto"/>
          <w:spacing w:val="0"/>
          <w:position w:val="0"/>
          <w:sz w:val="24"/>
          <w:szCs w:val="24"/>
          <w:highlight w:val="none"/>
          <w:lang w:eastAsia="zh-CN"/>
        </w:rPr>
        <w:t>未按</w:t>
      </w:r>
      <w:r>
        <w:rPr>
          <w:rFonts w:hint="eastAsia" w:ascii="宋体" w:hAnsi="宋体" w:eastAsia="宋体" w:cs="宋体"/>
          <w:color w:val="auto"/>
          <w:spacing w:val="0"/>
          <w:position w:val="0"/>
          <w:sz w:val="24"/>
          <w:szCs w:val="24"/>
          <w:highlight w:val="none"/>
          <w:lang w:val="en-US" w:eastAsia="zh-CN"/>
        </w:rPr>
        <w:t>磋商文件</w:t>
      </w:r>
      <w:r>
        <w:rPr>
          <w:rFonts w:hint="eastAsia" w:ascii="宋体" w:hAnsi="宋体" w:eastAsia="宋体" w:cs="宋体"/>
          <w:color w:val="auto"/>
          <w:spacing w:val="0"/>
          <w:position w:val="0"/>
          <w:sz w:val="24"/>
          <w:szCs w:val="24"/>
          <w:highlight w:val="none"/>
          <w:lang w:eastAsia="zh-CN"/>
        </w:rPr>
        <w:t>规定提交履约保证金；（</w:t>
      </w:r>
      <w:r>
        <w:rPr>
          <w:rFonts w:hint="eastAsia" w:ascii="宋体" w:hAnsi="宋体" w:eastAsia="宋体" w:cs="宋体"/>
          <w:color w:val="auto"/>
          <w:spacing w:val="0"/>
          <w:position w:val="0"/>
          <w:sz w:val="24"/>
          <w:szCs w:val="24"/>
          <w:highlight w:val="none"/>
          <w:lang w:val="en-US" w:eastAsia="zh-CN"/>
        </w:rPr>
        <w:t>如要求提供履约保证金</w:t>
      </w:r>
      <w:r>
        <w:rPr>
          <w:rFonts w:hint="eastAsia" w:ascii="宋体" w:hAnsi="宋体" w:eastAsia="宋体" w:cs="宋体"/>
          <w:color w:val="auto"/>
          <w:spacing w:val="0"/>
          <w:position w:val="0"/>
          <w:sz w:val="24"/>
          <w:szCs w:val="24"/>
          <w:highlight w:val="none"/>
          <w:lang w:eastAsia="zh-CN"/>
        </w:rPr>
        <w:t>）</w:t>
      </w:r>
    </w:p>
    <w:p w14:paraId="64C7162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eastAsia="zh-CN"/>
        </w:rPr>
        <w:t>（5)供应商</w:t>
      </w:r>
      <w:r>
        <w:rPr>
          <w:rFonts w:hint="eastAsia" w:ascii="宋体" w:hAnsi="宋体" w:eastAsia="宋体" w:cs="宋体"/>
          <w:color w:val="auto"/>
          <w:spacing w:val="0"/>
          <w:position w:val="0"/>
          <w:sz w:val="24"/>
          <w:szCs w:val="24"/>
          <w:highlight w:val="none"/>
        </w:rPr>
        <w:t>在响应文件中提供虚假材料的；</w:t>
      </w:r>
    </w:p>
    <w:p w14:paraId="29DF1D0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lang w:eastAsia="zh-CN"/>
        </w:rPr>
        <w:t>）供应商与采购人、其他供应商或者采购代理机构恶意串通的。</w:t>
      </w:r>
    </w:p>
    <w:p w14:paraId="6B83894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105" w:name="_Toc20106"/>
      <w:bookmarkStart w:id="106" w:name="_Toc16016"/>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有效期</w:t>
      </w:r>
      <w:bookmarkEnd w:id="105"/>
      <w:bookmarkEnd w:id="106"/>
    </w:p>
    <w:p w14:paraId="3AF2F5E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有效期从提交响应文件的截止之日起算。响应文件中承诺的</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有效期应不少于磋商文件中载明的</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有效期。并在响应文件中承诺的</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有效期内保持有效。磋商文件中载明的</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有效期详见“供应商须知前附表 ”，</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有效期不足的</w:t>
      </w:r>
      <w:r>
        <w:rPr>
          <w:rFonts w:hint="eastAsia" w:ascii="宋体" w:hAnsi="宋体" w:eastAsia="宋体" w:cs="宋体"/>
          <w:color w:val="auto"/>
          <w:spacing w:val="0"/>
          <w:position w:val="0"/>
          <w:sz w:val="24"/>
          <w:szCs w:val="24"/>
          <w:highlight w:val="none"/>
        </w:rPr>
        <w:t>响应文件</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被视为无效</w:t>
      </w:r>
      <w:r>
        <w:rPr>
          <w:rFonts w:hint="eastAsia" w:ascii="宋体" w:hAnsi="宋体" w:eastAsia="宋体" w:cs="宋体"/>
          <w:color w:val="auto"/>
          <w:spacing w:val="0"/>
          <w:position w:val="0"/>
          <w:sz w:val="24"/>
          <w:szCs w:val="24"/>
          <w:highlight w:val="none"/>
          <w:lang w:eastAsia="zh-CN"/>
        </w:rPr>
        <w:t>。</w:t>
      </w:r>
    </w:p>
    <w:p w14:paraId="56F1BD4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eastAsia="zh-CN"/>
        </w:rPr>
        <w:t>.2 在特殊情况下，采购代理机构可延长</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有效期。延长</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有效期在上饶市阳光采购服务平台发布，延期函以网上公告的形式通知所有已参加</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的供应商。已参加</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的供应商应以书面形式答复采购代理机构，同意延长有效期的供应商不能修改其响应文件，有关磋商保证金的规定在</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有效期的延长期内继续有效。</w:t>
      </w:r>
    </w:p>
    <w:p w14:paraId="68EC376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107" w:name="bookmark31"/>
      <w:bookmarkEnd w:id="107"/>
      <w:bookmarkStart w:id="108" w:name="_Toc3994"/>
      <w:bookmarkStart w:id="109" w:name="_Toc20170"/>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.响应文件的递交</w:t>
      </w:r>
      <w:bookmarkEnd w:id="108"/>
      <w:bookmarkEnd w:id="109"/>
    </w:p>
    <w:p w14:paraId="631CB41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 文件递交</w:t>
      </w:r>
    </w:p>
    <w:p w14:paraId="4FD2D81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15.1.1 提交响应文件截止时间</w:t>
      </w:r>
      <w:r>
        <w:rPr>
          <w:rFonts w:hint="eastAsia" w:ascii="宋体" w:hAnsi="宋体" w:eastAsia="宋体" w:cs="宋体"/>
          <w:color w:val="auto"/>
          <w:spacing w:val="0"/>
          <w:position w:val="0"/>
          <w:sz w:val="24"/>
          <w:szCs w:val="24"/>
          <w:highlight w:val="none"/>
          <w:lang w:eastAsia="zh-CN"/>
        </w:rPr>
        <w:t>：详见“第一章 磋商邀请”</w:t>
      </w:r>
      <w:r>
        <w:rPr>
          <w:rFonts w:hint="eastAsia" w:ascii="宋体" w:hAnsi="宋体" w:eastAsia="宋体" w:cs="宋体"/>
          <w:color w:val="auto"/>
          <w:spacing w:val="0"/>
          <w:position w:val="0"/>
          <w:sz w:val="24"/>
          <w:szCs w:val="24"/>
          <w:highlight w:val="none"/>
          <w:lang w:val="en-US" w:eastAsia="zh-CN"/>
        </w:rPr>
        <w:t>；</w:t>
      </w:r>
    </w:p>
    <w:p w14:paraId="201FDB8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2 </w:t>
      </w:r>
      <w:r>
        <w:rPr>
          <w:rFonts w:hint="eastAsia" w:ascii="宋体" w:hAnsi="宋体" w:eastAsia="宋体" w:cs="宋体"/>
          <w:color w:val="auto"/>
          <w:spacing w:val="0"/>
          <w:position w:val="0"/>
          <w:sz w:val="24"/>
          <w:szCs w:val="24"/>
          <w:highlight w:val="none"/>
          <w:lang w:eastAsia="zh-CN"/>
        </w:rPr>
        <w:t>电子版响应文件必须在磋商文件规定的</w:t>
      </w:r>
      <w:r>
        <w:rPr>
          <w:rFonts w:hint="eastAsia" w:ascii="宋体" w:hAnsi="宋体" w:eastAsia="宋体" w:cs="宋体"/>
          <w:color w:val="auto"/>
          <w:spacing w:val="0"/>
          <w:position w:val="0"/>
          <w:sz w:val="24"/>
          <w:szCs w:val="24"/>
          <w:highlight w:val="none"/>
          <w:lang w:val="en-US" w:eastAsia="zh-CN"/>
        </w:rPr>
        <w:t>提交响应文件截止时间</w:t>
      </w:r>
      <w:r>
        <w:rPr>
          <w:rFonts w:hint="eastAsia" w:ascii="宋体" w:hAnsi="宋体" w:eastAsia="宋体" w:cs="宋体"/>
          <w:color w:val="auto"/>
          <w:spacing w:val="0"/>
          <w:position w:val="0"/>
          <w:sz w:val="24"/>
          <w:szCs w:val="24"/>
          <w:highlight w:val="none"/>
          <w:lang w:eastAsia="zh-CN"/>
        </w:rPr>
        <w:t>前上传到上饶市阳光采购服务平台，</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否则</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响应</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无效。</w:t>
      </w:r>
    </w:p>
    <w:p w14:paraId="46EFFE9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3 </w:t>
      </w:r>
      <w:r>
        <w:rPr>
          <w:rFonts w:hint="eastAsia" w:ascii="宋体" w:hAnsi="宋体" w:eastAsia="宋体" w:cs="宋体"/>
          <w:color w:val="auto"/>
          <w:spacing w:val="0"/>
          <w:position w:val="0"/>
          <w:sz w:val="24"/>
          <w:szCs w:val="24"/>
          <w:highlight w:val="none"/>
          <w:lang w:eastAsia="zh-CN"/>
        </w:rPr>
        <w:t>采购代理机构推迟</w:t>
      </w:r>
      <w:r>
        <w:rPr>
          <w:rFonts w:hint="eastAsia" w:ascii="宋体" w:hAnsi="宋体" w:eastAsia="宋体" w:cs="宋体"/>
          <w:color w:val="auto"/>
          <w:spacing w:val="0"/>
          <w:position w:val="0"/>
          <w:sz w:val="24"/>
          <w:szCs w:val="24"/>
          <w:highlight w:val="none"/>
          <w:lang w:val="en-US" w:eastAsia="zh-CN"/>
        </w:rPr>
        <w:t>提交响应文件截止时间</w:t>
      </w:r>
      <w:r>
        <w:rPr>
          <w:rFonts w:hint="eastAsia" w:ascii="宋体" w:hAnsi="宋体" w:eastAsia="宋体" w:cs="宋体"/>
          <w:color w:val="auto"/>
          <w:spacing w:val="0"/>
          <w:position w:val="0"/>
          <w:sz w:val="24"/>
          <w:szCs w:val="24"/>
          <w:highlight w:val="none"/>
          <w:lang w:eastAsia="zh-CN"/>
        </w:rPr>
        <w:t>，在上饶市阳光采购服务平台发布延期公告，延期函以网上公告的形式通知所有已下载磋商文件的供应商。在这种情况下，采购代理机构、采购人和供应商受提交响应文件截止时间制约的所有权利和义务均应延长至新的</w:t>
      </w:r>
      <w:r>
        <w:rPr>
          <w:rFonts w:hint="eastAsia" w:ascii="宋体" w:hAnsi="宋体" w:eastAsia="宋体" w:cs="宋体"/>
          <w:color w:val="auto"/>
          <w:spacing w:val="0"/>
          <w:position w:val="0"/>
          <w:sz w:val="24"/>
          <w:szCs w:val="24"/>
          <w:highlight w:val="none"/>
          <w:lang w:val="en-US" w:eastAsia="zh-CN"/>
        </w:rPr>
        <w:t>提交响应文件截止时间</w:t>
      </w:r>
      <w:r>
        <w:rPr>
          <w:rFonts w:hint="eastAsia" w:ascii="宋体" w:hAnsi="宋体" w:eastAsia="宋体" w:cs="宋体"/>
          <w:color w:val="auto"/>
          <w:spacing w:val="0"/>
          <w:position w:val="0"/>
          <w:sz w:val="24"/>
          <w:szCs w:val="24"/>
          <w:highlight w:val="none"/>
          <w:lang w:eastAsia="zh-CN"/>
        </w:rPr>
        <w:t>。</w:t>
      </w:r>
    </w:p>
    <w:p w14:paraId="3F818BC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.2 迟交的响应文件</w:t>
      </w:r>
    </w:p>
    <w:p w14:paraId="7FA5804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snapToGrid w:val="0"/>
          <w:color w:val="auto"/>
          <w:spacing w:val="0"/>
          <w:kern w:val="0"/>
          <w:position w:val="0"/>
          <w:sz w:val="24"/>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snapToGrid w:val="0"/>
          <w:color w:val="auto"/>
          <w:spacing w:val="0"/>
          <w:kern w:val="0"/>
          <w:position w:val="0"/>
          <w:sz w:val="24"/>
          <w:szCs w:val="24"/>
          <w:highlight w:val="none"/>
          <w:lang w:val="en-US" w:eastAsia="zh-CN" w:bidi="ar-SA"/>
        </w:rPr>
        <w:t>15.2.1 在提交响应文件截止时间以后送达的CA数字证书，采购代理机构将拒绝接收。</w:t>
      </w:r>
      <w:r>
        <w:rPr>
          <w:rFonts w:hint="eastAsia" w:ascii="宋体" w:hAnsi="宋体" w:eastAsia="宋体" w:cs="宋体"/>
          <w:snapToGrid w:val="0"/>
          <w:color w:val="auto"/>
          <w:spacing w:val="0"/>
          <w:kern w:val="0"/>
          <w:position w:val="0"/>
          <w:sz w:val="24"/>
          <w:szCs w:val="24"/>
          <w:highlight w:val="none"/>
          <w:lang w:val="en-US" w:eastAsia="zh-CN" w:bidi="ar-SA"/>
          <w14:textOutline w14:w="4356" w14:cap="sq" w14:cmpd="sng" w14:algn="ctr">
            <w14:solidFill>
              <w14:srgbClr w14:val="000000"/>
            </w14:solidFill>
            <w14:prstDash w14:val="solid"/>
            <w14:bevel/>
          </w14:textOutline>
        </w:rPr>
        <w:t>（适用于见面开标方式）</w:t>
      </w:r>
    </w:p>
    <w:p w14:paraId="2F11F3A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.3 响应文件的修改和撤回</w:t>
      </w:r>
    </w:p>
    <w:p w14:paraId="0BD4753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.3.1 在</w:t>
      </w:r>
      <w:r>
        <w:rPr>
          <w:rFonts w:hint="eastAsia" w:ascii="宋体" w:hAnsi="宋体" w:eastAsia="宋体" w:cs="宋体"/>
          <w:color w:val="auto"/>
          <w:spacing w:val="0"/>
          <w:position w:val="0"/>
          <w:sz w:val="24"/>
          <w:szCs w:val="24"/>
          <w:highlight w:val="none"/>
          <w:lang w:val="en-US" w:eastAsia="zh-CN"/>
        </w:rPr>
        <w:t>提交响应文件截止时间</w:t>
      </w:r>
      <w:r>
        <w:rPr>
          <w:rFonts w:hint="eastAsia" w:ascii="宋体" w:hAnsi="宋体" w:eastAsia="宋体" w:cs="宋体"/>
          <w:color w:val="auto"/>
          <w:spacing w:val="0"/>
          <w:position w:val="0"/>
          <w:sz w:val="24"/>
          <w:szCs w:val="24"/>
          <w:highlight w:val="none"/>
          <w:lang w:eastAsia="zh-CN"/>
        </w:rPr>
        <w:t>前，供应商修改或撤回响应文件的，供应商可以在上饶市阳光采购服务平台上重新上传修改后的响应文件或撤回其</w:t>
      </w:r>
      <w:r>
        <w:rPr>
          <w:rFonts w:hint="eastAsia" w:ascii="宋体" w:hAnsi="宋体" w:eastAsia="宋体" w:cs="宋体"/>
          <w:color w:val="auto"/>
          <w:spacing w:val="0"/>
          <w:position w:val="0"/>
          <w:sz w:val="24"/>
          <w:szCs w:val="24"/>
          <w:highlight w:val="none"/>
          <w:lang w:val="en-US" w:eastAsia="zh-CN"/>
        </w:rPr>
        <w:t>响应文件</w:t>
      </w:r>
      <w:r>
        <w:rPr>
          <w:rFonts w:hint="eastAsia" w:ascii="宋体" w:hAnsi="宋体" w:eastAsia="宋体" w:cs="宋体"/>
          <w:color w:val="auto"/>
          <w:spacing w:val="0"/>
          <w:position w:val="0"/>
          <w:sz w:val="24"/>
          <w:szCs w:val="24"/>
          <w:highlight w:val="none"/>
          <w:lang w:eastAsia="zh-CN"/>
        </w:rPr>
        <w:t>。</w:t>
      </w:r>
    </w:p>
    <w:p w14:paraId="2779777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 xml:space="preserve">.3.2 </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有效期期满这段时间内，供应商不得撤</w:t>
      </w:r>
      <w:r>
        <w:rPr>
          <w:rFonts w:hint="eastAsia" w:ascii="宋体" w:hAnsi="宋体" w:eastAsia="宋体" w:cs="宋体"/>
          <w:color w:val="auto"/>
          <w:spacing w:val="0"/>
          <w:position w:val="0"/>
          <w:sz w:val="24"/>
          <w:szCs w:val="24"/>
          <w:highlight w:val="none"/>
          <w:lang w:val="en-US" w:eastAsia="zh-CN"/>
        </w:rPr>
        <w:t>回</w:t>
      </w:r>
      <w:r>
        <w:rPr>
          <w:rFonts w:hint="eastAsia" w:ascii="宋体" w:hAnsi="宋体" w:eastAsia="宋体" w:cs="宋体"/>
          <w:color w:val="auto"/>
          <w:spacing w:val="0"/>
          <w:position w:val="0"/>
          <w:sz w:val="24"/>
          <w:szCs w:val="24"/>
          <w:highlight w:val="none"/>
          <w:lang w:eastAsia="zh-CN"/>
        </w:rPr>
        <w:t>其</w:t>
      </w:r>
      <w:r>
        <w:rPr>
          <w:rFonts w:hint="eastAsia" w:ascii="宋体" w:hAnsi="宋体" w:eastAsia="宋体" w:cs="宋体"/>
          <w:color w:val="auto"/>
          <w:spacing w:val="0"/>
          <w:position w:val="0"/>
          <w:sz w:val="24"/>
          <w:szCs w:val="24"/>
          <w:highlight w:val="none"/>
          <w:lang w:val="en-US" w:eastAsia="zh-CN"/>
        </w:rPr>
        <w:t>响应文件</w:t>
      </w:r>
      <w:r>
        <w:rPr>
          <w:rFonts w:hint="eastAsia" w:ascii="宋体" w:hAnsi="宋体" w:eastAsia="宋体" w:cs="宋体"/>
          <w:color w:val="auto"/>
          <w:spacing w:val="0"/>
          <w:position w:val="0"/>
          <w:sz w:val="24"/>
          <w:szCs w:val="24"/>
          <w:highlight w:val="none"/>
          <w:lang w:eastAsia="zh-CN"/>
        </w:rPr>
        <w:t>，否则不予退还其交纳的磋商保证金。</w:t>
      </w:r>
    </w:p>
    <w:p w14:paraId="1FFB8A8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sz w:val="24"/>
          <w:szCs w:val="24"/>
          <w:highlight w:val="none"/>
          <w:lang w:val="en-US" w:eastAsia="zh-CN"/>
        </w:rPr>
        <w:t>15.4 原件及演示递交要求：磋商文件要求提供材料原件、演示佐证的，必须将原件或演示材料在响应文件递交截止时间前递交至磋商地点，逾期不予接收。具体要求详见“供应商须知前附表”。</w:t>
      </w:r>
    </w:p>
    <w:p w14:paraId="7D06739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110" w:name="_Toc5803"/>
      <w:bookmarkStart w:id="111" w:name="_Toc15008"/>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6</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.分包的规定</w:t>
      </w:r>
      <w:bookmarkEnd w:id="110"/>
      <w:bookmarkEnd w:id="111"/>
    </w:p>
    <w:p w14:paraId="4FC2D11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lang w:eastAsia="zh-CN"/>
        </w:rPr>
        <w:t>.1 本项目是否允许分包：详见“供应商须知前附表 ”。</w:t>
      </w:r>
    </w:p>
    <w:p w14:paraId="41438CA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lang w:eastAsia="zh-CN"/>
        </w:rPr>
        <w:t xml:space="preserve">.2 </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eastAsia="zh-CN"/>
        </w:rPr>
        <w:t>在</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lang w:eastAsia="zh-CN"/>
        </w:rPr>
        <w:t>后将</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lang w:eastAsia="zh-CN"/>
        </w:rPr>
        <w:t>项目的非主体、非关键性工作分包的，应当在响应文件中载明分包承担主体，分包承担主体应当具备相应资质条件且不得再次分包。</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（适用于允许分包）</w:t>
      </w:r>
    </w:p>
    <w:p w14:paraId="53BF2E4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highlight w:val="none"/>
          <w:lang w:val="en-US" w:eastAsia="zh-CN"/>
        </w:rPr>
      </w:pPr>
      <w:bookmarkStart w:id="112" w:name="bookmark33"/>
      <w:bookmarkEnd w:id="112"/>
      <w:bookmarkStart w:id="113" w:name="_Toc7134"/>
      <w:bookmarkStart w:id="114" w:name="_Toc32464"/>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 xml:space="preserve"> 依据《政府采购促进中小企业发展管理办法》规定享受扶持政策获得政府采购合同的，小微企业不得将合同分包给大中型企业，中型企业不得将合同分包给大型企业。</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（适用于允许分包）</w:t>
      </w:r>
      <w:bookmarkEnd w:id="113"/>
      <w:bookmarkEnd w:id="114"/>
    </w:p>
    <w:p w14:paraId="47213387">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15" w:name="bookmark34"/>
      <w:bookmarkEnd w:id="115"/>
      <w:bookmarkStart w:id="116" w:name="_Toc29401"/>
      <w:bookmarkStart w:id="117" w:name="_Toc25150"/>
      <w:bookmarkStart w:id="118" w:name="_Toc10029"/>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四、</w:t>
      </w:r>
      <w:bookmarkStart w:id="119" w:name="bookmark35"/>
      <w:bookmarkEnd w:id="119"/>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bookmarkEnd w:id="116"/>
      <w:bookmarkEnd w:id="117"/>
      <w:bookmarkEnd w:id="118"/>
    </w:p>
    <w:p w14:paraId="6F9D1AC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120" w:name="_Toc23970"/>
      <w:bookmarkStart w:id="121" w:name="_Toc3552"/>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17</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.磋商组织</w:t>
      </w:r>
      <w:bookmarkEnd w:id="120"/>
      <w:bookmarkEnd w:id="121"/>
    </w:p>
    <w:p w14:paraId="63925D0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b w:val="0"/>
          <w:bCs/>
          <w:color w:val="auto"/>
          <w:spacing w:val="0"/>
          <w:kern w:val="0"/>
          <w:position w:val="0"/>
          <w:sz w:val="24"/>
          <w:szCs w:val="24"/>
          <w:highlight w:val="none"/>
        </w:rPr>
      </w:pPr>
      <w:r>
        <w:rPr>
          <w:rFonts w:hint="eastAsia" w:ascii="宋体" w:hAnsi="宋体" w:eastAsia="宋体" w:cs="宋体"/>
          <w:b w:val="0"/>
          <w:bCs/>
          <w:color w:val="auto"/>
          <w:spacing w:val="0"/>
          <w:position w:val="0"/>
          <w:sz w:val="24"/>
          <w:szCs w:val="24"/>
          <w:highlight w:val="none"/>
          <w:lang w:val="en-US" w:eastAsia="zh-CN"/>
        </w:rPr>
        <w:t>17</w:t>
      </w:r>
      <w:r>
        <w:rPr>
          <w:rFonts w:hint="eastAsia" w:ascii="宋体" w:hAnsi="宋体" w:eastAsia="宋体" w:cs="宋体"/>
          <w:b w:val="0"/>
          <w:bCs/>
          <w:color w:val="auto"/>
          <w:spacing w:val="0"/>
          <w:position w:val="0"/>
          <w:sz w:val="24"/>
          <w:szCs w:val="24"/>
          <w:highlight w:val="none"/>
          <w:lang w:val="en-GB"/>
        </w:rPr>
        <w:t>.1</w:t>
      </w:r>
      <w:r>
        <w:rPr>
          <w:rFonts w:hint="eastAsia" w:ascii="宋体" w:hAnsi="宋体" w:eastAsia="宋体" w:cs="宋体"/>
          <w:b w:val="0"/>
          <w:bCs/>
          <w:color w:val="auto"/>
          <w:spacing w:val="0"/>
          <w:position w:val="0"/>
          <w:sz w:val="24"/>
          <w:szCs w:val="24"/>
          <w:highlight w:val="none"/>
          <w:lang w:val="en-US" w:eastAsia="zh-CN"/>
        </w:rPr>
        <w:t xml:space="preserve"> </w:t>
      </w:r>
      <w:r>
        <w:rPr>
          <w:rFonts w:hint="eastAsia" w:ascii="宋体" w:hAnsi="宋体" w:eastAsia="宋体" w:cs="宋体"/>
          <w:b w:val="0"/>
          <w:bCs/>
          <w:color w:val="auto"/>
          <w:spacing w:val="0"/>
          <w:position w:val="0"/>
          <w:sz w:val="24"/>
          <w:szCs w:val="24"/>
          <w:highlight w:val="none"/>
        </w:rPr>
        <w:t xml:space="preserve">采购代理机构在“第一章 </w:t>
      </w:r>
      <w:r>
        <w:rPr>
          <w:rFonts w:hint="eastAsia" w:ascii="宋体" w:hAnsi="宋体" w:eastAsia="宋体" w:cs="宋体"/>
          <w:b w:val="0"/>
          <w:bCs/>
          <w:color w:val="auto"/>
          <w:spacing w:val="0"/>
          <w:position w:val="0"/>
          <w:sz w:val="24"/>
          <w:szCs w:val="24"/>
          <w:highlight w:val="none"/>
          <w:lang w:val="en-US" w:eastAsia="zh-CN"/>
        </w:rPr>
        <w:t>磋商</w:t>
      </w:r>
      <w:r>
        <w:rPr>
          <w:rFonts w:hint="eastAsia" w:ascii="宋体" w:hAnsi="宋体" w:eastAsia="宋体" w:cs="宋体"/>
          <w:b w:val="0"/>
          <w:bCs/>
          <w:color w:val="auto"/>
          <w:spacing w:val="0"/>
          <w:position w:val="0"/>
          <w:sz w:val="24"/>
          <w:szCs w:val="24"/>
          <w:highlight w:val="none"/>
        </w:rPr>
        <w:t>邀请”中规定的时间和地点组织</w:t>
      </w:r>
      <w:r>
        <w:rPr>
          <w:rFonts w:hint="eastAsia" w:ascii="宋体" w:hAnsi="宋体" w:eastAsia="宋体" w:cs="宋体"/>
          <w:b w:val="0"/>
          <w:bCs/>
          <w:color w:val="auto"/>
          <w:spacing w:val="0"/>
          <w:position w:val="0"/>
          <w:sz w:val="24"/>
          <w:szCs w:val="24"/>
          <w:highlight w:val="none"/>
          <w:lang w:val="en-US" w:eastAsia="zh-CN"/>
        </w:rPr>
        <w:t>磋商</w:t>
      </w:r>
      <w:r>
        <w:rPr>
          <w:rFonts w:hint="eastAsia" w:ascii="宋体" w:hAnsi="宋体" w:eastAsia="宋体" w:cs="宋体"/>
          <w:b w:val="0"/>
          <w:bCs/>
          <w:color w:val="auto"/>
          <w:spacing w:val="0"/>
          <w:position w:val="0"/>
          <w:sz w:val="24"/>
          <w:szCs w:val="24"/>
          <w:highlight w:val="none"/>
        </w:rPr>
        <w:t>。</w:t>
      </w:r>
      <w:r>
        <w:rPr>
          <w:rFonts w:hint="eastAsia" w:ascii="宋体" w:hAnsi="宋体" w:eastAsia="宋体" w:cs="宋体"/>
          <w:i w:val="0"/>
          <w:iCs w:val="0"/>
          <w:color w:val="auto"/>
          <w:spacing w:val="0"/>
          <w:position w:val="0"/>
          <w:sz w:val="24"/>
          <w:szCs w:val="24"/>
          <w:highlight w:val="none"/>
        </w:rPr>
        <w:t>参加磋商的</w:t>
      </w:r>
      <w:r>
        <w:rPr>
          <w:rFonts w:hint="eastAsia" w:ascii="宋体" w:hAnsi="宋体" w:eastAsia="宋体" w:cs="宋体"/>
          <w:i w:val="0"/>
          <w:iCs w:val="0"/>
          <w:color w:val="auto"/>
          <w:spacing w:val="0"/>
          <w:position w:val="0"/>
          <w:sz w:val="24"/>
          <w:szCs w:val="24"/>
          <w:highlight w:val="none"/>
          <w:lang w:val="en-US" w:eastAsia="zh-CN"/>
        </w:rPr>
        <w:t>供应商须保持在线</w:t>
      </w:r>
      <w:r>
        <w:rPr>
          <w:rFonts w:hint="eastAsia" w:ascii="宋体" w:hAnsi="宋体" w:eastAsia="宋体" w:cs="宋体"/>
          <w:i w:val="0"/>
          <w:iCs w:val="0"/>
          <w:color w:val="auto"/>
          <w:spacing w:val="0"/>
          <w:position w:val="0"/>
          <w:sz w:val="24"/>
          <w:szCs w:val="24"/>
          <w:highlight w:val="none"/>
        </w:rPr>
        <w:t>以证明其出席。</w:t>
      </w:r>
    </w:p>
    <w:p w14:paraId="36CA2EB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b w:val="0"/>
          <w:bCs/>
          <w:color w:val="auto"/>
          <w:spacing w:val="0"/>
          <w:position w:val="0"/>
          <w:sz w:val="24"/>
          <w:szCs w:val="24"/>
          <w:highlight w:val="none"/>
        </w:rPr>
      </w:pPr>
      <w:r>
        <w:rPr>
          <w:rFonts w:hint="eastAsia" w:ascii="宋体" w:hAnsi="宋体" w:eastAsia="宋体" w:cs="宋体"/>
          <w:b w:val="0"/>
          <w:bCs/>
          <w:color w:val="auto"/>
          <w:spacing w:val="0"/>
          <w:position w:val="0"/>
          <w:sz w:val="24"/>
          <w:szCs w:val="24"/>
          <w:highlight w:val="none"/>
          <w:lang w:val="en-US" w:eastAsia="zh-CN"/>
        </w:rPr>
        <w:t>17</w:t>
      </w:r>
      <w:r>
        <w:rPr>
          <w:rFonts w:hint="eastAsia" w:ascii="宋体" w:hAnsi="宋体" w:eastAsia="宋体" w:cs="宋体"/>
          <w:b w:val="0"/>
          <w:bCs/>
          <w:color w:val="auto"/>
          <w:spacing w:val="0"/>
          <w:position w:val="0"/>
          <w:sz w:val="24"/>
          <w:szCs w:val="24"/>
          <w:highlight w:val="none"/>
        </w:rPr>
        <w:t>.2</w:t>
      </w:r>
      <w:r>
        <w:rPr>
          <w:rFonts w:hint="eastAsia" w:ascii="宋体" w:hAnsi="宋体" w:eastAsia="宋体" w:cs="宋体"/>
          <w:b w:val="0"/>
          <w:bCs/>
          <w:color w:val="auto"/>
          <w:spacing w:val="0"/>
          <w:position w:val="0"/>
          <w:sz w:val="24"/>
          <w:szCs w:val="24"/>
          <w:highlight w:val="none"/>
          <w:lang w:val="en-US" w:eastAsia="zh-CN"/>
        </w:rPr>
        <w:t xml:space="preserve"> 磋商</w:t>
      </w:r>
      <w:r>
        <w:rPr>
          <w:rFonts w:hint="eastAsia" w:ascii="宋体" w:hAnsi="宋体" w:eastAsia="宋体" w:cs="宋体"/>
          <w:b w:val="0"/>
          <w:bCs/>
          <w:color w:val="auto"/>
          <w:spacing w:val="0"/>
          <w:position w:val="0"/>
          <w:sz w:val="24"/>
          <w:szCs w:val="24"/>
          <w:highlight w:val="none"/>
        </w:rPr>
        <w:t>由</w:t>
      </w:r>
      <w:r>
        <w:rPr>
          <w:rFonts w:hint="eastAsia" w:ascii="宋体" w:hAnsi="宋体" w:eastAsia="宋体" w:cs="宋体"/>
          <w:color w:val="auto"/>
          <w:spacing w:val="0"/>
          <w:position w:val="0"/>
          <w:sz w:val="24"/>
          <w:szCs w:val="24"/>
          <w:highlight w:val="none"/>
          <w:lang w:val="en-US" w:eastAsia="zh-CN"/>
        </w:rPr>
        <w:t>采购</w:t>
      </w:r>
      <w:r>
        <w:rPr>
          <w:rFonts w:hint="eastAsia" w:ascii="宋体" w:hAnsi="宋体" w:eastAsia="宋体" w:cs="宋体"/>
          <w:b w:val="0"/>
          <w:bCs/>
          <w:color w:val="auto"/>
          <w:spacing w:val="0"/>
          <w:position w:val="0"/>
          <w:sz w:val="24"/>
          <w:szCs w:val="24"/>
          <w:highlight w:val="none"/>
        </w:rPr>
        <w:t>人或者采购代理机构主持，邀请</w:t>
      </w:r>
      <w:r>
        <w:rPr>
          <w:rFonts w:hint="eastAsia" w:ascii="宋体" w:hAnsi="宋体" w:eastAsia="宋体" w:cs="宋体"/>
          <w:b w:val="0"/>
          <w:bCs/>
          <w:color w:val="auto"/>
          <w:spacing w:val="0"/>
          <w:position w:val="0"/>
          <w:sz w:val="24"/>
          <w:szCs w:val="24"/>
          <w:highlight w:val="none"/>
          <w:lang w:eastAsia="zh-CN"/>
        </w:rPr>
        <w:t>供应商</w:t>
      </w:r>
      <w:r>
        <w:rPr>
          <w:rFonts w:hint="eastAsia" w:ascii="宋体" w:hAnsi="宋体" w:eastAsia="宋体" w:cs="宋体"/>
          <w:b w:val="0"/>
          <w:bCs/>
          <w:color w:val="auto"/>
          <w:spacing w:val="0"/>
          <w:position w:val="0"/>
          <w:sz w:val="24"/>
          <w:szCs w:val="24"/>
          <w:highlight w:val="none"/>
          <w:lang w:val="en-US" w:eastAsia="zh-CN"/>
        </w:rPr>
        <w:t>在线</w:t>
      </w:r>
      <w:r>
        <w:rPr>
          <w:rFonts w:hint="eastAsia" w:ascii="宋体" w:hAnsi="宋体" w:eastAsia="宋体" w:cs="宋体"/>
          <w:b w:val="0"/>
          <w:bCs/>
          <w:color w:val="auto"/>
          <w:spacing w:val="0"/>
          <w:position w:val="0"/>
          <w:sz w:val="24"/>
          <w:szCs w:val="24"/>
          <w:highlight w:val="none"/>
        </w:rPr>
        <w:t>参加。</w:t>
      </w:r>
    </w:p>
    <w:p w14:paraId="09ACABF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val="0"/>
          <w:bCs/>
          <w:color w:val="auto"/>
          <w:spacing w:val="0"/>
          <w:position w:val="0"/>
          <w:sz w:val="24"/>
          <w:szCs w:val="24"/>
          <w:highlight w:val="none"/>
          <w:lang w:val="en-US" w:eastAsia="zh-CN"/>
        </w:rPr>
        <w:t>17</w:t>
      </w:r>
      <w:r>
        <w:rPr>
          <w:rFonts w:hint="eastAsia" w:ascii="宋体" w:hAnsi="宋体" w:eastAsia="宋体" w:cs="宋体"/>
          <w:b w:val="0"/>
          <w:bCs/>
          <w:color w:val="auto"/>
          <w:spacing w:val="0"/>
          <w:position w:val="0"/>
          <w:sz w:val="24"/>
          <w:szCs w:val="24"/>
          <w:highlight w:val="none"/>
        </w:rPr>
        <w:t>.3</w:t>
      </w:r>
      <w:r>
        <w:rPr>
          <w:rFonts w:hint="eastAsia" w:ascii="宋体" w:hAnsi="宋体" w:eastAsia="宋体" w:cs="宋体"/>
          <w:b w:val="0"/>
          <w:bCs/>
          <w:color w:val="auto"/>
          <w:spacing w:val="0"/>
          <w:position w:val="0"/>
          <w:sz w:val="24"/>
          <w:szCs w:val="24"/>
          <w:highlight w:val="none"/>
          <w:lang w:val="en-US" w:eastAsia="zh-CN"/>
        </w:rPr>
        <w:t xml:space="preserve"> 磋商</w:t>
      </w:r>
      <w:r>
        <w:rPr>
          <w:rFonts w:hint="eastAsia" w:ascii="宋体" w:hAnsi="宋体" w:eastAsia="宋体" w:cs="宋体"/>
          <w:b w:val="0"/>
          <w:bCs/>
          <w:color w:val="auto"/>
          <w:spacing w:val="0"/>
          <w:position w:val="0"/>
          <w:sz w:val="24"/>
          <w:szCs w:val="24"/>
          <w:highlight w:val="none"/>
        </w:rPr>
        <w:t>截止时间前</w:t>
      </w:r>
      <w:r>
        <w:rPr>
          <w:rFonts w:hint="eastAsia" w:ascii="宋体" w:hAnsi="宋体" w:eastAsia="宋体" w:cs="宋体"/>
          <w:b w:val="0"/>
          <w:bCs/>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lang w:val="en-US" w:eastAsia="zh-CN"/>
        </w:rPr>
        <w:t>未进行网上在线签到的或CA数字证书未在规定时间内完成解密响应文件的，</w:t>
      </w:r>
      <w:r>
        <w:rPr>
          <w:rFonts w:hint="eastAsia" w:ascii="宋体" w:hAnsi="宋体" w:eastAsia="宋体" w:cs="宋体"/>
          <w:b/>
          <w:bCs/>
          <w:color w:val="auto"/>
          <w:spacing w:val="0"/>
          <w:position w:val="0"/>
          <w:sz w:val="24"/>
          <w:szCs w:val="24"/>
          <w:highlight w:val="none"/>
          <w:lang w:val="en-US" w:eastAsia="zh-CN"/>
        </w:rPr>
        <w:t>响应无效。</w:t>
      </w:r>
    </w:p>
    <w:p w14:paraId="7DC0647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22" w:name="_Toc20123"/>
      <w:bookmarkStart w:id="123" w:name="_Toc27793"/>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18.磋商小组</w:t>
      </w:r>
      <w:bookmarkEnd w:id="122"/>
      <w:bookmarkEnd w:id="123"/>
    </w:p>
    <w:p w14:paraId="4C09C40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en-GB"/>
        </w:rPr>
        <w:t>在相关的政府采购评审专家库中随机抽取评审专家，依法成立</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eastAsia="宋体" w:cs="宋体"/>
          <w:color w:val="auto"/>
          <w:spacing w:val="0"/>
          <w:position w:val="0"/>
          <w:sz w:val="24"/>
          <w:szCs w:val="24"/>
          <w:highlight w:val="none"/>
          <w:lang w:val="en-GB"/>
        </w:rPr>
        <w:t>小组。评审工作由</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eastAsia="宋体" w:cs="宋体"/>
          <w:color w:val="auto"/>
          <w:spacing w:val="0"/>
          <w:position w:val="0"/>
          <w:sz w:val="24"/>
          <w:szCs w:val="24"/>
          <w:highlight w:val="none"/>
          <w:lang w:val="en-GB"/>
        </w:rPr>
        <w:t>小组负责。</w:t>
      </w:r>
    </w:p>
    <w:p w14:paraId="1902268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24" w:name="_Toc9779"/>
      <w:bookmarkStart w:id="125" w:name="_Toc16800"/>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19.磋商程序</w:t>
      </w:r>
      <w:bookmarkEnd w:id="124"/>
      <w:bookmarkEnd w:id="125"/>
    </w:p>
    <w:p w14:paraId="0C510C9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19</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 xml:space="preserve"> 响应文件的</w:t>
      </w:r>
      <w:r>
        <w:rPr>
          <w:rFonts w:hint="eastAsia" w:ascii="宋体" w:hAnsi="宋体" w:eastAsia="宋体" w:cs="宋体"/>
          <w:color w:val="auto"/>
          <w:spacing w:val="0"/>
          <w:position w:val="0"/>
          <w:sz w:val="24"/>
          <w:szCs w:val="24"/>
          <w:highlight w:val="none"/>
          <w:lang w:val="en-US" w:eastAsia="zh-CN"/>
        </w:rPr>
        <w:t xml:space="preserve">审查 </w:t>
      </w:r>
    </w:p>
    <w:p w14:paraId="06ECC1D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（1）磋商小组在对响应文件的有效性、完整性和响应程度进行审查时，可以要求供应商对响应文件中含义不明确、同类问题表述不一致或者有明显文字和计算错误的内容等做出必要的澄清、说明</w:t>
      </w:r>
      <w:r>
        <w:rPr>
          <w:rFonts w:hint="eastAsia" w:ascii="宋体" w:hAnsi="宋体" w:eastAsia="宋体" w:cs="宋体"/>
          <w:color w:val="auto"/>
          <w:spacing w:val="0"/>
          <w:position w:val="0"/>
          <w:sz w:val="24"/>
          <w:szCs w:val="24"/>
          <w:highlight w:val="none"/>
          <w:lang w:val="en-US" w:eastAsia="zh-CN"/>
        </w:rPr>
        <w:t>或者</w:t>
      </w:r>
      <w:r>
        <w:rPr>
          <w:rFonts w:hint="eastAsia" w:ascii="宋体" w:hAnsi="宋体" w:eastAsia="宋体" w:cs="宋体"/>
          <w:color w:val="auto"/>
          <w:spacing w:val="0"/>
          <w:position w:val="0"/>
          <w:sz w:val="24"/>
          <w:szCs w:val="24"/>
          <w:highlight w:val="none"/>
        </w:rPr>
        <w:t xml:space="preserve">更正。供应商的澄清、说明或者更正不得超出响应文件的范围或者改变响应文件的实质性内容。 </w:t>
      </w:r>
    </w:p>
    <w:p w14:paraId="7F64EA7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（2）磋商期间</w:t>
      </w:r>
      <w:r>
        <w:rPr>
          <w:rFonts w:hint="eastAsia" w:ascii="宋体" w:hAnsi="宋体" w:eastAsia="宋体" w:cs="宋体"/>
          <w:color w:val="auto"/>
          <w:spacing w:val="0"/>
          <w:kern w:val="2"/>
          <w:position w:val="0"/>
          <w:sz w:val="24"/>
          <w:szCs w:val="24"/>
          <w:highlight w:val="none"/>
          <w:lang w:val="en-US" w:eastAsia="zh-CN" w:bidi="ar-SA"/>
        </w:rPr>
        <w:t>通过“信用中国”和“中国政府采购网”查询相关主体信用记录，被列入失信被执行人、</w:t>
      </w:r>
      <w:r>
        <w:rPr>
          <w:rFonts w:hint="eastAsia" w:ascii="宋体" w:hAnsi="宋体" w:eastAsia="宋体" w:cs="宋体"/>
          <w:color w:val="auto"/>
          <w:spacing w:val="0"/>
          <w:position w:val="0"/>
          <w:sz w:val="24"/>
          <w:szCs w:val="24"/>
          <w:highlight w:val="none"/>
          <w:lang w:val="en-US" w:eastAsia="zh-CN"/>
        </w:rPr>
        <w:t>重大税收违法失信主体</w:t>
      </w:r>
      <w:r>
        <w:rPr>
          <w:rFonts w:hint="eastAsia" w:ascii="宋体" w:hAnsi="宋体" w:eastAsia="宋体" w:cs="宋体"/>
          <w:color w:val="auto"/>
          <w:spacing w:val="0"/>
          <w:kern w:val="2"/>
          <w:position w:val="0"/>
          <w:sz w:val="24"/>
          <w:szCs w:val="24"/>
          <w:highlight w:val="none"/>
          <w:lang w:val="en-US" w:eastAsia="zh-CN" w:bidi="ar-SA"/>
        </w:rPr>
        <w:t>、政府采购严重违法失信行为记录名单的供应商（处罚期限尚未届满的）</w:t>
      </w:r>
      <w:r>
        <w:rPr>
          <w:rFonts w:hint="eastAsia" w:ascii="宋体" w:hAnsi="宋体" w:eastAsia="宋体" w:cs="宋体"/>
          <w:color w:val="auto"/>
          <w:spacing w:val="0"/>
          <w:position w:val="0"/>
          <w:sz w:val="24"/>
          <w:szCs w:val="24"/>
          <w:highlight w:val="none"/>
        </w:rPr>
        <w:t>的，其</w:t>
      </w:r>
      <w:r>
        <w:rPr>
          <w:rFonts w:hint="eastAsia" w:ascii="宋体" w:hAnsi="宋体" w:eastAsia="宋体" w:cs="宋体"/>
          <w:b/>
          <w:color w:val="auto"/>
          <w:spacing w:val="0"/>
          <w:position w:val="0"/>
          <w:sz w:val="24"/>
          <w:szCs w:val="24"/>
          <w:highlight w:val="none"/>
        </w:rPr>
        <w:t>响应无效</w:t>
      </w:r>
      <w:r>
        <w:rPr>
          <w:rFonts w:hint="eastAsia" w:ascii="宋体" w:hAnsi="宋体" w:eastAsia="宋体" w:cs="宋体"/>
          <w:color w:val="auto"/>
          <w:spacing w:val="0"/>
          <w:position w:val="0"/>
          <w:sz w:val="24"/>
          <w:szCs w:val="24"/>
          <w:highlight w:val="none"/>
        </w:rPr>
        <w:t>；查询的记录随采购文件存档。</w:t>
      </w:r>
    </w:p>
    <w:p w14:paraId="227D9CF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rPr>
        <w:t>（3）磋商小组要求供应商澄清、说明或者更正响应文件应当以书面形式做出</w:t>
      </w:r>
      <w:r>
        <w:rPr>
          <w:rFonts w:hint="eastAsia" w:ascii="宋体" w:hAnsi="宋体" w:eastAsia="宋体" w:cs="宋体"/>
          <w:i w:val="0"/>
          <w:iCs w:val="0"/>
          <w:color w:val="auto"/>
          <w:spacing w:val="0"/>
          <w:position w:val="0"/>
          <w:sz w:val="24"/>
          <w:szCs w:val="24"/>
          <w:highlight w:val="none"/>
          <w:lang w:val="en-US" w:eastAsia="zh-CN"/>
        </w:rPr>
        <w:t>并扫描上传线上回复至采购代理机构</w:t>
      </w:r>
      <w:r>
        <w:rPr>
          <w:rFonts w:hint="eastAsia" w:ascii="宋体" w:hAnsi="宋体" w:eastAsia="宋体" w:cs="宋体"/>
          <w:i w:val="0"/>
          <w:iCs w:val="0"/>
          <w:color w:val="auto"/>
          <w:spacing w:val="0"/>
          <w:position w:val="0"/>
          <w:sz w:val="24"/>
          <w:szCs w:val="24"/>
          <w:highlight w:val="none"/>
        </w:rPr>
        <w:t>。</w:t>
      </w:r>
      <w:r>
        <w:rPr>
          <w:rFonts w:hint="eastAsia" w:ascii="宋体" w:hAnsi="宋体" w:eastAsia="宋体" w:cs="宋体"/>
          <w:color w:val="auto"/>
          <w:spacing w:val="0"/>
          <w:position w:val="0"/>
          <w:sz w:val="24"/>
          <w:szCs w:val="24"/>
          <w:highlight w:val="none"/>
        </w:rPr>
        <w:t>供应商的澄清、说明或者更正应当由法定代表人或其授权代表签字或者加盖公章。由授权代表签字的，应当附法定</w:t>
      </w:r>
      <w:r>
        <w:rPr>
          <w:rFonts w:hint="eastAsia" w:ascii="宋体" w:hAnsi="宋体" w:eastAsia="宋体" w:cs="宋体"/>
          <w:color w:val="auto"/>
          <w:spacing w:val="0"/>
          <w:position w:val="0"/>
          <w:sz w:val="24"/>
          <w:szCs w:val="24"/>
          <w:highlight w:val="none"/>
          <w:lang w:val="en-GB"/>
        </w:rPr>
        <w:t>代表人授权书。供应商为自然人的，应当由本人签字并附身份证明。</w:t>
      </w:r>
    </w:p>
    <w:p w14:paraId="077795C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19</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 xml:space="preserve">2 </w:t>
      </w:r>
      <w:r>
        <w:rPr>
          <w:rFonts w:hint="eastAsia" w:ascii="宋体" w:hAnsi="宋体" w:eastAsia="宋体" w:cs="宋体"/>
          <w:color w:val="auto"/>
          <w:spacing w:val="0"/>
          <w:position w:val="0"/>
          <w:sz w:val="24"/>
          <w:szCs w:val="24"/>
          <w:highlight w:val="none"/>
          <w:lang w:val="en-GB"/>
        </w:rPr>
        <w:t>磋商</w:t>
      </w:r>
      <w:r>
        <w:rPr>
          <w:rFonts w:hint="eastAsia" w:ascii="宋体" w:hAnsi="宋体" w:eastAsia="宋体" w:cs="宋体"/>
          <w:color w:val="auto"/>
          <w:spacing w:val="0"/>
          <w:position w:val="0"/>
          <w:sz w:val="24"/>
          <w:szCs w:val="24"/>
          <w:highlight w:val="none"/>
          <w:lang w:val="en-GB" w:eastAsia="zh-CN"/>
        </w:rPr>
        <w:t>小组</w:t>
      </w:r>
      <w:r>
        <w:rPr>
          <w:rFonts w:hint="eastAsia" w:ascii="宋体" w:hAnsi="宋体" w:eastAsia="宋体" w:cs="宋体"/>
          <w:color w:val="auto"/>
          <w:spacing w:val="0"/>
          <w:position w:val="0"/>
          <w:sz w:val="24"/>
          <w:szCs w:val="24"/>
          <w:highlight w:val="none"/>
          <w:lang w:val="en-GB"/>
        </w:rPr>
        <w:t>对各供应商的响应文件进行审查，并确定磋商内容。在有效性审查中出现下列情况者，</w:t>
      </w:r>
      <w:r>
        <w:rPr>
          <w:rFonts w:hint="eastAsia" w:ascii="宋体" w:hAnsi="宋体" w:eastAsia="宋体" w:cs="宋体"/>
          <w:b/>
          <w:bCs/>
          <w:color w:val="auto"/>
          <w:spacing w:val="0"/>
          <w:position w:val="0"/>
          <w:sz w:val="24"/>
          <w:szCs w:val="24"/>
          <w:highlight w:val="none"/>
          <w:lang w:val="en-GB"/>
        </w:rPr>
        <w:t>响应文件被视为无效</w:t>
      </w:r>
      <w:r>
        <w:rPr>
          <w:rFonts w:hint="eastAsia" w:ascii="宋体" w:hAnsi="宋体" w:eastAsia="宋体" w:cs="宋体"/>
          <w:b/>
          <w:bCs/>
          <w:color w:val="auto"/>
          <w:spacing w:val="0"/>
          <w:position w:val="0"/>
          <w:sz w:val="24"/>
          <w:szCs w:val="24"/>
          <w:highlight w:val="none"/>
          <w:lang w:val="en-GB" w:eastAsia="zh-CN"/>
        </w:rPr>
        <w:t>：</w:t>
      </w:r>
    </w:p>
    <w:p w14:paraId="105238F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snapToGrid w:val="0"/>
          <w:color w:val="auto"/>
          <w:spacing w:val="0"/>
          <w:position w:val="0"/>
          <w:sz w:val="24"/>
          <w:szCs w:val="24"/>
          <w:highlight w:val="none"/>
          <w:lang w:val="en-GB" w:eastAsia="en-US" w:bidi="ar-SA"/>
        </w:rPr>
        <w:t>1）</w:t>
      </w:r>
      <w:r>
        <w:rPr>
          <w:rFonts w:hint="eastAsia" w:ascii="宋体" w:hAnsi="宋体" w:eastAsia="宋体" w:cs="宋体"/>
          <w:color w:val="auto"/>
          <w:spacing w:val="0"/>
          <w:position w:val="0"/>
          <w:sz w:val="24"/>
          <w:szCs w:val="24"/>
          <w:highlight w:val="none"/>
          <w:lang w:val="en-GB"/>
        </w:rPr>
        <w:t>未提交磋商响应书；</w:t>
      </w:r>
    </w:p>
    <w:p w14:paraId="00CCDCD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snapToGrid w:val="0"/>
          <w:color w:val="auto"/>
          <w:spacing w:val="0"/>
          <w:position w:val="0"/>
          <w:sz w:val="24"/>
          <w:szCs w:val="24"/>
          <w:highlight w:val="none"/>
          <w:lang w:val="en-GB" w:eastAsia="en-US" w:bidi="ar-SA"/>
        </w:rPr>
        <w:t>2）</w:t>
      </w:r>
      <w:r>
        <w:rPr>
          <w:rFonts w:hint="eastAsia" w:ascii="宋体" w:hAnsi="宋体" w:eastAsia="宋体" w:cs="宋体"/>
          <w:color w:val="auto"/>
          <w:spacing w:val="0"/>
          <w:position w:val="0"/>
          <w:sz w:val="24"/>
          <w:szCs w:val="24"/>
          <w:highlight w:val="none"/>
          <w:lang w:val="en-GB"/>
        </w:rPr>
        <w:t>未提交报价表；</w:t>
      </w:r>
    </w:p>
    <w:p w14:paraId="20DEC0E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snapToGrid w:val="0"/>
          <w:color w:val="auto"/>
          <w:spacing w:val="0"/>
          <w:position w:val="0"/>
          <w:sz w:val="24"/>
          <w:szCs w:val="24"/>
          <w:highlight w:val="none"/>
          <w:lang w:val="en-GB" w:eastAsia="en-US" w:bidi="ar-SA"/>
        </w:rPr>
        <w:t>3）</w:t>
      </w:r>
      <w:r>
        <w:rPr>
          <w:rFonts w:hint="eastAsia" w:ascii="宋体" w:hAnsi="宋体" w:eastAsia="宋体" w:cs="宋体"/>
          <w:color w:val="auto"/>
          <w:spacing w:val="0"/>
          <w:position w:val="0"/>
          <w:sz w:val="24"/>
          <w:szCs w:val="24"/>
          <w:highlight w:val="none"/>
          <w:lang w:val="en-GB"/>
        </w:rPr>
        <w:t>未提供磋商保证金或金额不足，磋商保证金形式不符合磋商文件要求的；</w:t>
      </w:r>
    </w:p>
    <w:p w14:paraId="29217C4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bdr w:val="single" w:color="auto" w:sz="4" w:space="0"/>
          <w:lang w:val="en-GB"/>
        </w:rPr>
      </w:pPr>
      <w:r>
        <w:rPr>
          <w:rFonts w:hint="eastAsia" w:ascii="宋体" w:hAnsi="宋体" w:eastAsia="宋体" w:cs="宋体"/>
          <w:color w:val="auto"/>
          <w:spacing w:val="0"/>
          <w:position w:val="0"/>
          <w:sz w:val="24"/>
          <w:szCs w:val="24"/>
          <w:highlight w:val="none"/>
        </w:rPr>
        <w:t>4）</w:t>
      </w:r>
      <w:r>
        <w:rPr>
          <w:rFonts w:hint="eastAsia" w:ascii="宋体" w:hAnsi="宋体" w:eastAsia="宋体" w:cs="宋体"/>
          <w:color w:val="auto"/>
          <w:spacing w:val="0"/>
          <w:position w:val="0"/>
          <w:sz w:val="24"/>
          <w:szCs w:val="24"/>
          <w:highlight w:val="none"/>
          <w:lang w:val="en-GB"/>
        </w:rPr>
        <w:t>未按磋商</w:t>
      </w:r>
      <w:r>
        <w:rPr>
          <w:rFonts w:hint="eastAsia" w:ascii="宋体" w:hAnsi="宋体" w:eastAsia="宋体" w:cs="宋体"/>
          <w:color w:val="auto"/>
          <w:spacing w:val="0"/>
          <w:position w:val="0"/>
          <w:sz w:val="24"/>
          <w:szCs w:val="24"/>
          <w:highlight w:val="none"/>
        </w:rPr>
        <w:t>文件“第四章 响应文件格式”的规定提供</w:t>
      </w:r>
      <w:r>
        <w:rPr>
          <w:rFonts w:hint="eastAsia" w:ascii="宋体" w:hAnsi="宋体" w:eastAsia="宋体" w:cs="宋体"/>
          <w:color w:val="auto"/>
          <w:spacing w:val="0"/>
          <w:position w:val="0"/>
          <w:sz w:val="24"/>
          <w:szCs w:val="24"/>
          <w:highlight w:val="none"/>
          <w:lang w:val="en-GB"/>
        </w:rPr>
        <w:t>资格、资信证明文件的；</w:t>
      </w:r>
    </w:p>
    <w:p w14:paraId="45C3DAA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5）未按磋商文件要求签字、签章的，或签字（签章）人无法定代表人有效委托的；</w:t>
      </w:r>
    </w:p>
    <w:p w14:paraId="4B5E3D0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6）磋商文件规定为国产产品，提供进口产品参加磋商的</w:t>
      </w:r>
      <w:r>
        <w:rPr>
          <w:rFonts w:hint="eastAsia" w:ascii="宋体" w:hAnsi="宋体" w:eastAsia="宋体" w:cs="宋体"/>
          <w:color w:val="auto"/>
          <w:spacing w:val="0"/>
          <w:position w:val="0"/>
          <w:sz w:val="24"/>
          <w:szCs w:val="24"/>
          <w:highlight w:val="none"/>
          <w:lang w:eastAsia="zh-CN"/>
        </w:rPr>
        <w:t>；</w:t>
      </w:r>
    </w:p>
    <w:p w14:paraId="6E14024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rPr>
        <w:t>7）</w:t>
      </w:r>
      <w:r>
        <w:rPr>
          <w:rFonts w:hint="eastAsia" w:ascii="宋体" w:hAnsi="宋体" w:eastAsia="宋体" w:cs="宋体"/>
          <w:color w:val="auto"/>
          <w:spacing w:val="0"/>
          <w:position w:val="0"/>
          <w:sz w:val="24"/>
          <w:szCs w:val="24"/>
          <w:highlight w:val="none"/>
          <w:lang w:val="en-GB"/>
        </w:rPr>
        <w:t>磋商有效期响应不足的；</w:t>
      </w:r>
    </w:p>
    <w:p w14:paraId="5F080F8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b w:val="0"/>
          <w:bCs w:val="0"/>
          <w:color w:val="auto"/>
          <w:spacing w:val="0"/>
          <w:position w:val="0"/>
          <w:sz w:val="24"/>
          <w:szCs w:val="24"/>
          <w:highlight w:val="none"/>
          <w:lang w:val="en-GB"/>
        </w:rPr>
      </w:pPr>
      <w:r>
        <w:rPr>
          <w:rFonts w:hint="eastAsia" w:ascii="宋体" w:hAnsi="宋体" w:eastAsia="宋体" w:cs="宋体"/>
          <w:b w:val="0"/>
          <w:bCs w:val="0"/>
          <w:color w:val="auto"/>
          <w:spacing w:val="0"/>
          <w:position w:val="0"/>
          <w:sz w:val="24"/>
          <w:szCs w:val="24"/>
          <w:highlight w:val="none"/>
        </w:rPr>
        <w:t>8）</w:t>
      </w:r>
      <w:r>
        <w:rPr>
          <w:rFonts w:hint="eastAsia" w:ascii="宋体" w:hAnsi="宋体" w:eastAsia="宋体" w:cs="宋体"/>
          <w:color w:val="auto"/>
          <w:spacing w:val="0"/>
          <w:position w:val="0"/>
          <w:sz w:val="24"/>
          <w:szCs w:val="24"/>
          <w:highlight w:val="none"/>
          <w:lang w:val="en-US" w:eastAsia="zh-CN"/>
        </w:rPr>
        <w:t>服务</w:t>
      </w:r>
      <w:r>
        <w:rPr>
          <w:rFonts w:hint="eastAsia" w:ascii="宋体" w:hAnsi="宋体" w:eastAsia="宋体" w:cs="宋体"/>
          <w:b w:val="0"/>
          <w:bCs w:val="0"/>
          <w:color w:val="auto"/>
          <w:spacing w:val="0"/>
          <w:position w:val="0"/>
          <w:sz w:val="24"/>
          <w:szCs w:val="24"/>
          <w:highlight w:val="none"/>
          <w:lang w:val="en-US" w:eastAsia="zh-CN"/>
        </w:rPr>
        <w:t>要求</w:t>
      </w:r>
      <w:r>
        <w:rPr>
          <w:rFonts w:hint="eastAsia" w:ascii="宋体" w:hAnsi="宋体" w:eastAsia="宋体" w:cs="宋体"/>
          <w:b w:val="0"/>
          <w:bCs w:val="0"/>
          <w:color w:val="auto"/>
          <w:spacing w:val="0"/>
          <w:position w:val="0"/>
          <w:sz w:val="24"/>
          <w:szCs w:val="24"/>
          <w:highlight w:val="none"/>
          <w:lang w:val="en-GB"/>
        </w:rPr>
        <w:t>的响应与事实不符或虚假响应的；</w:t>
      </w:r>
    </w:p>
    <w:p w14:paraId="242C86B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9）超过了采购项目预算</w:t>
      </w:r>
      <w:r>
        <w:rPr>
          <w:rFonts w:hint="eastAsia" w:ascii="宋体" w:hAnsi="宋体" w:eastAsia="宋体" w:cs="宋体"/>
          <w:color w:val="auto"/>
          <w:spacing w:val="0"/>
          <w:position w:val="0"/>
          <w:sz w:val="24"/>
          <w:szCs w:val="24"/>
          <w:highlight w:val="none"/>
          <w:lang w:val="en-US" w:eastAsia="zh-CN"/>
        </w:rPr>
        <w:t>金额</w:t>
      </w:r>
      <w:r>
        <w:rPr>
          <w:rFonts w:hint="eastAsia" w:ascii="宋体" w:hAnsi="宋体" w:eastAsia="宋体" w:cs="宋体"/>
          <w:color w:val="auto"/>
          <w:spacing w:val="0"/>
          <w:position w:val="0"/>
          <w:sz w:val="24"/>
          <w:szCs w:val="24"/>
          <w:highlight w:val="none"/>
        </w:rPr>
        <w:t>或最高限价的；</w:t>
      </w:r>
    </w:p>
    <w:p w14:paraId="09D341D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rPr>
        <w:t>10）磋商文件规定的其他响应无效条款。</w:t>
      </w:r>
    </w:p>
    <w:p w14:paraId="1AF9902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19</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 xml:space="preserve">3 </w:t>
      </w:r>
      <w:r>
        <w:rPr>
          <w:rFonts w:hint="eastAsia" w:ascii="宋体" w:hAnsi="宋体" w:eastAsia="宋体" w:cs="宋体"/>
          <w:color w:val="auto"/>
          <w:spacing w:val="0"/>
          <w:position w:val="0"/>
          <w:sz w:val="24"/>
          <w:szCs w:val="24"/>
          <w:highlight w:val="none"/>
        </w:rPr>
        <w:t>磋商小组所有成员集中与单一供应商分别进行</w:t>
      </w:r>
      <w:r>
        <w:rPr>
          <w:rFonts w:hint="eastAsia" w:ascii="宋体" w:hAnsi="宋体" w:eastAsia="宋体" w:cs="宋体"/>
          <w:color w:val="auto"/>
          <w:spacing w:val="0"/>
          <w:position w:val="0"/>
          <w:sz w:val="24"/>
          <w:szCs w:val="24"/>
          <w:highlight w:val="none"/>
          <w:lang w:val="en-US" w:eastAsia="zh-CN"/>
        </w:rPr>
        <w:t>在线</w:t>
      </w:r>
      <w:r>
        <w:rPr>
          <w:rFonts w:hint="eastAsia" w:ascii="宋体" w:hAnsi="宋体" w:eastAsia="宋体" w:cs="宋体"/>
          <w:color w:val="auto"/>
          <w:spacing w:val="0"/>
          <w:position w:val="0"/>
          <w:sz w:val="24"/>
          <w:szCs w:val="24"/>
          <w:highlight w:val="none"/>
        </w:rPr>
        <w:t xml:space="preserve">磋商，并给予所有参加磋商的供应商平等的磋商机会。 </w:t>
      </w:r>
    </w:p>
    <w:p w14:paraId="73A0F5F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19</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 xml:space="preserve">4 </w:t>
      </w:r>
      <w:r>
        <w:rPr>
          <w:rFonts w:hint="eastAsia" w:ascii="宋体" w:hAnsi="宋体" w:eastAsia="宋体" w:cs="宋体"/>
          <w:color w:val="auto"/>
          <w:spacing w:val="0"/>
          <w:position w:val="0"/>
          <w:sz w:val="24"/>
          <w:szCs w:val="24"/>
          <w:highlight w:val="none"/>
        </w:rPr>
        <w:t xml:space="preserve">在磋商过程中，磋商小组可以根据磋商文件和磋商情况实质性变动采购需求中的技术、服务要求以及合同草案条款，但不得变动磋商文件中的其他内容。实质性变动的内容，须经采购人代表确认。 </w:t>
      </w:r>
    </w:p>
    <w:p w14:paraId="67C6AF1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（1）对磋商文件做出的实质性变动是磋商文件的有效组成部分，磋商小组应当及时以书面形式同时</w:t>
      </w:r>
      <w:r>
        <w:rPr>
          <w:rFonts w:hint="eastAsia" w:ascii="宋体" w:hAnsi="宋体" w:eastAsia="宋体" w:cs="宋体"/>
          <w:i w:val="0"/>
          <w:iCs w:val="0"/>
          <w:color w:val="auto"/>
          <w:spacing w:val="0"/>
          <w:position w:val="0"/>
          <w:sz w:val="24"/>
          <w:szCs w:val="24"/>
          <w:highlight w:val="none"/>
          <w:lang w:val="en-US" w:eastAsia="zh-CN"/>
        </w:rPr>
        <w:t>线上回复</w:t>
      </w:r>
      <w:r>
        <w:rPr>
          <w:rFonts w:hint="eastAsia" w:ascii="宋体" w:hAnsi="宋体" w:eastAsia="宋体" w:cs="宋体"/>
          <w:color w:val="auto"/>
          <w:spacing w:val="0"/>
          <w:position w:val="0"/>
          <w:sz w:val="24"/>
          <w:szCs w:val="24"/>
          <w:highlight w:val="none"/>
        </w:rPr>
        <w:t xml:space="preserve">通知所有参加磋商的供应商。 </w:t>
      </w:r>
    </w:p>
    <w:p w14:paraId="712B95E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（2）供应商应当按照磋商文件的变动情况和磋商小组的要求重新提交磋商采购响应文件，并由其法定代表人或授权代表签字或者加盖公章</w:t>
      </w:r>
      <w:r>
        <w:rPr>
          <w:rFonts w:hint="eastAsia" w:ascii="宋体" w:hAnsi="宋体" w:eastAsia="宋体" w:cs="宋体"/>
          <w:i w:val="0"/>
          <w:iCs w:val="0"/>
          <w:color w:val="auto"/>
          <w:spacing w:val="0"/>
          <w:position w:val="0"/>
          <w:sz w:val="24"/>
          <w:szCs w:val="24"/>
          <w:highlight w:val="none"/>
          <w:lang w:val="en-US" w:eastAsia="zh-CN"/>
        </w:rPr>
        <w:t>并扫描上传线上回复至采购代理机构</w:t>
      </w:r>
      <w:r>
        <w:rPr>
          <w:rFonts w:hint="eastAsia" w:ascii="宋体" w:hAnsi="宋体" w:eastAsia="宋体" w:cs="宋体"/>
          <w:i w:val="0"/>
          <w:iCs w:val="0"/>
          <w:color w:val="auto"/>
          <w:spacing w:val="0"/>
          <w:position w:val="0"/>
          <w:sz w:val="24"/>
          <w:szCs w:val="24"/>
          <w:highlight w:val="none"/>
        </w:rPr>
        <w:t>。</w:t>
      </w:r>
      <w:r>
        <w:rPr>
          <w:rFonts w:hint="eastAsia" w:ascii="宋体" w:hAnsi="宋体" w:eastAsia="宋体" w:cs="宋体"/>
          <w:color w:val="auto"/>
          <w:spacing w:val="0"/>
          <w:position w:val="0"/>
          <w:sz w:val="24"/>
          <w:szCs w:val="24"/>
          <w:highlight w:val="none"/>
        </w:rPr>
        <w:t>由授权代表签字的，应当附法定代表人授权书。供应商为自然人的，应当由本人签字并附身份证明。</w:t>
      </w:r>
    </w:p>
    <w:p w14:paraId="11C6B3E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19</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 xml:space="preserve"> 最后报价</w:t>
      </w:r>
    </w:p>
    <w:p w14:paraId="7281B21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b/>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（1）磋商文件能够详细列明采购标的技术、服务要求的，磋商结束后，磋商小组应当要求所有实质性响应的供应商在规定时间内</w:t>
      </w:r>
      <w:r>
        <w:rPr>
          <w:rFonts w:hint="eastAsia" w:ascii="宋体" w:hAnsi="宋体" w:eastAsia="宋体" w:cs="宋体"/>
          <w:color w:val="auto"/>
          <w:spacing w:val="0"/>
          <w:position w:val="0"/>
          <w:sz w:val="24"/>
          <w:szCs w:val="24"/>
          <w:highlight w:val="none"/>
          <w:lang w:val="en-US" w:eastAsia="zh-CN"/>
        </w:rPr>
        <w:t>在线</w:t>
      </w:r>
      <w:r>
        <w:rPr>
          <w:rFonts w:hint="eastAsia" w:ascii="宋体" w:hAnsi="宋体" w:eastAsia="宋体" w:cs="宋体"/>
          <w:color w:val="auto"/>
          <w:spacing w:val="0"/>
          <w:position w:val="0"/>
          <w:sz w:val="24"/>
          <w:szCs w:val="24"/>
          <w:highlight w:val="none"/>
        </w:rPr>
        <w:t>提交最后报价，提交最后报价的供应商不得少于3家；</w:t>
      </w:r>
      <w:r>
        <w:rPr>
          <w:rFonts w:hint="eastAsia" w:ascii="宋体" w:hAnsi="宋体" w:eastAsia="宋体" w:cs="宋体"/>
          <w:b/>
          <w:color w:val="auto"/>
          <w:spacing w:val="0"/>
          <w:position w:val="0"/>
          <w:sz w:val="24"/>
          <w:szCs w:val="24"/>
          <w:highlight w:val="none"/>
        </w:rPr>
        <w:t>政府购买服务项目（含政府和社会资本合作项目），在采购过程中符合要求的供应商（社会资本）只有2家的，磋商采购活动可以继续进行，采购过程中符合要求的供应商（社会资本）只有1家的，采购人或者采购代理机构应当终止磋商采购活动，发布项目</w:t>
      </w:r>
      <w:r>
        <w:rPr>
          <w:rFonts w:hint="eastAsia" w:ascii="宋体" w:hAnsi="宋体" w:eastAsia="宋体" w:cs="宋体"/>
          <w:b/>
          <w:bCs/>
          <w:color w:val="auto"/>
          <w:spacing w:val="0"/>
          <w:position w:val="0"/>
          <w:sz w:val="24"/>
          <w:szCs w:val="24"/>
          <w:highlight w:val="none"/>
        </w:rPr>
        <w:t>终止公</w:t>
      </w:r>
      <w:r>
        <w:rPr>
          <w:rFonts w:hint="eastAsia" w:ascii="宋体" w:hAnsi="宋体" w:eastAsia="宋体" w:cs="宋体"/>
          <w:b/>
          <w:color w:val="auto"/>
          <w:spacing w:val="0"/>
          <w:position w:val="0"/>
          <w:sz w:val="24"/>
          <w:szCs w:val="24"/>
          <w:highlight w:val="none"/>
        </w:rPr>
        <w:t>告并说明原因，重新开展采购活动。</w:t>
      </w:r>
    </w:p>
    <w:p w14:paraId="31B590D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62F47F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b/>
          <w:i/>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（3）最后报价是供应商响应文件的有效组成部分。最后报价即为合同成交价，在合同履行过程中不得更改，并作为评审依据。</w:t>
      </w:r>
      <w:r>
        <w:rPr>
          <w:rFonts w:hint="eastAsia" w:ascii="宋体" w:hAnsi="宋体" w:eastAsia="宋体" w:cs="宋体"/>
          <w:b/>
          <w:color w:val="auto"/>
          <w:spacing w:val="0"/>
          <w:position w:val="0"/>
          <w:sz w:val="24"/>
          <w:szCs w:val="24"/>
          <w:highlight w:val="none"/>
        </w:rPr>
        <w:t>市场竞争不充分的科研项目，以及需要扶持的科研成果转化项目，政府购买服务项目（含政府和社会资本合作项目），提交最后报价的供应商可以为2家。</w:t>
      </w:r>
    </w:p>
    <w:p w14:paraId="55CC2882">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（4）若没有对采购需求中的技术、服务要求以及合同草案条款做实质性修改或对采购需求中的技术、服务要求以及合同草案条款进行了实质性修改，但没有提高要求，最后报价(含分项报价)不得高于上一轮报价；</w:t>
      </w:r>
      <w:r>
        <w:rPr>
          <w:rFonts w:hint="eastAsia" w:ascii="宋体" w:hAnsi="宋体" w:eastAsia="宋体" w:cs="宋体"/>
          <w:b/>
          <w:bCs/>
          <w:color w:val="auto"/>
          <w:spacing w:val="0"/>
          <w:position w:val="0"/>
          <w:sz w:val="24"/>
          <w:szCs w:val="24"/>
          <w:highlight w:val="none"/>
        </w:rPr>
        <w:t>否则，视为无效响应</w:t>
      </w:r>
      <w:r>
        <w:rPr>
          <w:rFonts w:hint="eastAsia" w:ascii="宋体" w:hAnsi="宋体" w:eastAsia="宋体" w:cs="宋体"/>
          <w:color w:val="auto"/>
          <w:spacing w:val="0"/>
          <w:position w:val="0"/>
          <w:sz w:val="24"/>
          <w:szCs w:val="24"/>
          <w:highlight w:val="none"/>
        </w:rPr>
        <w:t>。</w:t>
      </w:r>
    </w:p>
    <w:p w14:paraId="4902E85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（5）最后报价未作分项报价的，其分项报价则按总报价的降价比例计算。</w:t>
      </w:r>
    </w:p>
    <w:p w14:paraId="0665F3A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（6）已提交响应文件的供应商，在提交最后报价之前，可以根据磋商情况退出磋商。采购人、采购代理机构应当退还退出磋商的供应商的保证金。</w:t>
      </w:r>
    </w:p>
    <w:p w14:paraId="040169E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b/>
          <w:bCs/>
          <w:i w:val="0"/>
          <w:iCs w:val="0"/>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19.6 </w:t>
      </w:r>
      <w:r>
        <w:rPr>
          <w:rFonts w:hint="eastAsia" w:ascii="宋体" w:hAnsi="宋体" w:eastAsia="宋体" w:cs="宋体"/>
          <w:b/>
          <w:bCs/>
          <w:i w:val="0"/>
          <w:iCs w:val="0"/>
          <w:color w:val="auto"/>
          <w:spacing w:val="0"/>
          <w:position w:val="0"/>
          <w:sz w:val="24"/>
          <w:szCs w:val="24"/>
          <w:highlight w:val="none"/>
        </w:rPr>
        <w:t>本项目采用电子化</w:t>
      </w:r>
      <w:r>
        <w:rPr>
          <w:rFonts w:hint="eastAsia" w:ascii="宋体" w:hAnsi="宋体" w:eastAsia="宋体" w:cs="宋体"/>
          <w:b/>
          <w:bCs/>
          <w:i w:val="0"/>
          <w:iCs w:val="0"/>
          <w:color w:val="auto"/>
          <w:spacing w:val="0"/>
          <w:position w:val="0"/>
          <w:sz w:val="24"/>
          <w:szCs w:val="24"/>
          <w:highlight w:val="none"/>
          <w:lang w:eastAsia="zh-CN"/>
        </w:rPr>
        <w:t>磋商</w:t>
      </w:r>
      <w:r>
        <w:rPr>
          <w:rFonts w:hint="eastAsia" w:ascii="宋体" w:hAnsi="宋体" w:eastAsia="宋体" w:cs="宋体"/>
          <w:b/>
          <w:bCs/>
          <w:i w:val="0"/>
          <w:iCs w:val="0"/>
          <w:color w:val="auto"/>
          <w:spacing w:val="0"/>
          <w:position w:val="0"/>
          <w:sz w:val="24"/>
          <w:szCs w:val="24"/>
          <w:highlight w:val="none"/>
        </w:rPr>
        <w:t>模式，</w:t>
      </w:r>
      <w:r>
        <w:rPr>
          <w:rFonts w:hint="eastAsia" w:ascii="宋体" w:hAnsi="宋体" w:eastAsia="宋体" w:cs="宋体"/>
          <w:b/>
          <w:color w:val="auto"/>
          <w:sz w:val="24"/>
          <w:highlight w:val="none"/>
          <w:lang w:val="en-GB"/>
        </w:rPr>
        <w:t>由供应商登录供应商身份在</w:t>
      </w:r>
      <w:r>
        <w:rPr>
          <w:rFonts w:hint="eastAsia" w:ascii="宋体" w:hAnsi="宋体" w:eastAsia="宋体" w:cs="宋体"/>
          <w:b/>
          <w:color w:val="auto"/>
          <w:sz w:val="24"/>
          <w:highlight w:val="none"/>
          <w:lang w:val="en-US" w:eastAsia="zh-CN"/>
        </w:rPr>
        <w:t>上饶市阳光采购服务平台电子交易</w:t>
      </w:r>
      <w:r>
        <w:rPr>
          <w:rFonts w:hint="eastAsia" w:ascii="宋体" w:hAnsi="宋体" w:eastAsia="宋体" w:cs="宋体"/>
          <w:b/>
          <w:color w:val="auto"/>
          <w:sz w:val="24"/>
          <w:highlight w:val="none"/>
          <w:lang w:val="en-GB"/>
        </w:rPr>
        <w:t>系统的“</w:t>
      </w:r>
      <w:r>
        <w:rPr>
          <w:rFonts w:hint="eastAsia" w:ascii="宋体" w:hAnsi="宋体" w:eastAsia="宋体" w:cs="宋体"/>
          <w:b/>
          <w:color w:val="auto"/>
          <w:sz w:val="24"/>
          <w:highlight w:val="none"/>
          <w:lang w:val="en-US" w:eastAsia="zh-CN"/>
        </w:rPr>
        <w:t>网上</w:t>
      </w:r>
      <w:r>
        <w:rPr>
          <w:rFonts w:hint="eastAsia" w:ascii="宋体" w:hAnsi="宋体" w:eastAsia="宋体" w:cs="宋体"/>
          <w:b/>
          <w:color w:val="auto"/>
          <w:sz w:val="24"/>
          <w:highlight w:val="none"/>
          <w:lang w:val="en-GB"/>
        </w:rPr>
        <w:t>报价”中</w:t>
      </w:r>
      <w:r>
        <w:rPr>
          <w:rFonts w:hint="eastAsia" w:ascii="宋体" w:hAnsi="宋体" w:eastAsia="宋体" w:cs="宋体"/>
          <w:b/>
          <w:color w:val="auto"/>
          <w:sz w:val="24"/>
          <w:highlight w:val="none"/>
          <w:lang w:val="en-GB" w:eastAsia="zh-CN"/>
        </w:rPr>
        <w:t>进行</w:t>
      </w:r>
      <w:r>
        <w:rPr>
          <w:rFonts w:hint="eastAsia" w:ascii="宋体" w:hAnsi="宋体" w:eastAsia="宋体" w:cs="宋体"/>
          <w:b/>
          <w:color w:val="auto"/>
          <w:sz w:val="24"/>
          <w:highlight w:val="none"/>
          <w:lang w:val="en-GB"/>
        </w:rPr>
        <w:t>填报</w:t>
      </w:r>
      <w:r>
        <w:rPr>
          <w:rFonts w:hint="eastAsia" w:ascii="宋体" w:hAnsi="宋体" w:eastAsia="宋体" w:cs="宋体"/>
          <w:b/>
          <w:color w:val="auto"/>
          <w:sz w:val="24"/>
          <w:highlight w:val="none"/>
          <w:lang w:val="en-GB" w:eastAsia="zh-CN"/>
        </w:rPr>
        <w:t>并</w:t>
      </w:r>
      <w:r>
        <w:rPr>
          <w:rFonts w:hint="eastAsia" w:ascii="宋体" w:hAnsi="宋体" w:eastAsia="宋体" w:cs="宋体"/>
          <w:b/>
          <w:color w:val="auto"/>
          <w:sz w:val="24"/>
          <w:highlight w:val="none"/>
          <w:lang w:val="en-GB"/>
        </w:rPr>
        <w:t>提交</w:t>
      </w:r>
      <w:r>
        <w:rPr>
          <w:rFonts w:hint="eastAsia" w:ascii="宋体" w:hAnsi="宋体" w:eastAsia="宋体" w:cs="宋体"/>
          <w:b/>
          <w:bCs/>
          <w:i w:val="0"/>
          <w:iCs w:val="0"/>
          <w:color w:val="auto"/>
          <w:spacing w:val="0"/>
          <w:position w:val="0"/>
          <w:sz w:val="24"/>
          <w:szCs w:val="24"/>
          <w:highlight w:val="none"/>
          <w:lang w:val="en-US" w:eastAsia="zh-CN"/>
        </w:rPr>
        <w:t>，</w:t>
      </w:r>
      <w:r>
        <w:rPr>
          <w:rFonts w:hint="eastAsia" w:ascii="宋体" w:hAnsi="宋体" w:eastAsia="宋体" w:cs="宋体"/>
          <w:b/>
          <w:bCs/>
          <w:i w:val="0"/>
          <w:iCs w:val="0"/>
          <w:color w:val="auto"/>
          <w:spacing w:val="0"/>
          <w:position w:val="0"/>
          <w:sz w:val="24"/>
          <w:szCs w:val="24"/>
          <w:highlight w:val="none"/>
        </w:rPr>
        <w:t>二次报价时间</w:t>
      </w:r>
      <w:r>
        <w:rPr>
          <w:rFonts w:hint="eastAsia" w:ascii="宋体" w:hAnsi="宋体" w:eastAsia="宋体" w:cs="宋体"/>
          <w:b/>
          <w:bCs/>
          <w:i w:val="0"/>
          <w:iCs w:val="0"/>
          <w:color w:val="auto"/>
          <w:spacing w:val="0"/>
          <w:position w:val="0"/>
          <w:sz w:val="24"/>
          <w:szCs w:val="24"/>
          <w:highlight w:val="none"/>
          <w:lang w:val="en-US" w:eastAsia="zh-CN"/>
        </w:rPr>
        <w:t>在磋商现场宣布</w:t>
      </w:r>
      <w:r>
        <w:rPr>
          <w:rFonts w:hint="eastAsia" w:ascii="宋体" w:hAnsi="宋体" w:eastAsia="宋体" w:cs="宋体"/>
          <w:b/>
          <w:bCs/>
          <w:i w:val="0"/>
          <w:iCs w:val="0"/>
          <w:color w:val="auto"/>
          <w:spacing w:val="0"/>
          <w:position w:val="0"/>
          <w:sz w:val="24"/>
          <w:szCs w:val="24"/>
          <w:highlight w:val="none"/>
        </w:rPr>
        <w:t>，</w:t>
      </w:r>
      <w:r>
        <w:rPr>
          <w:rFonts w:hint="eastAsia" w:ascii="宋体" w:hAnsi="宋体" w:eastAsia="宋体" w:cs="宋体"/>
          <w:b/>
          <w:bCs/>
          <w:i w:val="0"/>
          <w:iCs w:val="0"/>
          <w:color w:val="auto"/>
          <w:spacing w:val="0"/>
          <w:position w:val="0"/>
          <w:sz w:val="24"/>
          <w:szCs w:val="24"/>
          <w:highlight w:val="none"/>
          <w:lang w:val="en-US" w:eastAsia="zh-CN"/>
        </w:rPr>
        <w:t>未在规定时间内报价者</w:t>
      </w:r>
      <w:r>
        <w:rPr>
          <w:rFonts w:hint="eastAsia" w:ascii="宋体" w:hAnsi="宋体" w:eastAsia="宋体" w:cs="宋体"/>
          <w:b/>
          <w:bCs/>
          <w:i w:val="0"/>
          <w:iCs w:val="0"/>
          <w:color w:val="auto"/>
          <w:spacing w:val="0"/>
          <w:position w:val="0"/>
          <w:sz w:val="24"/>
          <w:szCs w:val="24"/>
          <w:highlight w:val="none"/>
        </w:rPr>
        <w:t>视为退出</w:t>
      </w:r>
      <w:r>
        <w:rPr>
          <w:rFonts w:hint="eastAsia" w:ascii="宋体" w:hAnsi="宋体" w:eastAsia="宋体" w:cs="宋体"/>
          <w:b/>
          <w:bCs/>
          <w:i w:val="0"/>
          <w:iCs w:val="0"/>
          <w:color w:val="auto"/>
          <w:spacing w:val="0"/>
          <w:position w:val="0"/>
          <w:sz w:val="24"/>
          <w:szCs w:val="24"/>
          <w:highlight w:val="none"/>
          <w:lang w:eastAsia="zh-CN"/>
        </w:rPr>
        <w:t>磋商</w:t>
      </w:r>
      <w:r>
        <w:rPr>
          <w:rFonts w:hint="eastAsia" w:ascii="宋体" w:hAnsi="宋体" w:eastAsia="宋体" w:cs="宋体"/>
          <w:b/>
          <w:color w:val="auto"/>
          <w:sz w:val="24"/>
          <w:highlight w:val="none"/>
          <w:lang w:val="en-GB"/>
        </w:rPr>
        <w:t>（系统发生意外情况除外）</w:t>
      </w:r>
      <w:r>
        <w:rPr>
          <w:rFonts w:hint="eastAsia" w:ascii="宋体" w:hAnsi="宋体" w:eastAsia="宋体" w:cs="宋体"/>
          <w:b/>
          <w:bCs/>
          <w:i w:val="0"/>
          <w:iCs w:val="0"/>
          <w:color w:val="auto"/>
          <w:spacing w:val="0"/>
          <w:position w:val="0"/>
          <w:sz w:val="24"/>
          <w:szCs w:val="24"/>
          <w:highlight w:val="none"/>
        </w:rPr>
        <w:t>。</w:t>
      </w:r>
    </w:p>
    <w:p w14:paraId="2179481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2" w:leftChars="0" w:hanging="482"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color w:val="auto"/>
          <w:spacing w:val="0"/>
          <w:position w:val="0"/>
          <w:sz w:val="24"/>
          <w:szCs w:val="24"/>
          <w:highlight w:val="none"/>
          <w:lang w:val="en-US" w:eastAsia="zh-CN"/>
        </w:rPr>
        <w:t>19</w:t>
      </w:r>
      <w:r>
        <w:rPr>
          <w:rFonts w:hint="eastAsia" w:ascii="宋体" w:hAnsi="宋体" w:eastAsia="宋体" w:cs="宋体"/>
          <w:b/>
          <w:color w:val="auto"/>
          <w:spacing w:val="0"/>
          <w:position w:val="0"/>
          <w:sz w:val="24"/>
          <w:szCs w:val="24"/>
          <w:highlight w:val="none"/>
        </w:rPr>
        <w:t>.</w:t>
      </w:r>
      <w:r>
        <w:rPr>
          <w:rFonts w:hint="eastAsia" w:ascii="宋体" w:hAnsi="宋体" w:eastAsia="宋体" w:cs="宋体"/>
          <w:b/>
          <w:color w:val="auto"/>
          <w:spacing w:val="0"/>
          <w:position w:val="0"/>
          <w:sz w:val="24"/>
          <w:szCs w:val="24"/>
          <w:highlight w:val="none"/>
          <w:lang w:val="en-US" w:eastAsia="zh-CN"/>
        </w:rPr>
        <w:t xml:space="preserve">7 </w:t>
      </w:r>
      <w:r>
        <w:rPr>
          <w:rFonts w:hint="eastAsia" w:ascii="宋体" w:hAnsi="宋体" w:eastAsia="宋体" w:cs="宋体"/>
          <w:b/>
          <w:color w:val="auto"/>
          <w:spacing w:val="0"/>
          <w:position w:val="0"/>
          <w:sz w:val="24"/>
          <w:szCs w:val="24"/>
          <w:highlight w:val="none"/>
        </w:rPr>
        <w:t>评</w:t>
      </w:r>
      <w:r>
        <w:rPr>
          <w:rFonts w:hint="eastAsia" w:ascii="宋体" w:hAnsi="宋体" w:eastAsia="宋体" w:cs="宋体"/>
          <w:b/>
          <w:bCs w:val="0"/>
          <w:color w:val="auto"/>
          <w:spacing w:val="0"/>
          <w:position w:val="0"/>
          <w:sz w:val="24"/>
          <w:szCs w:val="24"/>
          <w:highlight w:val="none"/>
        </w:rPr>
        <w:t>审方法</w:t>
      </w:r>
    </w:p>
    <w:p w14:paraId="73D92EC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2" w:leftChars="0" w:hanging="482" w:hangingChars="200"/>
        <w:textAlignment w:val="baseline"/>
        <w:rPr>
          <w:rFonts w:hint="eastAsia" w:ascii="宋体" w:hAnsi="宋体" w:eastAsia="宋体" w:cs="宋体"/>
          <w:b/>
          <w:bCs w:val="0"/>
          <w:color w:val="auto"/>
          <w:spacing w:val="0"/>
          <w:position w:val="0"/>
          <w:sz w:val="24"/>
          <w:szCs w:val="24"/>
          <w:highlight w:val="none"/>
          <w:lang w:eastAsia="zh-CN"/>
        </w:rPr>
      </w:pPr>
      <w:r>
        <w:rPr>
          <w:rFonts w:hint="eastAsia" w:ascii="宋体" w:hAnsi="宋体" w:eastAsia="宋体" w:cs="宋体"/>
          <w:b/>
          <w:bCs w:val="0"/>
          <w:color w:val="auto"/>
          <w:spacing w:val="0"/>
          <w:position w:val="0"/>
          <w:sz w:val="24"/>
          <w:szCs w:val="24"/>
          <w:highlight w:val="none"/>
        </w:rPr>
        <w:t>（1）评审采取综合评分法（详见“第六章 评审办法”）</w:t>
      </w:r>
      <w:r>
        <w:rPr>
          <w:rFonts w:hint="eastAsia" w:ascii="宋体" w:hAnsi="宋体" w:eastAsia="宋体" w:cs="宋体"/>
          <w:b/>
          <w:bCs w:val="0"/>
          <w:color w:val="auto"/>
          <w:spacing w:val="0"/>
          <w:position w:val="0"/>
          <w:sz w:val="24"/>
          <w:szCs w:val="24"/>
          <w:highlight w:val="none"/>
          <w:lang w:eastAsia="zh-CN"/>
        </w:rPr>
        <w:t>；</w:t>
      </w:r>
    </w:p>
    <w:p w14:paraId="5B464B0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2" w:leftChars="0" w:hanging="482"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b/>
          <w:bCs w:val="0"/>
          <w:color w:val="auto"/>
          <w:spacing w:val="0"/>
          <w:position w:val="0"/>
          <w:sz w:val="24"/>
          <w:szCs w:val="24"/>
          <w:highlight w:val="none"/>
        </w:rPr>
        <w:t>（2）综合</w:t>
      </w:r>
      <w:r>
        <w:rPr>
          <w:rFonts w:hint="eastAsia" w:ascii="宋体" w:hAnsi="宋体" w:eastAsia="宋体" w:cs="宋体"/>
          <w:b/>
          <w:color w:val="auto"/>
          <w:spacing w:val="0"/>
          <w:position w:val="0"/>
          <w:sz w:val="24"/>
          <w:szCs w:val="24"/>
          <w:highlight w:val="none"/>
        </w:rPr>
        <w:t>评分法，是指响应文件满足磋商文件全部实质性要求且按评审因素的量化指标评审得分最高的供应商为成交候选供应商的评审方法</w:t>
      </w:r>
      <w:r>
        <w:rPr>
          <w:rFonts w:hint="eastAsia" w:ascii="宋体" w:hAnsi="宋体" w:eastAsia="宋体" w:cs="宋体"/>
          <w:b/>
          <w:color w:val="auto"/>
          <w:spacing w:val="0"/>
          <w:position w:val="0"/>
          <w:sz w:val="24"/>
          <w:szCs w:val="24"/>
          <w:highlight w:val="none"/>
          <w:lang w:eastAsia="zh-CN"/>
        </w:rPr>
        <w:t>；</w:t>
      </w:r>
    </w:p>
    <w:p w14:paraId="30E6173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（3）经磋商确定最终采购需求和提交最后报价的供应商后，由磋商小组采用综合评分法对提交最后报价的供应商的响应文件和最后报价进行综合评分。</w:t>
      </w:r>
    </w:p>
    <w:p w14:paraId="40D2DC1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2" w:leftChars="0" w:hanging="482" w:hangingChars="200"/>
        <w:textAlignment w:val="baseline"/>
        <w:rPr>
          <w:rFonts w:hint="eastAsia" w:ascii="宋体" w:hAnsi="宋体" w:eastAsia="宋体" w:cs="宋体"/>
          <w:color w:val="auto"/>
          <w:spacing w:val="0"/>
          <w:position w:val="0"/>
          <w:sz w:val="24"/>
          <w:szCs w:val="24"/>
          <w:highlight w:val="none"/>
        </w:rPr>
      </w:pPr>
      <w:bookmarkStart w:id="126" w:name="_Toc25619"/>
      <w:bookmarkStart w:id="127" w:name="_Toc11713"/>
      <w:r>
        <w:rPr>
          <w:rFonts w:hint="eastAsia" w:ascii="宋体" w:hAnsi="宋体" w:eastAsia="宋体" w:cs="宋体"/>
          <w:b/>
          <w:color w:val="auto"/>
          <w:kern w:val="0"/>
          <w:sz w:val="24"/>
          <w:szCs w:val="24"/>
          <w:highlight w:val="none"/>
          <w:lang w:bidi="ar"/>
        </w:rPr>
        <w:t>2</w:t>
      </w:r>
      <w:r>
        <w:rPr>
          <w:rFonts w:hint="eastAsia" w:ascii="宋体" w:hAnsi="宋体" w:eastAsia="宋体" w:cs="宋体"/>
          <w:b/>
          <w:color w:val="auto"/>
          <w:kern w:val="0"/>
          <w:sz w:val="24"/>
          <w:szCs w:val="24"/>
          <w:highlight w:val="none"/>
          <w:lang w:val="en-US" w:eastAsia="zh-CN" w:bidi="ar"/>
        </w:rPr>
        <w:t>0</w:t>
      </w:r>
      <w:r>
        <w:rPr>
          <w:rFonts w:hint="eastAsia" w:ascii="宋体" w:hAnsi="宋体" w:eastAsia="宋体" w:cs="宋体"/>
          <w:b/>
          <w:color w:val="auto"/>
          <w:kern w:val="0"/>
          <w:sz w:val="24"/>
          <w:szCs w:val="24"/>
          <w:highlight w:val="none"/>
          <w:lang w:bidi="ar"/>
        </w:rPr>
        <w:t>. 与</w:t>
      </w:r>
      <w:r>
        <w:rPr>
          <w:rFonts w:hint="eastAsia" w:ascii="宋体" w:hAnsi="宋体" w:eastAsia="宋体" w:cs="宋体"/>
          <w:b/>
          <w:bCs w:val="0"/>
          <w:color w:val="auto"/>
          <w:kern w:val="0"/>
          <w:sz w:val="24"/>
          <w:szCs w:val="24"/>
          <w:highlight w:val="none"/>
          <w:lang w:bidi="ar"/>
        </w:rPr>
        <w:t>磋商小组的</w:t>
      </w:r>
      <w:r>
        <w:rPr>
          <w:rFonts w:hint="eastAsia" w:ascii="宋体" w:hAnsi="宋体" w:eastAsia="宋体" w:cs="宋体"/>
          <w:b/>
          <w:bCs w:val="0"/>
          <w:color w:val="auto"/>
          <w:spacing w:val="0"/>
          <w:position w:val="0"/>
          <w:sz w:val="24"/>
          <w:szCs w:val="24"/>
          <w:highlight w:val="none"/>
        </w:rPr>
        <w:t>接触</w:t>
      </w:r>
      <w:bookmarkEnd w:id="126"/>
      <w:bookmarkEnd w:id="127"/>
      <w:r>
        <w:rPr>
          <w:rFonts w:hint="eastAsia" w:ascii="宋体" w:hAnsi="宋体" w:eastAsia="宋体" w:cs="宋体"/>
          <w:color w:val="auto"/>
          <w:spacing w:val="0"/>
          <w:position w:val="0"/>
          <w:sz w:val="24"/>
          <w:szCs w:val="24"/>
          <w:highlight w:val="none"/>
        </w:rPr>
        <w:t xml:space="preserve"> </w:t>
      </w:r>
    </w:p>
    <w:p w14:paraId="0E76790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bidi="ar"/>
        </w:rPr>
        <w:t xml:space="preserve">.1 从磋商之日起至授予合同期间，供应商不得就其磋商有关事项与磋商小组私下接触。 </w:t>
      </w:r>
    </w:p>
    <w:p w14:paraId="1F67E65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bidi="ar"/>
        </w:rPr>
        <w:t xml:space="preserve">.2 供应商试图对磋商小组的评审施加任何影响，都可能导致其响应文件作无效处理。 </w:t>
      </w:r>
    </w:p>
    <w:p w14:paraId="4ADB5AC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28" w:name="_Toc20464"/>
      <w:bookmarkStart w:id="129" w:name="_Toc11102"/>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21.终止磋商采购活动的情形</w:t>
      </w:r>
      <w:bookmarkEnd w:id="128"/>
      <w:bookmarkEnd w:id="129"/>
    </w:p>
    <w:p w14:paraId="438E6BE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GB" w:eastAsia="zh-CN"/>
        </w:rPr>
      </w:pPr>
      <w:r>
        <w:rPr>
          <w:rFonts w:hint="eastAsia" w:ascii="宋体" w:hAnsi="宋体" w:eastAsia="宋体" w:cs="宋体"/>
          <w:color w:val="auto"/>
          <w:spacing w:val="0"/>
          <w:position w:val="0"/>
          <w:sz w:val="24"/>
          <w:szCs w:val="24"/>
          <w:highlight w:val="none"/>
          <w:lang w:val="en-GB"/>
        </w:rPr>
        <w:t>出现下列情形之一的，终止</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eastAsia="宋体" w:cs="宋体"/>
          <w:color w:val="auto"/>
          <w:spacing w:val="0"/>
          <w:position w:val="0"/>
          <w:sz w:val="24"/>
          <w:szCs w:val="24"/>
          <w:highlight w:val="none"/>
          <w:lang w:val="en-GB"/>
        </w:rPr>
        <w:t>采购活动</w:t>
      </w:r>
      <w:r>
        <w:rPr>
          <w:rFonts w:hint="eastAsia" w:ascii="宋体" w:hAnsi="宋体" w:eastAsia="宋体" w:cs="宋体"/>
          <w:color w:val="auto"/>
          <w:spacing w:val="0"/>
          <w:position w:val="0"/>
          <w:sz w:val="24"/>
          <w:szCs w:val="24"/>
          <w:highlight w:val="none"/>
          <w:lang w:val="en-GB" w:eastAsia="zh-CN"/>
        </w:rPr>
        <w:t>：</w:t>
      </w:r>
    </w:p>
    <w:p w14:paraId="09D75B5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（1）因情况变化，不再符合规定的</w:t>
      </w:r>
      <w:r>
        <w:rPr>
          <w:rFonts w:hint="eastAsia" w:ascii="宋体" w:hAnsi="宋体" w:eastAsia="宋体" w:cs="宋体"/>
          <w:color w:val="auto"/>
          <w:spacing w:val="0"/>
          <w:position w:val="0"/>
          <w:sz w:val="24"/>
          <w:szCs w:val="24"/>
          <w:highlight w:val="none"/>
          <w:lang w:eastAsia="zh-CN"/>
        </w:rPr>
        <w:t>磋商</w:t>
      </w:r>
      <w:r>
        <w:rPr>
          <w:rFonts w:hint="eastAsia" w:ascii="宋体" w:hAnsi="宋体" w:eastAsia="宋体" w:cs="宋体"/>
          <w:color w:val="auto"/>
          <w:spacing w:val="0"/>
          <w:position w:val="0"/>
          <w:sz w:val="24"/>
          <w:szCs w:val="24"/>
          <w:highlight w:val="none"/>
        </w:rPr>
        <w:t>采购方式适用情形的；</w:t>
      </w:r>
    </w:p>
    <w:p w14:paraId="082F0F6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（2）出现影响采购公正的违法、违规行为的</w:t>
      </w:r>
      <w:r>
        <w:rPr>
          <w:rFonts w:hint="eastAsia" w:ascii="宋体" w:hAnsi="宋体" w:eastAsia="宋体" w:cs="宋体"/>
          <w:color w:val="auto"/>
          <w:spacing w:val="0"/>
          <w:position w:val="0"/>
          <w:sz w:val="24"/>
          <w:szCs w:val="24"/>
          <w:highlight w:val="none"/>
          <w:lang w:eastAsia="zh-CN"/>
        </w:rPr>
        <w:t>；</w:t>
      </w:r>
    </w:p>
    <w:p w14:paraId="32207362">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sz w:val="24"/>
          <w:szCs w:val="24"/>
          <w:highlight w:val="none"/>
        </w:rPr>
        <w:t>（3）在采购过程中符合竞争要求的供应商或者报价未超过采购预算的供应商不足3家的</w:t>
      </w:r>
      <w:r>
        <w:rPr>
          <w:rFonts w:hint="eastAsia" w:ascii="宋体" w:hAnsi="宋体" w:eastAsia="宋体" w:cs="宋体"/>
          <w:color w:val="auto"/>
          <w:spacing w:val="0"/>
          <w:position w:val="0"/>
          <w:sz w:val="24"/>
          <w:szCs w:val="24"/>
          <w:highlight w:val="none"/>
          <w:lang w:eastAsia="zh-CN"/>
        </w:rPr>
        <w:t>。政府购买服务项目（含政府和社会资本合作项目），在采购过程中符合要求的供应商（社会资本）只有2家的，磋商采购活动可以继续进行，采购过程中符合要求的供应商（社会资本）只有1家的，采购人或者采购代理机构应当终止磋商采购活动。</w:t>
      </w:r>
    </w:p>
    <w:p w14:paraId="30A9695E">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130" w:name="_Toc20521"/>
      <w:bookmarkStart w:id="131" w:name="_Toc8379"/>
      <w:bookmarkStart w:id="132" w:name="_Toc399"/>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五、</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意外情况的情形和处理</w:t>
      </w:r>
      <w:bookmarkEnd w:id="130"/>
      <w:bookmarkEnd w:id="131"/>
      <w:bookmarkEnd w:id="132"/>
    </w:p>
    <w:p w14:paraId="5E120A96">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textAlignment w:val="baseline"/>
        <w:outlineLvl w:val="2"/>
        <w:rPr>
          <w:rFonts w:hint="eastAsia" w:ascii="宋体" w:hAnsi="宋体" w:eastAsia="宋体" w:cs="宋体"/>
          <w:color w:val="auto"/>
          <w:spacing w:val="0"/>
          <w:position w:val="0"/>
          <w:sz w:val="24"/>
          <w:szCs w:val="24"/>
          <w:highlight w:val="none"/>
          <w:lang w:eastAsia="zh-CN"/>
        </w:rPr>
      </w:pPr>
      <w:bookmarkStart w:id="133" w:name="_Toc7166"/>
      <w:bookmarkStart w:id="134" w:name="_Toc6525"/>
      <w:bookmarkStart w:id="135" w:name="_Toc13495"/>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22</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.意外情况的情形</w:t>
      </w:r>
      <w:bookmarkEnd w:id="133"/>
      <w:bookmarkEnd w:id="134"/>
      <w:bookmarkEnd w:id="135"/>
    </w:p>
    <w:p w14:paraId="237904B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136" w:name="_Toc31322"/>
      <w:bookmarkStart w:id="137" w:name="_Toc20990"/>
      <w:r>
        <w:rPr>
          <w:rFonts w:hint="eastAsia" w:ascii="宋体" w:hAnsi="宋体" w:eastAsia="宋体" w:cs="宋体"/>
          <w:color w:val="auto"/>
          <w:spacing w:val="0"/>
          <w:position w:val="0"/>
          <w:sz w:val="24"/>
          <w:szCs w:val="24"/>
          <w:highlight w:val="none"/>
          <w:lang w:val="en-US" w:eastAsia="zh-CN"/>
        </w:rPr>
        <w:t xml:space="preserve">22.1 </w:t>
      </w:r>
      <w:r>
        <w:rPr>
          <w:rFonts w:hint="eastAsia" w:ascii="宋体" w:hAnsi="宋体" w:eastAsia="宋体" w:cs="宋体"/>
          <w:color w:val="auto"/>
          <w:spacing w:val="0"/>
          <w:position w:val="0"/>
          <w:sz w:val="24"/>
          <w:szCs w:val="24"/>
          <w:highlight w:val="none"/>
          <w:lang w:eastAsia="zh-CN"/>
        </w:rPr>
        <w:t>因客观原因造成电子化政府采购系统无法正常运行或者无法保证采购活动信息安全，应采取意外情况的处理措施。意外情况包括以下情形：</w:t>
      </w:r>
      <w:bookmarkEnd w:id="136"/>
      <w:bookmarkEnd w:id="137"/>
    </w:p>
    <w:p w14:paraId="449D37A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138" w:name="_Toc9860"/>
      <w:bookmarkStart w:id="139" w:name="_Toc13642"/>
      <w:r>
        <w:rPr>
          <w:rFonts w:hint="eastAsia" w:ascii="宋体" w:hAnsi="宋体" w:eastAsia="宋体" w:cs="宋体"/>
          <w:color w:val="auto"/>
          <w:spacing w:val="0"/>
          <w:position w:val="0"/>
          <w:sz w:val="24"/>
          <w:szCs w:val="24"/>
          <w:highlight w:val="none"/>
          <w:lang w:eastAsia="zh-CN"/>
        </w:rPr>
        <w:t>（1）网络系统及其他设备发生故障，导致无法访问网站或无法使用电子化政府采购系统的；</w:t>
      </w:r>
      <w:bookmarkEnd w:id="138"/>
      <w:bookmarkEnd w:id="139"/>
    </w:p>
    <w:p w14:paraId="1B4366A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140" w:name="_Toc28435"/>
      <w:bookmarkStart w:id="141" w:name="_Toc29207"/>
      <w:r>
        <w:rPr>
          <w:rFonts w:hint="eastAsia" w:ascii="宋体" w:hAnsi="宋体" w:eastAsia="宋体" w:cs="宋体"/>
          <w:color w:val="auto"/>
          <w:spacing w:val="0"/>
          <w:position w:val="0"/>
          <w:sz w:val="24"/>
          <w:szCs w:val="24"/>
          <w:highlight w:val="none"/>
          <w:lang w:eastAsia="zh-CN"/>
        </w:rPr>
        <w:t>（2）电子化政府采购系统的软件或网络数据库出现错误，导致无法正常操作的；</w:t>
      </w:r>
      <w:bookmarkEnd w:id="140"/>
      <w:bookmarkEnd w:id="141"/>
    </w:p>
    <w:p w14:paraId="285938D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142" w:name="_Toc28124"/>
      <w:bookmarkStart w:id="143" w:name="_Toc14425"/>
      <w:r>
        <w:rPr>
          <w:rFonts w:hint="eastAsia" w:ascii="宋体" w:hAnsi="宋体" w:eastAsia="宋体" w:cs="宋体"/>
          <w:color w:val="auto"/>
          <w:spacing w:val="0"/>
          <w:position w:val="0"/>
          <w:sz w:val="24"/>
          <w:szCs w:val="24"/>
          <w:highlight w:val="none"/>
          <w:lang w:eastAsia="zh-CN"/>
        </w:rPr>
        <w:t>（3）电子化政府采购系统发现有安全漏洞，有潜在泄密危险的；</w:t>
      </w:r>
      <w:bookmarkEnd w:id="142"/>
      <w:bookmarkEnd w:id="143"/>
    </w:p>
    <w:p w14:paraId="2DE31E7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highlight w:val="none"/>
          <w:lang w:eastAsia="zh-CN"/>
        </w:rPr>
      </w:pPr>
      <w:bookmarkStart w:id="144" w:name="_Toc5464"/>
      <w:bookmarkStart w:id="145" w:name="_Toc28991"/>
      <w:r>
        <w:rPr>
          <w:rFonts w:hint="eastAsia" w:ascii="宋体" w:hAnsi="宋体" w:eastAsia="宋体" w:cs="宋体"/>
          <w:color w:val="auto"/>
          <w:spacing w:val="0"/>
          <w:position w:val="0"/>
          <w:sz w:val="24"/>
          <w:szCs w:val="24"/>
          <w:highlight w:val="none"/>
          <w:lang w:eastAsia="zh-CN"/>
        </w:rPr>
        <w:t>（4）其他无法保证采购活动正常进行的。</w:t>
      </w:r>
      <w:bookmarkEnd w:id="144"/>
      <w:bookmarkEnd w:id="145"/>
    </w:p>
    <w:p w14:paraId="19E244A1">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textAlignment w:val="baseline"/>
        <w:outlineLvl w:val="2"/>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146" w:name="bookmark42"/>
      <w:bookmarkEnd w:id="146"/>
      <w:bookmarkStart w:id="147" w:name="_Toc3179"/>
      <w:bookmarkStart w:id="148" w:name="_Toc15829"/>
      <w:bookmarkStart w:id="149" w:name="_Toc30137"/>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23.</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意外情况的处理</w:t>
      </w:r>
      <w:bookmarkEnd w:id="147"/>
      <w:bookmarkEnd w:id="148"/>
      <w:bookmarkEnd w:id="149"/>
    </w:p>
    <w:p w14:paraId="6CF4F14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150" w:name="_Toc28312"/>
      <w:bookmarkStart w:id="151" w:name="_Toc2077"/>
      <w:r>
        <w:rPr>
          <w:rFonts w:hint="eastAsia" w:ascii="宋体" w:hAnsi="宋体" w:eastAsia="宋体" w:cs="宋体"/>
          <w:color w:val="auto"/>
          <w:spacing w:val="0"/>
          <w:position w:val="0"/>
          <w:sz w:val="24"/>
          <w:szCs w:val="24"/>
          <w:highlight w:val="none"/>
          <w:lang w:eastAsia="zh-CN"/>
        </w:rPr>
        <w:t>出现</w:t>
      </w:r>
      <w:r>
        <w:rPr>
          <w:rFonts w:hint="eastAsia" w:ascii="宋体" w:hAnsi="宋体" w:eastAsia="宋体" w:cs="宋体"/>
          <w:color w:val="auto"/>
          <w:spacing w:val="0"/>
          <w:position w:val="0"/>
          <w:sz w:val="24"/>
          <w:szCs w:val="24"/>
          <w:highlight w:val="none"/>
          <w:lang w:val="en-US" w:eastAsia="zh-CN"/>
        </w:rPr>
        <w:t>22.1</w:t>
      </w:r>
      <w:r>
        <w:rPr>
          <w:rFonts w:hint="eastAsia" w:ascii="宋体" w:hAnsi="宋体" w:eastAsia="宋体" w:cs="宋体"/>
          <w:color w:val="auto"/>
          <w:spacing w:val="0"/>
          <w:position w:val="0"/>
          <w:sz w:val="24"/>
          <w:szCs w:val="24"/>
          <w:highlight w:val="none"/>
          <w:lang w:eastAsia="zh-CN"/>
        </w:rPr>
        <w:t>情况，故障当日（工作时间内）可排除的，电子化政府采购恢复进行；如故障当日无法排除的，采购活动终止，重新组织采购活动。</w:t>
      </w:r>
      <w:bookmarkEnd w:id="150"/>
      <w:bookmarkEnd w:id="151"/>
    </w:p>
    <w:p w14:paraId="5491EC9C">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highlight w:val="none"/>
          <w:lang w:eastAsia="zh-CN"/>
        </w:rPr>
      </w:pPr>
      <w:bookmarkStart w:id="152" w:name="_Toc6007"/>
      <w:bookmarkStart w:id="153" w:name="_Toc496"/>
      <w:bookmarkStart w:id="154" w:name="_Toc32544"/>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六、确定成交供应商和签订</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合同</w:t>
      </w:r>
      <w:bookmarkEnd w:id="152"/>
      <w:bookmarkEnd w:id="153"/>
      <w:bookmarkEnd w:id="154"/>
    </w:p>
    <w:p w14:paraId="7399640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55" w:name="bookmark43"/>
      <w:bookmarkEnd w:id="155"/>
      <w:bookmarkStart w:id="156" w:name="_Toc12933"/>
      <w:bookmarkStart w:id="157" w:name="_Toc23421"/>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24.推荐成交候选供应商方法</w:t>
      </w:r>
      <w:bookmarkEnd w:id="156"/>
      <w:bookmarkEnd w:id="157"/>
    </w:p>
    <w:p w14:paraId="083948A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val="en-GB"/>
        </w:rPr>
        <w:t>.1</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磋商小组根据综合评分情况，按照评审得分由高到低顺序推荐3名以上成交候选供应商，并编写评审报告。</w:t>
      </w:r>
    </w:p>
    <w:p w14:paraId="47CDC9C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val="en-GB"/>
        </w:rPr>
        <w:t>.</w:t>
      </w:r>
      <w:r>
        <w:rPr>
          <w:rFonts w:hint="eastAsia" w:ascii="宋体" w:hAnsi="宋体" w:eastAsia="宋体" w:cs="宋体"/>
          <w:color w:val="auto"/>
          <w:spacing w:val="0"/>
          <w:position w:val="0"/>
          <w:sz w:val="24"/>
          <w:szCs w:val="24"/>
          <w:highlight w:val="none"/>
          <w:lang w:val="en-US" w:eastAsia="zh-CN"/>
        </w:rPr>
        <w:t xml:space="preserve">2 </w:t>
      </w:r>
      <w:r>
        <w:rPr>
          <w:rFonts w:hint="eastAsia" w:ascii="宋体" w:hAnsi="宋体" w:eastAsia="宋体" w:cs="宋体"/>
          <w:color w:val="auto"/>
          <w:spacing w:val="0"/>
          <w:position w:val="0"/>
          <w:sz w:val="24"/>
          <w:szCs w:val="24"/>
          <w:highlight w:val="none"/>
          <w:lang w:val="en-GB"/>
        </w:rPr>
        <w:t>评审得分相同的，按照最后报价由低到高的顺序推荐。评审得分且最后报价相同的，按照技术指标优劣顺序推荐。评审得分且最后报价相同以及技术指标都相同的，由磋商小组随机抽取确定推荐。</w:t>
      </w:r>
    </w:p>
    <w:p w14:paraId="1B088912">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highlight w:val="none"/>
          <w:lang w:val="en-US" w:eastAsia="zh-CN"/>
        </w:rPr>
      </w:pPr>
      <w:bookmarkStart w:id="158" w:name="_Toc4233"/>
      <w:bookmarkStart w:id="159" w:name="_Toc2807"/>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确定成交供应商</w:t>
      </w:r>
      <w:bookmarkEnd w:id="158"/>
      <w:bookmarkEnd w:id="159"/>
    </w:p>
    <w:p w14:paraId="0BDF65B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en-US" w:eastAsia="zh-CN"/>
        </w:rPr>
        <w:t>25</w:t>
      </w:r>
      <w:r>
        <w:rPr>
          <w:rFonts w:hint="eastAsia" w:ascii="宋体" w:hAnsi="宋体" w:eastAsia="宋体" w:cs="宋体"/>
          <w:color w:val="auto"/>
          <w:spacing w:val="0"/>
          <w:position w:val="0"/>
          <w:sz w:val="24"/>
          <w:szCs w:val="24"/>
          <w:highlight w:val="none"/>
          <w:lang w:val="en-GB"/>
        </w:rPr>
        <w:t>.1</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val="en-GB"/>
        </w:rPr>
        <w:t>采购代理机构在</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eastAsia="宋体" w:cs="宋体"/>
          <w:color w:val="auto"/>
          <w:spacing w:val="0"/>
          <w:position w:val="0"/>
          <w:sz w:val="24"/>
          <w:szCs w:val="24"/>
          <w:highlight w:val="none"/>
          <w:lang w:val="en-GB"/>
        </w:rPr>
        <w:t>结束后将评审报告送采购人。</w:t>
      </w:r>
    </w:p>
    <w:p w14:paraId="121B64A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GB" w:eastAsia="zh-CN"/>
        </w:rPr>
      </w:pPr>
      <w:r>
        <w:rPr>
          <w:rFonts w:hint="eastAsia" w:ascii="宋体" w:hAnsi="宋体" w:eastAsia="宋体" w:cs="宋体"/>
          <w:color w:val="auto"/>
          <w:spacing w:val="0"/>
          <w:position w:val="0"/>
          <w:sz w:val="24"/>
          <w:szCs w:val="24"/>
          <w:highlight w:val="none"/>
          <w:lang w:val="en-US" w:eastAsia="zh-CN"/>
        </w:rPr>
        <w:t>25</w:t>
      </w:r>
      <w:r>
        <w:rPr>
          <w:rFonts w:hint="eastAsia" w:ascii="宋体" w:hAnsi="宋体" w:eastAsia="宋体" w:cs="宋体"/>
          <w:color w:val="auto"/>
          <w:spacing w:val="0"/>
          <w:position w:val="0"/>
          <w:sz w:val="24"/>
          <w:szCs w:val="24"/>
          <w:highlight w:val="none"/>
          <w:lang w:val="en-GB" w:eastAsia="zh-CN"/>
        </w:rPr>
        <w:t>.2</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val="en-GB" w:eastAsia="zh-CN"/>
        </w:rPr>
        <w:t>采购人收到评审报告后，按照评审报告推荐的成交候选人顺序确定成交供应商。也可以事先授权磋商小组直接确定成交</w:t>
      </w:r>
      <w:r>
        <w:rPr>
          <w:rFonts w:hint="eastAsia" w:ascii="宋体" w:hAnsi="宋体" w:eastAsia="宋体" w:cs="宋体"/>
          <w:color w:val="auto"/>
          <w:spacing w:val="0"/>
          <w:position w:val="0"/>
          <w:sz w:val="24"/>
          <w:szCs w:val="24"/>
          <w:highlight w:val="none"/>
          <w:lang w:val="en-US" w:eastAsia="zh-CN"/>
        </w:rPr>
        <w:t>候选人</w:t>
      </w:r>
      <w:r>
        <w:rPr>
          <w:rFonts w:hint="eastAsia" w:ascii="宋体" w:hAnsi="宋体" w:eastAsia="宋体" w:cs="宋体"/>
          <w:color w:val="auto"/>
          <w:spacing w:val="0"/>
          <w:position w:val="0"/>
          <w:sz w:val="24"/>
          <w:szCs w:val="24"/>
          <w:highlight w:val="none"/>
          <w:lang w:val="en-GB" w:eastAsia="zh-CN"/>
        </w:rPr>
        <w:t>。并在</w:t>
      </w:r>
      <w:r>
        <w:rPr>
          <w:rFonts w:hint="eastAsia" w:ascii="宋体" w:hAnsi="宋体" w:eastAsia="宋体" w:cs="宋体"/>
          <w:color w:val="auto"/>
          <w:spacing w:val="0"/>
          <w:position w:val="0"/>
          <w:sz w:val="24"/>
          <w:szCs w:val="24"/>
          <w:highlight w:val="none"/>
          <w:lang w:val="en-US" w:eastAsia="zh-CN"/>
        </w:rPr>
        <w:t>上饶市</w:t>
      </w:r>
      <w:r>
        <w:rPr>
          <w:rFonts w:hint="eastAsia" w:ascii="宋体" w:hAnsi="宋体" w:eastAsia="宋体" w:cs="宋体"/>
          <w:color w:val="auto"/>
          <w:spacing w:val="0"/>
          <w:position w:val="0"/>
          <w:sz w:val="24"/>
          <w:szCs w:val="24"/>
          <w:highlight w:val="none"/>
          <w:lang w:val="en-GB" w:eastAsia="zh-CN"/>
        </w:rPr>
        <w:t>阳光采购</w:t>
      </w:r>
      <w:r>
        <w:rPr>
          <w:rFonts w:hint="eastAsia" w:ascii="宋体" w:hAnsi="宋体" w:eastAsia="宋体" w:cs="宋体"/>
          <w:color w:val="auto"/>
          <w:spacing w:val="0"/>
          <w:position w:val="0"/>
          <w:sz w:val="24"/>
          <w:szCs w:val="24"/>
          <w:highlight w:val="none"/>
          <w:lang w:val="en-US" w:eastAsia="zh-CN"/>
        </w:rPr>
        <w:t>服务</w:t>
      </w:r>
      <w:r>
        <w:rPr>
          <w:rFonts w:hint="eastAsia" w:ascii="宋体" w:hAnsi="宋体" w:eastAsia="宋体" w:cs="宋体"/>
          <w:color w:val="auto"/>
          <w:spacing w:val="0"/>
          <w:position w:val="0"/>
          <w:sz w:val="24"/>
          <w:szCs w:val="24"/>
          <w:highlight w:val="none"/>
          <w:lang w:val="en-GB" w:eastAsia="zh-CN"/>
        </w:rPr>
        <w:t>平台（https://www.ygcgfwpt.com/)上进行</w:t>
      </w:r>
      <w:r>
        <w:rPr>
          <w:rFonts w:hint="eastAsia" w:ascii="宋体" w:hAnsi="宋体" w:eastAsia="宋体" w:cs="宋体"/>
          <w:color w:val="auto"/>
          <w:spacing w:val="0"/>
          <w:position w:val="0"/>
          <w:sz w:val="24"/>
          <w:szCs w:val="24"/>
          <w:highlight w:val="none"/>
          <w:lang w:val="en-US" w:eastAsia="zh-CN"/>
        </w:rPr>
        <w:t>评审结果</w:t>
      </w:r>
      <w:r>
        <w:rPr>
          <w:rFonts w:hint="eastAsia" w:ascii="宋体" w:hAnsi="宋体" w:eastAsia="宋体" w:cs="宋体"/>
          <w:color w:val="auto"/>
          <w:spacing w:val="0"/>
          <w:position w:val="0"/>
          <w:sz w:val="24"/>
          <w:szCs w:val="24"/>
          <w:highlight w:val="none"/>
          <w:lang w:val="en-GB" w:eastAsia="zh-CN"/>
        </w:rPr>
        <w:t>公示3日，公示期间若无投诉，</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lang w:val="en-GB" w:eastAsia="zh-CN"/>
        </w:rPr>
        <w:t>候选人即为</w:t>
      </w:r>
      <w:r>
        <w:rPr>
          <w:rFonts w:hint="eastAsia" w:ascii="宋体" w:hAnsi="宋体" w:eastAsia="宋体" w:cs="宋体"/>
          <w:color w:val="auto"/>
          <w:spacing w:val="0"/>
          <w:position w:val="0"/>
          <w:sz w:val="24"/>
          <w:szCs w:val="24"/>
          <w:highlight w:val="none"/>
          <w:lang w:val="en-US" w:eastAsia="zh-CN"/>
        </w:rPr>
        <w:t>成交供应商</w:t>
      </w:r>
      <w:r>
        <w:rPr>
          <w:rFonts w:hint="eastAsia" w:ascii="宋体" w:hAnsi="宋体" w:eastAsia="宋体" w:cs="宋体"/>
          <w:color w:val="auto"/>
          <w:spacing w:val="0"/>
          <w:position w:val="0"/>
          <w:sz w:val="24"/>
          <w:szCs w:val="24"/>
          <w:highlight w:val="none"/>
          <w:lang w:val="en-GB" w:eastAsia="zh-CN"/>
        </w:rPr>
        <w:t>。若第一预</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lang w:val="en-GB" w:eastAsia="zh-CN"/>
        </w:rPr>
        <w:t>候选人无法继续履行合同，</w:t>
      </w:r>
      <w:r>
        <w:rPr>
          <w:rFonts w:hint="eastAsia" w:ascii="宋体" w:hAnsi="宋体" w:eastAsia="宋体" w:cs="宋体"/>
          <w:color w:val="auto"/>
          <w:spacing w:val="0"/>
          <w:position w:val="0"/>
          <w:sz w:val="24"/>
          <w:szCs w:val="24"/>
          <w:highlight w:val="none"/>
          <w:lang w:val="en-US" w:eastAsia="zh-CN"/>
        </w:rPr>
        <w:t>采购人可选择顺延或</w:t>
      </w:r>
      <w:r>
        <w:rPr>
          <w:rFonts w:hint="eastAsia" w:ascii="宋体" w:hAnsi="宋体" w:eastAsia="宋体" w:cs="宋体"/>
          <w:color w:val="auto"/>
          <w:spacing w:val="0"/>
          <w:position w:val="0"/>
          <w:sz w:val="24"/>
          <w:szCs w:val="24"/>
          <w:highlight w:val="none"/>
          <w:lang w:val="en-GB" w:eastAsia="zh-CN"/>
        </w:rPr>
        <w:t>重新组织招标。</w:t>
      </w:r>
    </w:p>
    <w:p w14:paraId="0449CE0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160" w:name="bookmark44"/>
      <w:bookmarkEnd w:id="160"/>
      <w:bookmarkStart w:id="161" w:name="_Toc13826"/>
      <w:bookmarkStart w:id="162" w:name="_Toc30461"/>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6</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成交</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结果公告</w:t>
      </w:r>
      <w:bookmarkEnd w:id="161"/>
      <w:bookmarkEnd w:id="162"/>
    </w:p>
    <w:p w14:paraId="792D441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sz w:val="24"/>
          <w:szCs w:val="24"/>
          <w:highlight w:val="none"/>
          <w:lang w:val="en-US" w:eastAsia="zh-CN"/>
        </w:rPr>
        <w:t xml:space="preserve">26.1 </w:t>
      </w:r>
      <w:r>
        <w:rPr>
          <w:rFonts w:hint="eastAsia" w:ascii="宋体" w:hAnsi="宋体" w:eastAsia="宋体" w:cs="宋体"/>
          <w:color w:val="auto"/>
          <w:spacing w:val="0"/>
          <w:position w:val="0"/>
          <w:sz w:val="24"/>
          <w:szCs w:val="24"/>
          <w:highlight w:val="none"/>
        </w:rPr>
        <w:t>成交供应商</w:t>
      </w:r>
      <w:r>
        <w:rPr>
          <w:rFonts w:hint="eastAsia" w:ascii="宋体" w:hAnsi="宋体" w:eastAsia="宋体" w:cs="宋体"/>
          <w:color w:val="auto"/>
          <w:spacing w:val="0"/>
          <w:position w:val="0"/>
          <w:sz w:val="24"/>
          <w:szCs w:val="24"/>
          <w:highlight w:val="none"/>
          <w:lang w:eastAsia="zh-CN"/>
        </w:rPr>
        <w:t xml:space="preserve">确定后，采购代理机构在上饶市阳光采购服务平台（网址 </w:t>
      </w:r>
      <w:r>
        <w:rPr>
          <w:rFonts w:hint="eastAsia" w:ascii="宋体" w:hAnsi="宋体" w:eastAsia="宋体" w:cs="宋体"/>
          <w:color w:val="auto"/>
          <w:spacing w:val="0"/>
          <w:position w:val="0"/>
          <w:sz w:val="24"/>
          <w:szCs w:val="24"/>
          <w:highlight w:val="none"/>
          <w:u w:val="none"/>
          <w:lang w:val="en-US" w:eastAsia="zh-CN"/>
        </w:rPr>
        <w:t>https://www.ygcgfwpt.com/</w:t>
      </w:r>
      <w:r>
        <w:rPr>
          <w:rFonts w:hint="eastAsia" w:ascii="宋体" w:hAnsi="宋体" w:eastAsia="宋体" w:cs="宋体"/>
          <w:color w:val="auto"/>
          <w:spacing w:val="0"/>
          <w:position w:val="0"/>
          <w:sz w:val="24"/>
          <w:szCs w:val="24"/>
          <w:highlight w:val="none"/>
          <w:lang w:eastAsia="zh-CN"/>
        </w:rPr>
        <w:t>）上公告</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lang w:eastAsia="zh-CN"/>
        </w:rPr>
        <w:t>结果，</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lang w:eastAsia="zh-CN"/>
        </w:rPr>
        <w:t>公告期限为 1 个工作日。</w:t>
      </w:r>
    </w:p>
    <w:p w14:paraId="65A02BB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163" w:name="bookmark45"/>
      <w:bookmarkEnd w:id="163"/>
      <w:bookmarkStart w:id="164" w:name="_Toc4810"/>
      <w:bookmarkStart w:id="165" w:name="_Toc17454"/>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27</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.履约保证金</w:t>
      </w:r>
      <w:bookmarkEnd w:id="164"/>
      <w:bookmarkEnd w:id="165"/>
    </w:p>
    <w:p w14:paraId="258AC1A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27</w:t>
      </w: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成交供应商在与采购人签订采购合同</w:t>
      </w:r>
      <w:r>
        <w:rPr>
          <w:rFonts w:hint="eastAsia" w:ascii="宋体" w:hAnsi="宋体" w:eastAsia="宋体" w:cs="宋体"/>
          <w:color w:val="auto"/>
          <w:spacing w:val="0"/>
          <w:position w:val="0"/>
          <w:sz w:val="24"/>
          <w:szCs w:val="24"/>
          <w:highlight w:val="none"/>
          <w:lang w:val="en-US" w:eastAsia="zh-CN"/>
        </w:rPr>
        <w:t>后</w:t>
      </w:r>
      <w:r>
        <w:rPr>
          <w:rFonts w:hint="eastAsia" w:ascii="宋体" w:hAnsi="宋体" w:eastAsia="宋体" w:cs="宋体"/>
          <w:color w:val="auto"/>
          <w:spacing w:val="0"/>
          <w:position w:val="0"/>
          <w:sz w:val="24"/>
          <w:szCs w:val="24"/>
          <w:highlight w:val="none"/>
        </w:rPr>
        <w:t>，应向采购人提交“供应商须知前附表”规定的履约保证金。履约保证金按采购人的要求汇入采购人指定账户。</w:t>
      </w:r>
    </w:p>
    <w:p w14:paraId="2900AB1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sz w:val="24"/>
          <w:szCs w:val="24"/>
          <w:highlight w:val="none"/>
          <w:lang w:val="en-US" w:eastAsia="zh-CN"/>
        </w:rPr>
        <w:t>27</w:t>
      </w:r>
      <w:r>
        <w:rPr>
          <w:rFonts w:hint="eastAsia" w:ascii="宋体" w:hAnsi="宋体" w:eastAsia="宋体" w:cs="宋体"/>
          <w:color w:val="auto"/>
          <w:spacing w:val="0"/>
          <w:position w:val="0"/>
          <w:sz w:val="24"/>
          <w:szCs w:val="24"/>
          <w:highlight w:val="none"/>
          <w:lang w:eastAsia="zh-CN"/>
        </w:rPr>
        <w:t>.2</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履约保证金用于补偿因成交供应商不能完成其合同义务而使采购人蒙受的损失</w:t>
      </w:r>
      <w:r>
        <w:rPr>
          <w:rFonts w:hint="eastAsia" w:ascii="宋体" w:hAnsi="宋体" w:eastAsia="宋体" w:cs="宋体"/>
          <w:color w:val="auto"/>
          <w:spacing w:val="0"/>
          <w:position w:val="0"/>
          <w:sz w:val="24"/>
          <w:szCs w:val="24"/>
          <w:highlight w:val="none"/>
          <w:lang w:eastAsia="zh-CN"/>
        </w:rPr>
        <w:t>。</w:t>
      </w:r>
    </w:p>
    <w:p w14:paraId="3928022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166" w:name="bookmark46"/>
      <w:bookmarkEnd w:id="166"/>
      <w:bookmarkStart w:id="167" w:name="_Toc29203"/>
      <w:bookmarkStart w:id="168" w:name="_Toc9839"/>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28</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.签订合同</w:t>
      </w:r>
      <w:bookmarkEnd w:id="167"/>
      <w:bookmarkEnd w:id="168"/>
    </w:p>
    <w:p w14:paraId="438DED3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28</w:t>
      </w: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eastAsia="zh-CN"/>
        </w:rPr>
        <w:t>成交供应商应按成交通知书规定的时间与采购人签订合同，否则按拒绝签订合同处理。</w:t>
      </w:r>
    </w:p>
    <w:p w14:paraId="62C77C5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28</w:t>
      </w:r>
      <w:r>
        <w:rPr>
          <w:rFonts w:hint="eastAsia" w:ascii="宋体" w:hAnsi="宋体" w:eastAsia="宋体" w:cs="宋体"/>
          <w:color w:val="auto"/>
          <w:spacing w:val="0"/>
          <w:position w:val="0"/>
          <w:sz w:val="24"/>
          <w:szCs w:val="24"/>
          <w:highlight w:val="none"/>
          <w:lang w:eastAsia="zh-CN"/>
        </w:rPr>
        <w:t>.2 磋商文件、成交供应商的响应文件及</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过程中有关澄清文件均为签订合同的依据。</w:t>
      </w:r>
    </w:p>
    <w:p w14:paraId="4F4B9EA2">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28</w:t>
      </w:r>
      <w:r>
        <w:rPr>
          <w:rFonts w:hint="eastAsia" w:ascii="宋体" w:hAnsi="宋体" w:eastAsia="宋体" w:cs="宋体"/>
          <w:color w:val="auto"/>
          <w:spacing w:val="0"/>
          <w:position w:val="0"/>
          <w:sz w:val="24"/>
          <w:szCs w:val="24"/>
          <w:highlight w:val="none"/>
          <w:lang w:eastAsia="zh-CN"/>
        </w:rPr>
        <w:t>.3 成交通知书是合同的一个组成部分。</w:t>
      </w:r>
    </w:p>
    <w:p w14:paraId="0AFDD3D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28</w:t>
      </w:r>
      <w:r>
        <w:rPr>
          <w:rFonts w:hint="eastAsia" w:ascii="宋体" w:hAnsi="宋体" w:eastAsia="宋体" w:cs="宋体"/>
          <w:color w:val="auto"/>
          <w:spacing w:val="0"/>
          <w:position w:val="0"/>
          <w:sz w:val="24"/>
          <w:szCs w:val="24"/>
          <w:highlight w:val="none"/>
          <w:lang w:eastAsia="zh-CN"/>
        </w:rPr>
        <w:t>.4 采购人与成交供应商应当根据合同的约定依法履行合同义务。采购合同的履行、违约责任和解决争议的方法等适用《中华人民共和国民法典》。</w:t>
      </w:r>
      <w:bookmarkStart w:id="169" w:name="bookmark40"/>
      <w:bookmarkEnd w:id="169"/>
      <w:bookmarkStart w:id="170" w:name="bookmark39"/>
      <w:bookmarkEnd w:id="170"/>
    </w:p>
    <w:p w14:paraId="293EBF4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28</w:t>
      </w:r>
      <w:r>
        <w:rPr>
          <w:rFonts w:hint="eastAsia" w:ascii="宋体" w:hAnsi="宋体" w:eastAsia="宋体" w:cs="宋体"/>
          <w:color w:val="auto"/>
          <w:spacing w:val="0"/>
          <w:position w:val="0"/>
          <w:sz w:val="24"/>
          <w:szCs w:val="24"/>
          <w:highlight w:val="none"/>
          <w:lang w:eastAsia="zh-CN"/>
        </w:rPr>
        <w:t>.5 采购人应当加强对成交供应商的履约管理，并按照采购合同约定，及时向成交供应商支付采购资金。对于成交供应商违反采购合同约定的行为，采购人应当及时处理，依法追究其违约责任。</w:t>
      </w:r>
    </w:p>
    <w:p w14:paraId="118EB6F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sz w:val="24"/>
          <w:szCs w:val="24"/>
          <w:highlight w:val="none"/>
          <w:lang w:val="en-US" w:eastAsia="zh-CN"/>
        </w:rPr>
        <w:t>28</w:t>
      </w:r>
      <w:r>
        <w:rPr>
          <w:rFonts w:hint="eastAsia" w:ascii="宋体" w:hAnsi="宋体" w:eastAsia="宋体" w:cs="宋体"/>
          <w:color w:val="auto"/>
          <w:spacing w:val="0"/>
          <w:position w:val="0"/>
          <w:sz w:val="24"/>
          <w:szCs w:val="24"/>
          <w:highlight w:val="none"/>
          <w:lang w:eastAsia="zh-CN"/>
        </w:rPr>
        <w:t>.6 合同履行中，采购人需追加与合同标的相同的</w:t>
      </w:r>
      <w:r>
        <w:rPr>
          <w:rFonts w:hint="eastAsia" w:ascii="宋体" w:hAnsi="宋体" w:eastAsia="宋体" w:cs="宋体"/>
          <w:color w:val="auto"/>
          <w:spacing w:val="0"/>
          <w:position w:val="0"/>
          <w:sz w:val="24"/>
          <w:szCs w:val="24"/>
          <w:highlight w:val="none"/>
          <w:lang w:val="en-US" w:eastAsia="zh-CN"/>
        </w:rPr>
        <w:t>服务</w:t>
      </w:r>
      <w:r>
        <w:rPr>
          <w:rFonts w:hint="eastAsia" w:ascii="宋体" w:hAnsi="宋体" w:eastAsia="宋体" w:cs="宋体"/>
          <w:color w:val="auto"/>
          <w:spacing w:val="0"/>
          <w:position w:val="0"/>
          <w:sz w:val="24"/>
          <w:szCs w:val="24"/>
          <w:highlight w:val="none"/>
          <w:lang w:eastAsia="zh-CN"/>
        </w:rPr>
        <w:t>的，在不改变合同其他条款的前提下，可以与成交供应商协商签订补充合同，但所有补充合同的采购金额不得超过原合同采购金额的百分之十。</w:t>
      </w:r>
    </w:p>
    <w:p w14:paraId="77FD78E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28</w:t>
      </w:r>
      <w:r>
        <w:rPr>
          <w:rFonts w:hint="eastAsia" w:ascii="宋体" w:hAnsi="宋体" w:eastAsia="宋体" w:cs="宋体"/>
          <w:color w:val="auto"/>
          <w:spacing w:val="0"/>
          <w:position w:val="0"/>
          <w:sz w:val="24"/>
          <w:szCs w:val="24"/>
          <w:highlight w:val="none"/>
          <w:lang w:eastAsia="zh-CN"/>
        </w:rPr>
        <w:t>.7 成交供应商拒绝与采购人签订合同的，采购人可以按照评审报告推荐的</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lang w:eastAsia="zh-CN"/>
        </w:rPr>
        <w:t>候选人名单排序，确定下一候选人为成交供应商，也可以重新开展政府采购活动；拒绝签订政府采购合同的成交供应商视为撤</w:t>
      </w:r>
      <w:r>
        <w:rPr>
          <w:rFonts w:hint="eastAsia" w:ascii="宋体" w:hAnsi="宋体" w:eastAsia="宋体" w:cs="宋体"/>
          <w:color w:val="auto"/>
          <w:spacing w:val="0"/>
          <w:position w:val="0"/>
          <w:sz w:val="24"/>
          <w:szCs w:val="24"/>
          <w:highlight w:val="none"/>
          <w:lang w:val="en-US" w:eastAsia="zh-CN"/>
        </w:rPr>
        <w:t>回</w:t>
      </w:r>
      <w:r>
        <w:rPr>
          <w:rFonts w:hint="eastAsia" w:ascii="宋体" w:hAnsi="宋体" w:eastAsia="宋体" w:cs="宋体"/>
          <w:color w:val="auto"/>
          <w:spacing w:val="0"/>
          <w:position w:val="0"/>
          <w:sz w:val="24"/>
          <w:szCs w:val="24"/>
          <w:highlight w:val="none"/>
          <w:lang w:eastAsia="zh-CN"/>
        </w:rPr>
        <w:t>响应文件，不予退还其交纳的磋商保证金。</w:t>
      </w:r>
    </w:p>
    <w:p w14:paraId="6FB164A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28</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8</w:t>
      </w:r>
      <w:r>
        <w:rPr>
          <w:rFonts w:hint="eastAsia" w:ascii="宋体" w:hAnsi="宋体" w:eastAsia="宋体" w:cs="宋体"/>
          <w:color w:val="auto"/>
          <w:spacing w:val="0"/>
          <w:position w:val="0"/>
          <w:sz w:val="24"/>
          <w:szCs w:val="24"/>
          <w:highlight w:val="none"/>
          <w:lang w:eastAsia="zh-CN"/>
        </w:rPr>
        <w:t xml:space="preserve"> 成交供应商与采购人签订合同</w:t>
      </w:r>
      <w:r>
        <w:rPr>
          <w:rFonts w:hint="eastAsia" w:ascii="宋体" w:hAnsi="宋体" w:eastAsia="宋体" w:cs="宋体"/>
          <w:color w:val="auto"/>
          <w:spacing w:val="0"/>
          <w:position w:val="0"/>
          <w:sz w:val="24"/>
          <w:szCs w:val="24"/>
          <w:highlight w:val="none"/>
          <w:lang w:val="en-US" w:eastAsia="zh-CN"/>
        </w:rPr>
        <w:t>后两个工作日内</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将采购合同扫描件交予采购代理机构备案，以便退还磋商保证金</w:t>
      </w:r>
      <w:r>
        <w:rPr>
          <w:rFonts w:hint="eastAsia" w:ascii="宋体" w:hAnsi="宋体" w:eastAsia="宋体" w:cs="宋体"/>
          <w:color w:val="auto"/>
          <w:spacing w:val="0"/>
          <w:position w:val="0"/>
          <w:sz w:val="24"/>
          <w:szCs w:val="24"/>
          <w:highlight w:val="none"/>
          <w:lang w:eastAsia="zh-CN"/>
        </w:rPr>
        <w:t>。</w:t>
      </w:r>
    </w:p>
    <w:p w14:paraId="648340D5">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highlight w:val="none"/>
          <w:lang w:eastAsia="zh-CN"/>
        </w:rPr>
      </w:pPr>
      <w:bookmarkStart w:id="171" w:name="bookmark47"/>
      <w:bookmarkEnd w:id="171"/>
      <w:bookmarkStart w:id="172" w:name="_Toc26963"/>
      <w:bookmarkStart w:id="173" w:name="_Toc7061"/>
      <w:bookmarkStart w:id="174" w:name="_Toc29779"/>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七</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、询问和质疑</w:t>
      </w:r>
      <w:bookmarkEnd w:id="172"/>
      <w:bookmarkEnd w:id="173"/>
      <w:bookmarkEnd w:id="174"/>
    </w:p>
    <w:p w14:paraId="2332347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eastAsia="zh-CN"/>
        </w:rPr>
      </w:pPr>
      <w:bookmarkStart w:id="175" w:name="bookmark48"/>
      <w:bookmarkEnd w:id="175"/>
      <w:bookmarkStart w:id="176" w:name="_Toc29668"/>
      <w:bookmarkStart w:id="177" w:name="_Toc3376"/>
      <w:bookmarkStart w:id="178" w:name="_Toc7084"/>
      <w:r>
        <w:rPr>
          <w:rFonts w:hint="eastAsia" w:ascii="宋体" w:hAnsi="宋体" w:eastAsia="宋体" w:cs="宋体"/>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t>30</w:t>
      </w:r>
      <w:r>
        <w:rPr>
          <w:rFonts w:hint="eastAsia" w:ascii="宋体" w:hAnsi="宋体" w:eastAsia="宋体" w:cs="宋体"/>
          <w:color w:val="auto"/>
          <w:spacing w:val="0"/>
          <w:kern w:val="0"/>
          <w:position w:val="0"/>
          <w:sz w:val="24"/>
          <w:szCs w:val="24"/>
          <w:highlight w:val="none"/>
          <w:lang w:eastAsia="zh-CN"/>
          <w14:textOutline w14:w="4356" w14:cap="sq" w14:cmpd="sng" w14:algn="ctr">
            <w14:solidFill>
              <w14:srgbClr w14:val="000000"/>
            </w14:solidFill>
            <w14:prstDash w14:val="solid"/>
            <w14:bevel/>
          </w14:textOutline>
        </w:rPr>
        <w:t>.询问</w:t>
      </w:r>
      <w:bookmarkEnd w:id="176"/>
      <w:bookmarkEnd w:id="177"/>
    </w:p>
    <w:p w14:paraId="54BFD34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0"/>
          <w:kern w:val="0"/>
          <w:position w:val="0"/>
          <w:sz w:val="24"/>
          <w:szCs w:val="24"/>
          <w:highlight w:val="none"/>
          <w:lang w:val="en-US" w:eastAsia="zh-CN"/>
        </w:rPr>
        <w:t>30</w:t>
      </w:r>
      <w:r>
        <w:rPr>
          <w:rFonts w:hint="eastAsia" w:ascii="宋体" w:hAnsi="宋体" w:eastAsia="宋体" w:cs="宋体"/>
          <w:color w:val="auto"/>
          <w:spacing w:val="0"/>
          <w:kern w:val="0"/>
          <w:position w:val="0"/>
          <w:sz w:val="24"/>
          <w:szCs w:val="24"/>
          <w:highlight w:val="none"/>
          <w:lang w:eastAsia="zh-CN"/>
        </w:rPr>
        <w:t>.1 供应商对政府采购活动事项有疑问的，可以向</w:t>
      </w:r>
      <w:r>
        <w:rPr>
          <w:rFonts w:hint="eastAsia" w:ascii="宋体" w:hAnsi="宋体" w:eastAsia="宋体" w:cs="宋体"/>
          <w:color w:val="auto"/>
          <w:spacing w:val="0"/>
          <w:position w:val="0"/>
          <w:sz w:val="24"/>
          <w:szCs w:val="24"/>
          <w:highlight w:val="none"/>
          <w:lang w:eastAsia="zh-CN"/>
        </w:rPr>
        <w:t>采购</w:t>
      </w:r>
      <w:r>
        <w:rPr>
          <w:rFonts w:hint="eastAsia" w:ascii="宋体" w:hAnsi="宋体" w:eastAsia="宋体" w:cs="宋体"/>
          <w:color w:val="auto"/>
          <w:spacing w:val="0"/>
          <w:kern w:val="0"/>
          <w:position w:val="0"/>
          <w:sz w:val="24"/>
          <w:szCs w:val="24"/>
          <w:highlight w:val="none"/>
          <w:lang w:eastAsia="zh-CN"/>
        </w:rPr>
        <w:t>人或者采购代理机构提出询问，采</w:t>
      </w:r>
      <w:r>
        <w:rPr>
          <w:rFonts w:hint="eastAsia" w:ascii="宋体" w:hAnsi="宋体" w:eastAsia="宋体" w:cs="宋体"/>
          <w:color w:val="auto"/>
          <w:spacing w:val="0"/>
          <w:kern w:val="0"/>
          <w:position w:val="0"/>
          <w:sz w:val="24"/>
          <w:szCs w:val="24"/>
          <w:highlight w:val="none"/>
          <w:lang w:val="en-US" w:eastAsia="zh-CN"/>
        </w:rPr>
        <w:t>购代理机构应当在3个工作日内对供应商依法提出的询问做出答复。</w:t>
      </w:r>
      <w:bookmarkStart w:id="179" w:name="bookmark49"/>
      <w:bookmarkEnd w:id="179"/>
    </w:p>
    <w:p w14:paraId="19295F9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eastAsia="zh-CN"/>
        </w:rPr>
      </w:pPr>
      <w:bookmarkStart w:id="180" w:name="_Toc7870"/>
      <w:bookmarkStart w:id="181" w:name="_Toc27114"/>
      <w:r>
        <w:rPr>
          <w:rFonts w:hint="eastAsia" w:ascii="宋体" w:hAnsi="宋体" w:eastAsia="宋体" w:cs="宋体"/>
          <w:color w:val="auto"/>
          <w:spacing w:val="0"/>
          <w:kern w:val="0"/>
          <w:position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kern w:val="0"/>
          <w:position w:val="0"/>
          <w:sz w:val="24"/>
          <w:szCs w:val="24"/>
          <w:highlight w:val="none"/>
          <w:lang w:eastAsia="zh-CN"/>
          <w14:textOutline w14:w="4356" w14:cap="sq" w14:cmpd="sng" w14:algn="ctr">
            <w14:solidFill>
              <w14:srgbClr w14:val="000000"/>
            </w14:solidFill>
            <w14:prstDash w14:val="solid"/>
            <w14:bevel/>
          </w14:textOutline>
        </w:rPr>
        <w:t>质疑</w:t>
      </w:r>
      <w:bookmarkEnd w:id="180"/>
      <w:bookmarkEnd w:id="181"/>
    </w:p>
    <w:p w14:paraId="5C7DC98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lang w:eastAsia="zh-CN"/>
        </w:rPr>
        <w:t>3</w:t>
      </w:r>
      <w:r>
        <w:rPr>
          <w:rFonts w:hint="eastAsia" w:ascii="宋体" w:hAnsi="宋体" w:eastAsia="宋体" w:cs="宋体"/>
          <w:color w:val="auto"/>
          <w:spacing w:val="0"/>
          <w:kern w:val="0"/>
          <w:position w:val="0"/>
          <w:sz w:val="24"/>
          <w:szCs w:val="24"/>
          <w:highlight w:val="none"/>
          <w:lang w:val="en-US" w:eastAsia="zh-CN"/>
        </w:rPr>
        <w:t>1</w:t>
      </w:r>
      <w:r>
        <w:rPr>
          <w:rFonts w:hint="eastAsia" w:ascii="宋体" w:hAnsi="宋体" w:eastAsia="宋体" w:cs="宋体"/>
          <w:color w:val="auto"/>
          <w:spacing w:val="0"/>
          <w:kern w:val="0"/>
          <w:position w:val="0"/>
          <w:sz w:val="24"/>
          <w:szCs w:val="24"/>
          <w:highlight w:val="none"/>
          <w:lang w:eastAsia="zh-CN"/>
        </w:rPr>
        <w:t>.1 供应商认为</w:t>
      </w:r>
      <w:r>
        <w:rPr>
          <w:rFonts w:hint="eastAsia" w:ascii="宋体" w:hAnsi="宋体" w:eastAsia="宋体" w:cs="宋体"/>
          <w:color w:val="auto"/>
          <w:spacing w:val="0"/>
          <w:kern w:val="0"/>
          <w:position w:val="0"/>
          <w:sz w:val="24"/>
          <w:szCs w:val="24"/>
          <w:highlight w:val="none"/>
          <w:lang w:val="en-US" w:eastAsia="zh-CN"/>
        </w:rPr>
        <w:t>磋商</w:t>
      </w:r>
      <w:r>
        <w:rPr>
          <w:rFonts w:hint="eastAsia" w:ascii="宋体" w:hAnsi="宋体" w:eastAsia="宋体" w:cs="宋体"/>
          <w:color w:val="auto"/>
          <w:spacing w:val="0"/>
          <w:kern w:val="0"/>
          <w:position w:val="0"/>
          <w:sz w:val="24"/>
          <w:szCs w:val="24"/>
          <w:highlight w:val="none"/>
          <w:lang w:eastAsia="zh-CN"/>
        </w:rPr>
        <w:t>通知书、</w:t>
      </w:r>
      <w:r>
        <w:rPr>
          <w:rFonts w:hint="eastAsia" w:ascii="宋体" w:hAnsi="宋体" w:eastAsia="宋体" w:cs="宋体"/>
          <w:color w:val="auto"/>
          <w:spacing w:val="0"/>
          <w:kern w:val="0"/>
          <w:position w:val="0"/>
          <w:sz w:val="24"/>
          <w:szCs w:val="24"/>
          <w:highlight w:val="none"/>
          <w:lang w:val="en-US" w:eastAsia="zh-CN"/>
        </w:rPr>
        <w:t>磋商</w:t>
      </w:r>
      <w:r>
        <w:rPr>
          <w:rFonts w:hint="eastAsia" w:ascii="宋体" w:hAnsi="宋体" w:eastAsia="宋体" w:cs="宋体"/>
          <w:color w:val="auto"/>
          <w:spacing w:val="0"/>
          <w:kern w:val="0"/>
          <w:position w:val="0"/>
          <w:sz w:val="24"/>
          <w:szCs w:val="24"/>
          <w:highlight w:val="none"/>
          <w:lang w:eastAsia="zh-CN"/>
        </w:rPr>
        <w:t>过程、</w:t>
      </w:r>
      <w:r>
        <w:rPr>
          <w:rFonts w:hint="eastAsia" w:ascii="宋体" w:hAnsi="宋体" w:eastAsia="宋体" w:cs="宋体"/>
          <w:color w:val="auto"/>
          <w:spacing w:val="0"/>
          <w:kern w:val="0"/>
          <w:position w:val="0"/>
          <w:sz w:val="24"/>
          <w:szCs w:val="24"/>
          <w:highlight w:val="none"/>
          <w:lang w:val="en-US" w:eastAsia="zh-CN"/>
        </w:rPr>
        <w:t>成交</w:t>
      </w:r>
      <w:r>
        <w:rPr>
          <w:rFonts w:hint="eastAsia" w:ascii="宋体" w:hAnsi="宋体" w:eastAsia="宋体" w:cs="宋体"/>
          <w:color w:val="auto"/>
          <w:spacing w:val="0"/>
          <w:kern w:val="0"/>
          <w:position w:val="0"/>
          <w:sz w:val="24"/>
          <w:szCs w:val="24"/>
          <w:highlight w:val="none"/>
          <w:lang w:eastAsia="zh-CN"/>
        </w:rPr>
        <w:t>结果使自己的权益受到损害的，可以在知道或者应知其权益受到损害之日起7个工作日内，以书面形式向采购人、采购代理机构提出质疑。</w:t>
      </w:r>
    </w:p>
    <w:p w14:paraId="25DFE14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lang w:val="en-US" w:eastAsia="zh-CN"/>
        </w:rPr>
        <w:t>1）</w:t>
      </w:r>
      <w:r>
        <w:rPr>
          <w:rFonts w:hint="eastAsia" w:ascii="宋体" w:hAnsi="宋体" w:eastAsia="宋体" w:cs="宋体"/>
          <w:color w:val="auto"/>
          <w:spacing w:val="0"/>
          <w:kern w:val="0"/>
          <w:position w:val="0"/>
          <w:sz w:val="24"/>
          <w:szCs w:val="24"/>
          <w:highlight w:val="none"/>
          <w:lang w:eastAsia="zh-CN"/>
        </w:rPr>
        <w:t>对可以质疑的</w:t>
      </w:r>
      <w:r>
        <w:rPr>
          <w:rFonts w:hint="eastAsia" w:ascii="宋体" w:hAnsi="宋体" w:eastAsia="宋体" w:cs="宋体"/>
          <w:color w:val="auto"/>
          <w:spacing w:val="0"/>
          <w:kern w:val="0"/>
          <w:position w:val="0"/>
          <w:sz w:val="24"/>
          <w:szCs w:val="24"/>
          <w:highlight w:val="none"/>
          <w:lang w:val="en-US" w:eastAsia="zh-CN"/>
        </w:rPr>
        <w:t>磋商</w:t>
      </w:r>
      <w:r>
        <w:rPr>
          <w:rFonts w:hint="eastAsia" w:ascii="宋体" w:hAnsi="宋体" w:eastAsia="宋体" w:cs="宋体"/>
          <w:color w:val="auto"/>
          <w:spacing w:val="0"/>
          <w:kern w:val="0"/>
          <w:position w:val="0"/>
          <w:sz w:val="24"/>
          <w:szCs w:val="24"/>
          <w:highlight w:val="none"/>
          <w:lang w:eastAsia="zh-CN"/>
        </w:rPr>
        <w:t>通知书提出质疑的，为收到</w:t>
      </w:r>
      <w:r>
        <w:rPr>
          <w:rFonts w:hint="eastAsia" w:ascii="宋体" w:hAnsi="宋体" w:eastAsia="宋体" w:cs="宋体"/>
          <w:color w:val="auto"/>
          <w:spacing w:val="0"/>
          <w:kern w:val="0"/>
          <w:position w:val="0"/>
          <w:sz w:val="24"/>
          <w:szCs w:val="24"/>
          <w:highlight w:val="none"/>
          <w:lang w:val="en-US" w:eastAsia="zh-CN"/>
        </w:rPr>
        <w:t>磋商</w:t>
      </w:r>
      <w:r>
        <w:rPr>
          <w:rFonts w:hint="eastAsia" w:ascii="宋体" w:hAnsi="宋体" w:eastAsia="宋体" w:cs="宋体"/>
          <w:color w:val="auto"/>
          <w:spacing w:val="0"/>
          <w:kern w:val="0"/>
          <w:position w:val="0"/>
          <w:sz w:val="24"/>
          <w:szCs w:val="24"/>
          <w:highlight w:val="none"/>
          <w:lang w:eastAsia="zh-CN"/>
        </w:rPr>
        <w:t>通知书之日或者</w:t>
      </w:r>
      <w:r>
        <w:rPr>
          <w:rFonts w:hint="eastAsia" w:ascii="宋体" w:hAnsi="宋体" w:eastAsia="宋体" w:cs="宋体"/>
          <w:color w:val="auto"/>
          <w:spacing w:val="0"/>
          <w:kern w:val="0"/>
          <w:position w:val="0"/>
          <w:sz w:val="24"/>
          <w:szCs w:val="24"/>
          <w:highlight w:val="none"/>
          <w:lang w:val="en-US" w:eastAsia="zh-CN"/>
        </w:rPr>
        <w:t>磋商</w:t>
      </w:r>
      <w:r>
        <w:rPr>
          <w:rFonts w:hint="eastAsia" w:ascii="宋体" w:hAnsi="宋体" w:eastAsia="宋体" w:cs="宋体"/>
          <w:color w:val="auto"/>
          <w:spacing w:val="0"/>
          <w:kern w:val="0"/>
          <w:position w:val="0"/>
          <w:sz w:val="24"/>
          <w:szCs w:val="24"/>
          <w:highlight w:val="none"/>
          <w:lang w:eastAsia="zh-CN"/>
        </w:rPr>
        <w:t>通知书公告期限届满之日起7个工作日内；</w:t>
      </w:r>
    </w:p>
    <w:p w14:paraId="6A5459E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lang w:val="en-US" w:eastAsia="zh-CN"/>
        </w:rPr>
        <w:t>2）</w:t>
      </w:r>
      <w:r>
        <w:rPr>
          <w:rFonts w:hint="eastAsia" w:ascii="宋体" w:hAnsi="宋体" w:eastAsia="宋体" w:cs="宋体"/>
          <w:color w:val="auto"/>
          <w:spacing w:val="0"/>
          <w:kern w:val="0"/>
          <w:position w:val="0"/>
          <w:sz w:val="24"/>
          <w:szCs w:val="24"/>
          <w:highlight w:val="none"/>
          <w:lang w:eastAsia="zh-CN"/>
        </w:rPr>
        <w:t>对</w:t>
      </w:r>
      <w:r>
        <w:rPr>
          <w:rFonts w:hint="eastAsia" w:ascii="宋体" w:hAnsi="宋体" w:eastAsia="宋体" w:cs="宋体"/>
          <w:color w:val="auto"/>
          <w:spacing w:val="0"/>
          <w:kern w:val="0"/>
          <w:position w:val="0"/>
          <w:sz w:val="24"/>
          <w:szCs w:val="24"/>
          <w:highlight w:val="none"/>
          <w:lang w:val="en-US" w:eastAsia="zh-CN"/>
        </w:rPr>
        <w:t>磋商</w:t>
      </w:r>
      <w:r>
        <w:rPr>
          <w:rFonts w:hint="eastAsia" w:ascii="宋体" w:hAnsi="宋体" w:eastAsia="宋体" w:cs="宋体"/>
          <w:color w:val="auto"/>
          <w:spacing w:val="0"/>
          <w:kern w:val="0"/>
          <w:position w:val="0"/>
          <w:sz w:val="24"/>
          <w:szCs w:val="24"/>
          <w:highlight w:val="none"/>
          <w:lang w:eastAsia="zh-CN"/>
        </w:rPr>
        <w:t>过程提出质疑的，为各</w:t>
      </w:r>
      <w:r>
        <w:rPr>
          <w:rFonts w:hint="eastAsia" w:ascii="宋体" w:hAnsi="宋体" w:eastAsia="宋体" w:cs="宋体"/>
          <w:color w:val="auto"/>
          <w:spacing w:val="0"/>
          <w:kern w:val="0"/>
          <w:position w:val="0"/>
          <w:sz w:val="24"/>
          <w:szCs w:val="24"/>
          <w:highlight w:val="none"/>
          <w:lang w:val="en-US" w:eastAsia="zh-CN"/>
        </w:rPr>
        <w:t>磋商</w:t>
      </w:r>
      <w:r>
        <w:rPr>
          <w:rFonts w:hint="eastAsia" w:ascii="宋体" w:hAnsi="宋体" w:eastAsia="宋体" w:cs="宋体"/>
          <w:color w:val="auto"/>
          <w:spacing w:val="0"/>
          <w:kern w:val="0"/>
          <w:position w:val="0"/>
          <w:sz w:val="24"/>
          <w:szCs w:val="24"/>
          <w:highlight w:val="none"/>
          <w:lang w:eastAsia="zh-CN"/>
        </w:rPr>
        <w:t>程序环节</w:t>
      </w:r>
      <w:r>
        <w:rPr>
          <w:rFonts w:hint="eastAsia" w:ascii="宋体" w:hAnsi="宋体" w:eastAsia="宋体" w:cs="宋体"/>
          <w:color w:val="auto"/>
          <w:spacing w:val="0"/>
          <w:position w:val="0"/>
          <w:sz w:val="24"/>
          <w:szCs w:val="24"/>
          <w:highlight w:val="none"/>
          <w:lang w:eastAsia="zh-CN"/>
        </w:rPr>
        <w:t>结束</w:t>
      </w:r>
      <w:r>
        <w:rPr>
          <w:rFonts w:hint="eastAsia" w:ascii="宋体" w:hAnsi="宋体" w:eastAsia="宋体" w:cs="宋体"/>
          <w:color w:val="auto"/>
          <w:spacing w:val="0"/>
          <w:kern w:val="0"/>
          <w:position w:val="0"/>
          <w:sz w:val="24"/>
          <w:szCs w:val="24"/>
          <w:highlight w:val="none"/>
          <w:lang w:eastAsia="zh-CN"/>
        </w:rPr>
        <w:t>之日起7个工作日内；</w:t>
      </w:r>
    </w:p>
    <w:p w14:paraId="7AB8B06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lang w:eastAsia="zh-CN"/>
        </w:rPr>
        <w:t>3）对</w:t>
      </w:r>
      <w:r>
        <w:rPr>
          <w:rFonts w:hint="eastAsia" w:ascii="宋体" w:hAnsi="宋体" w:eastAsia="宋体" w:cs="宋体"/>
          <w:color w:val="auto"/>
          <w:spacing w:val="0"/>
          <w:kern w:val="0"/>
          <w:position w:val="0"/>
          <w:sz w:val="24"/>
          <w:szCs w:val="24"/>
          <w:highlight w:val="none"/>
          <w:lang w:val="en-US" w:eastAsia="zh-CN"/>
        </w:rPr>
        <w:t>成交</w:t>
      </w:r>
      <w:r>
        <w:rPr>
          <w:rFonts w:hint="eastAsia" w:ascii="宋体" w:hAnsi="宋体" w:eastAsia="宋体" w:cs="宋体"/>
          <w:color w:val="auto"/>
          <w:spacing w:val="0"/>
          <w:kern w:val="0"/>
          <w:position w:val="0"/>
          <w:sz w:val="24"/>
          <w:szCs w:val="24"/>
          <w:highlight w:val="none"/>
          <w:lang w:eastAsia="zh-CN"/>
        </w:rPr>
        <w:t>结果提出质疑的，为</w:t>
      </w:r>
      <w:r>
        <w:rPr>
          <w:rFonts w:hint="eastAsia" w:ascii="宋体" w:hAnsi="宋体" w:eastAsia="宋体" w:cs="宋体"/>
          <w:color w:val="auto"/>
          <w:spacing w:val="0"/>
          <w:kern w:val="0"/>
          <w:position w:val="0"/>
          <w:sz w:val="24"/>
          <w:szCs w:val="24"/>
          <w:highlight w:val="none"/>
          <w:lang w:val="en-US" w:eastAsia="zh-CN"/>
        </w:rPr>
        <w:t>成交</w:t>
      </w:r>
      <w:r>
        <w:rPr>
          <w:rFonts w:hint="eastAsia" w:ascii="宋体" w:hAnsi="宋体" w:eastAsia="宋体" w:cs="宋体"/>
          <w:color w:val="auto"/>
          <w:spacing w:val="0"/>
          <w:kern w:val="0"/>
          <w:position w:val="0"/>
          <w:sz w:val="24"/>
          <w:szCs w:val="24"/>
          <w:highlight w:val="none"/>
          <w:lang w:eastAsia="zh-CN"/>
        </w:rPr>
        <w:t>结果公告</w:t>
      </w:r>
      <w:r>
        <w:rPr>
          <w:rFonts w:hint="eastAsia" w:ascii="宋体" w:hAnsi="宋体" w:eastAsia="宋体" w:cs="宋体"/>
          <w:color w:val="auto"/>
          <w:spacing w:val="0"/>
          <w:position w:val="0"/>
          <w:sz w:val="24"/>
          <w:szCs w:val="24"/>
          <w:highlight w:val="none"/>
          <w:lang w:eastAsia="zh-CN"/>
        </w:rPr>
        <w:t>期限</w:t>
      </w:r>
      <w:r>
        <w:rPr>
          <w:rFonts w:hint="eastAsia" w:ascii="宋体" w:hAnsi="宋体" w:eastAsia="宋体" w:cs="宋体"/>
          <w:color w:val="auto"/>
          <w:spacing w:val="0"/>
          <w:kern w:val="0"/>
          <w:position w:val="0"/>
          <w:sz w:val="24"/>
          <w:szCs w:val="24"/>
          <w:highlight w:val="none"/>
          <w:lang w:eastAsia="zh-CN"/>
        </w:rPr>
        <w:t>届满之日起7个工作日内。</w:t>
      </w:r>
    </w:p>
    <w:p w14:paraId="61B3C81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lang w:val="en-US" w:eastAsia="zh-CN"/>
        </w:rPr>
        <w:t>31</w:t>
      </w:r>
      <w:r>
        <w:rPr>
          <w:rFonts w:hint="eastAsia" w:ascii="宋体" w:hAnsi="宋体" w:eastAsia="宋体" w:cs="宋体"/>
          <w:color w:val="auto"/>
          <w:spacing w:val="0"/>
          <w:kern w:val="0"/>
          <w:position w:val="0"/>
          <w:sz w:val="24"/>
          <w:szCs w:val="24"/>
          <w:highlight w:val="none"/>
          <w:lang w:eastAsia="zh-CN"/>
        </w:rPr>
        <w:t>.2 供应商应在法定质疑期内一次性提出针对同一采购程序环节的质疑。</w:t>
      </w:r>
    </w:p>
    <w:p w14:paraId="404F195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lang w:val="en-US" w:eastAsia="zh-CN"/>
        </w:rPr>
        <w:t>31</w:t>
      </w:r>
      <w:r>
        <w:rPr>
          <w:rFonts w:hint="eastAsia" w:ascii="宋体" w:hAnsi="宋体" w:eastAsia="宋体" w:cs="宋体"/>
          <w:color w:val="auto"/>
          <w:spacing w:val="0"/>
          <w:kern w:val="0"/>
          <w:position w:val="0"/>
          <w:sz w:val="24"/>
          <w:szCs w:val="24"/>
          <w:highlight w:val="none"/>
          <w:lang w:eastAsia="zh-CN"/>
        </w:rPr>
        <w:t>.3 提出质疑的供应商应当是参与所质疑项目采购活动的供应商。</w:t>
      </w:r>
    </w:p>
    <w:p w14:paraId="5B018C6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lang w:val="en-US" w:eastAsia="zh-CN"/>
        </w:rPr>
        <w:t>31</w:t>
      </w:r>
      <w:r>
        <w:rPr>
          <w:rFonts w:hint="eastAsia" w:ascii="宋体" w:hAnsi="宋体" w:eastAsia="宋体" w:cs="宋体"/>
          <w:color w:val="auto"/>
          <w:spacing w:val="0"/>
          <w:kern w:val="0"/>
          <w:position w:val="0"/>
          <w:sz w:val="24"/>
          <w:szCs w:val="24"/>
          <w:highlight w:val="none"/>
          <w:lang w:eastAsia="zh-CN"/>
        </w:rPr>
        <w:t>.4 潜在</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kern w:val="0"/>
          <w:position w:val="0"/>
          <w:sz w:val="24"/>
          <w:szCs w:val="24"/>
          <w:highlight w:val="none"/>
          <w:lang w:eastAsia="zh-CN"/>
        </w:rPr>
        <w:t>已依法获取其可质疑的</w:t>
      </w:r>
      <w:r>
        <w:rPr>
          <w:rFonts w:hint="eastAsia" w:ascii="宋体" w:hAnsi="宋体" w:eastAsia="宋体" w:cs="宋体"/>
          <w:color w:val="auto"/>
          <w:spacing w:val="0"/>
          <w:kern w:val="0"/>
          <w:position w:val="0"/>
          <w:sz w:val="24"/>
          <w:szCs w:val="24"/>
          <w:highlight w:val="none"/>
          <w:lang w:val="en-US" w:eastAsia="zh-CN"/>
        </w:rPr>
        <w:t>磋商</w:t>
      </w:r>
      <w:r>
        <w:rPr>
          <w:rFonts w:hint="eastAsia" w:ascii="宋体" w:hAnsi="宋体" w:eastAsia="宋体" w:cs="宋体"/>
          <w:color w:val="auto"/>
          <w:spacing w:val="0"/>
          <w:kern w:val="0"/>
          <w:position w:val="0"/>
          <w:sz w:val="24"/>
          <w:szCs w:val="24"/>
          <w:highlight w:val="none"/>
          <w:lang w:eastAsia="zh-CN"/>
        </w:rPr>
        <w:t>通知书的，可以对该文件提出质疑。</w:t>
      </w:r>
    </w:p>
    <w:p w14:paraId="30A7FF0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lang w:val="en-US" w:eastAsia="zh-CN"/>
        </w:rPr>
        <w:t>31</w:t>
      </w:r>
      <w:r>
        <w:rPr>
          <w:rFonts w:hint="eastAsia" w:ascii="宋体" w:hAnsi="宋体" w:eastAsia="宋体" w:cs="宋体"/>
          <w:color w:val="auto"/>
          <w:spacing w:val="0"/>
          <w:kern w:val="0"/>
          <w:position w:val="0"/>
          <w:sz w:val="24"/>
          <w:szCs w:val="24"/>
          <w:highlight w:val="none"/>
          <w:lang w:eastAsia="zh-CN"/>
        </w:rPr>
        <w:t>.5 供应商提出</w:t>
      </w:r>
      <w:r>
        <w:rPr>
          <w:rFonts w:hint="eastAsia" w:ascii="宋体" w:hAnsi="宋体" w:eastAsia="宋体" w:cs="宋体"/>
          <w:color w:val="auto"/>
          <w:spacing w:val="0"/>
          <w:position w:val="0"/>
          <w:sz w:val="24"/>
          <w:szCs w:val="24"/>
          <w:highlight w:val="none"/>
          <w:lang w:eastAsia="zh-CN"/>
        </w:rPr>
        <w:t>质疑</w:t>
      </w:r>
      <w:r>
        <w:rPr>
          <w:rFonts w:hint="eastAsia" w:ascii="宋体" w:hAnsi="宋体" w:eastAsia="宋体" w:cs="宋体"/>
          <w:color w:val="auto"/>
          <w:spacing w:val="0"/>
          <w:kern w:val="0"/>
          <w:position w:val="0"/>
          <w:sz w:val="24"/>
          <w:szCs w:val="24"/>
          <w:highlight w:val="none"/>
          <w:lang w:eastAsia="zh-CN"/>
        </w:rPr>
        <w:t>应当提交质疑函和必要的证明材料。质疑函应当包括下列内容</w:t>
      </w:r>
      <w:r>
        <w:rPr>
          <w:rFonts w:hint="eastAsia" w:ascii="宋体" w:hAnsi="宋体" w:eastAsia="宋体" w:cs="宋体"/>
          <w:b w:val="0"/>
          <w:bCs w:val="0"/>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t>：</w:t>
      </w:r>
    </w:p>
    <w:p w14:paraId="214A6B22">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lang w:eastAsia="zh-CN"/>
        </w:rPr>
        <w:t>（一）供应商的姓名或者名称、地址、邮编、联系人及联系电话；</w:t>
      </w:r>
    </w:p>
    <w:p w14:paraId="410A6F5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lang w:eastAsia="zh-CN"/>
        </w:rPr>
        <w:t>（二）质疑项目的名称、编号；</w:t>
      </w:r>
    </w:p>
    <w:p w14:paraId="6A92559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lang w:eastAsia="zh-CN"/>
        </w:rPr>
        <w:t>（三）具体、</w:t>
      </w:r>
      <w:r>
        <w:rPr>
          <w:rFonts w:hint="eastAsia" w:ascii="宋体" w:hAnsi="宋体" w:eastAsia="宋体" w:cs="宋体"/>
          <w:color w:val="auto"/>
          <w:spacing w:val="0"/>
          <w:position w:val="0"/>
          <w:sz w:val="24"/>
          <w:szCs w:val="24"/>
          <w:highlight w:val="none"/>
          <w:lang w:eastAsia="zh-CN"/>
        </w:rPr>
        <w:t>明确</w:t>
      </w:r>
      <w:r>
        <w:rPr>
          <w:rFonts w:hint="eastAsia" w:ascii="宋体" w:hAnsi="宋体" w:eastAsia="宋体" w:cs="宋体"/>
          <w:color w:val="auto"/>
          <w:spacing w:val="0"/>
          <w:kern w:val="0"/>
          <w:position w:val="0"/>
          <w:sz w:val="24"/>
          <w:szCs w:val="24"/>
          <w:highlight w:val="none"/>
          <w:lang w:eastAsia="zh-CN"/>
        </w:rPr>
        <w:t>的质疑事项和与质疑事项相关的请求；</w:t>
      </w:r>
    </w:p>
    <w:p w14:paraId="29430B2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lang w:eastAsia="zh-CN"/>
        </w:rPr>
        <w:t>（四）事实依据；</w:t>
      </w:r>
    </w:p>
    <w:p w14:paraId="218AC88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lang w:eastAsia="zh-CN"/>
        </w:rPr>
        <w:t>（五）必要的</w:t>
      </w:r>
      <w:r>
        <w:rPr>
          <w:rFonts w:hint="eastAsia" w:ascii="宋体" w:hAnsi="宋体" w:eastAsia="宋体" w:cs="宋体"/>
          <w:color w:val="auto"/>
          <w:spacing w:val="0"/>
          <w:position w:val="0"/>
          <w:sz w:val="24"/>
          <w:szCs w:val="24"/>
          <w:highlight w:val="none"/>
          <w:lang w:eastAsia="zh-CN"/>
        </w:rPr>
        <w:t>法律</w:t>
      </w:r>
      <w:r>
        <w:rPr>
          <w:rFonts w:hint="eastAsia" w:ascii="宋体" w:hAnsi="宋体" w:eastAsia="宋体" w:cs="宋体"/>
          <w:color w:val="auto"/>
          <w:spacing w:val="0"/>
          <w:kern w:val="0"/>
          <w:position w:val="0"/>
          <w:sz w:val="24"/>
          <w:szCs w:val="24"/>
          <w:highlight w:val="none"/>
          <w:lang w:eastAsia="zh-CN"/>
        </w:rPr>
        <w:t>依据；</w:t>
      </w:r>
    </w:p>
    <w:p w14:paraId="0B0F808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lang w:eastAsia="zh-CN"/>
        </w:rPr>
        <w:t>（六）提出</w:t>
      </w:r>
      <w:r>
        <w:rPr>
          <w:rFonts w:hint="eastAsia" w:ascii="宋体" w:hAnsi="宋体" w:eastAsia="宋体" w:cs="宋体"/>
          <w:color w:val="auto"/>
          <w:spacing w:val="0"/>
          <w:position w:val="0"/>
          <w:sz w:val="24"/>
          <w:szCs w:val="24"/>
          <w:highlight w:val="none"/>
          <w:lang w:eastAsia="zh-CN"/>
        </w:rPr>
        <w:t>质疑</w:t>
      </w:r>
      <w:r>
        <w:rPr>
          <w:rFonts w:hint="eastAsia" w:ascii="宋体" w:hAnsi="宋体" w:eastAsia="宋体" w:cs="宋体"/>
          <w:color w:val="auto"/>
          <w:spacing w:val="0"/>
          <w:kern w:val="0"/>
          <w:position w:val="0"/>
          <w:sz w:val="24"/>
          <w:szCs w:val="24"/>
          <w:highlight w:val="none"/>
          <w:lang w:eastAsia="zh-CN"/>
        </w:rPr>
        <w:t>的日期。</w:t>
      </w:r>
    </w:p>
    <w:p w14:paraId="490D7B1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lang w:eastAsia="zh-CN"/>
        </w:rPr>
        <w:t>供应商为自然人的，应当由本人签字；供应商为法人或者其他组织的，应当由法定代表人、主要</w:t>
      </w:r>
      <w:r>
        <w:rPr>
          <w:rFonts w:hint="eastAsia" w:ascii="宋体" w:hAnsi="宋体" w:eastAsia="宋体" w:cs="宋体"/>
          <w:color w:val="auto"/>
          <w:spacing w:val="0"/>
          <w:position w:val="0"/>
          <w:sz w:val="24"/>
          <w:szCs w:val="24"/>
          <w:highlight w:val="none"/>
          <w:lang w:eastAsia="zh-CN"/>
        </w:rPr>
        <w:t>负责人</w:t>
      </w:r>
      <w:r>
        <w:rPr>
          <w:rFonts w:hint="eastAsia" w:ascii="宋体" w:hAnsi="宋体" w:eastAsia="宋体" w:cs="宋体"/>
          <w:color w:val="auto"/>
          <w:spacing w:val="0"/>
          <w:kern w:val="0"/>
          <w:position w:val="0"/>
          <w:sz w:val="24"/>
          <w:szCs w:val="24"/>
          <w:highlight w:val="none"/>
          <w:lang w:eastAsia="zh-CN"/>
        </w:rPr>
        <w:t>，或者其授权代表签字或者盖章，并加盖公章。</w:t>
      </w:r>
      <w:r>
        <w:rPr>
          <w:rFonts w:hint="eastAsia" w:ascii="宋体" w:hAnsi="宋体" w:eastAsia="宋体" w:cs="宋体"/>
          <w:color w:val="auto"/>
          <w:spacing w:val="0"/>
          <w:kern w:val="0"/>
          <w:position w:val="0"/>
          <w:sz w:val="24"/>
          <w:szCs w:val="24"/>
          <w:highlight w:val="none"/>
          <w:lang w:val="en-US" w:eastAsia="zh-CN"/>
        </w:rPr>
        <w:t>并</w:t>
      </w:r>
      <w:r>
        <w:rPr>
          <w:rFonts w:hint="eastAsia" w:ascii="宋体" w:hAnsi="宋体" w:eastAsia="宋体" w:cs="宋体"/>
          <w:color w:val="auto"/>
          <w:spacing w:val="0"/>
          <w:kern w:val="0"/>
          <w:position w:val="0"/>
          <w:sz w:val="24"/>
          <w:szCs w:val="24"/>
          <w:highlight w:val="none"/>
          <w:lang w:eastAsia="zh-CN"/>
        </w:rPr>
        <w:t>同时提供下载</w:t>
      </w:r>
      <w:r>
        <w:rPr>
          <w:rFonts w:hint="eastAsia" w:ascii="宋体" w:hAnsi="宋体" w:eastAsia="宋体" w:cs="宋体"/>
          <w:color w:val="auto"/>
          <w:spacing w:val="0"/>
          <w:kern w:val="0"/>
          <w:position w:val="0"/>
          <w:sz w:val="24"/>
          <w:szCs w:val="24"/>
          <w:highlight w:val="none"/>
          <w:lang w:val="en-US" w:eastAsia="zh-CN"/>
        </w:rPr>
        <w:t>磋商</w:t>
      </w:r>
      <w:r>
        <w:rPr>
          <w:rFonts w:hint="eastAsia" w:ascii="宋体" w:hAnsi="宋体" w:eastAsia="宋体" w:cs="宋体"/>
          <w:color w:val="auto"/>
          <w:spacing w:val="0"/>
          <w:kern w:val="0"/>
          <w:position w:val="0"/>
          <w:sz w:val="24"/>
          <w:szCs w:val="24"/>
          <w:highlight w:val="none"/>
          <w:lang w:eastAsia="zh-CN"/>
        </w:rPr>
        <w:t>通知书的凭证。</w:t>
      </w:r>
    </w:p>
    <w:p w14:paraId="040698CE">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highlight w:val="none"/>
          <w:lang w:eastAsia="zh-CN"/>
        </w:rPr>
      </w:pPr>
      <w:bookmarkStart w:id="182" w:name="_Toc22621"/>
      <w:bookmarkStart w:id="183" w:name="_Toc15478"/>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八</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其他事项</w:t>
      </w:r>
      <w:bookmarkEnd w:id="178"/>
      <w:bookmarkEnd w:id="182"/>
      <w:bookmarkEnd w:id="183"/>
    </w:p>
    <w:p w14:paraId="0E7D1F6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bookmarkStart w:id="184" w:name="_Toc9824"/>
      <w:bookmarkStart w:id="185" w:name="_Toc1893"/>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.采购代理服务费</w:t>
      </w:r>
      <w:bookmarkEnd w:id="184"/>
      <w:bookmarkEnd w:id="185"/>
    </w:p>
    <w:p w14:paraId="09656F9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eastAsia="zh-CN"/>
        </w:rPr>
        <w:t>.1 如为成交供应商支付采购代理服务费，成交供应商在领取成交通知书时须按“供应商须知前附表”规定的收费标准，向采购代理机构缴纳采购代理服务费。</w:t>
      </w:r>
    </w:p>
    <w:p w14:paraId="5309CB3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eastAsia="zh-CN"/>
        </w:rPr>
        <w:t>.2 采购代理服务费采用银行转账、支票、汇票、本票等非现金形式交纳。</w:t>
      </w:r>
    </w:p>
    <w:p w14:paraId="5617489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eastAsia="zh-CN"/>
        </w:rPr>
        <w:t>.3 成交供应商如未按本须知“第 3</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eastAsia="zh-CN"/>
        </w:rPr>
        <w:t>.1 条 ”规定办理，采购代理机构将按本须知“第 1</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 xml:space="preserve">.5 </w:t>
      </w:r>
      <w:bookmarkStart w:id="186" w:name="bookmark52"/>
      <w:bookmarkEnd w:id="186"/>
      <w:r>
        <w:rPr>
          <w:rFonts w:hint="eastAsia" w:ascii="宋体" w:hAnsi="宋体" w:eastAsia="宋体" w:cs="宋体"/>
          <w:color w:val="auto"/>
          <w:spacing w:val="0"/>
          <w:position w:val="0"/>
          <w:sz w:val="24"/>
          <w:szCs w:val="24"/>
          <w:highlight w:val="none"/>
          <w:lang w:eastAsia="zh-CN"/>
        </w:rPr>
        <w:t>条 ”规定不予退还其磋商保证金。</w:t>
      </w:r>
    </w:p>
    <w:p w14:paraId="0FDEE2B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87" w:name="_Toc2898"/>
      <w:bookmarkStart w:id="188" w:name="_Toc3950"/>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32.解释权</w:t>
      </w:r>
      <w:bookmarkEnd w:id="187"/>
      <w:bookmarkEnd w:id="188"/>
    </w:p>
    <w:p w14:paraId="311A4E9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rFonts w:hint="eastAsia" w:ascii="宋体" w:hAnsi="宋体" w:eastAsia="宋体" w:cs="宋体"/>
          <w:color w:val="auto"/>
          <w:spacing w:val="0"/>
          <w:position w:val="0"/>
          <w:highlight w:val="none"/>
          <w:u w:val="single"/>
          <w:lang w:val="en-US" w:eastAsia="zh-CN"/>
        </w:rPr>
        <w:sectPr>
          <w:footerReference r:id="rId5" w:type="default"/>
          <w:pgSz w:w="11906" w:h="16839"/>
          <w:pgMar w:top="1134" w:right="1134" w:bottom="1134" w:left="1134" w:header="0" w:footer="120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Cs/>
          <w:color w:val="auto"/>
          <w:spacing w:val="0"/>
          <w:position w:val="0"/>
          <w:sz w:val="24"/>
          <w:szCs w:val="24"/>
          <w:highlight w:val="none"/>
        </w:rPr>
        <w:t>本</w:t>
      </w:r>
      <w:r>
        <w:rPr>
          <w:rFonts w:hint="eastAsia" w:ascii="宋体" w:hAnsi="宋体" w:eastAsia="宋体" w:cs="宋体"/>
          <w:bCs/>
          <w:color w:val="auto"/>
          <w:spacing w:val="0"/>
          <w:position w:val="0"/>
          <w:sz w:val="24"/>
          <w:szCs w:val="24"/>
          <w:highlight w:val="none"/>
          <w:lang w:eastAsia="zh-CN"/>
        </w:rPr>
        <w:t>磋商文件</w:t>
      </w:r>
      <w:r>
        <w:rPr>
          <w:rFonts w:hint="eastAsia" w:ascii="宋体" w:hAnsi="宋体" w:eastAsia="宋体" w:cs="宋体"/>
          <w:bCs/>
          <w:color w:val="auto"/>
          <w:spacing w:val="0"/>
          <w:position w:val="0"/>
          <w:sz w:val="24"/>
          <w:szCs w:val="24"/>
          <w:highlight w:val="none"/>
        </w:rPr>
        <w:t>是根据国家有关法律、法规以及政府采购管理有关规定编制，</w:t>
      </w:r>
      <w:r>
        <w:rPr>
          <w:rFonts w:hint="eastAsia" w:ascii="宋体" w:hAnsi="宋体" w:eastAsia="宋体" w:cs="宋体"/>
          <w:bCs/>
          <w:color w:val="auto"/>
          <w:spacing w:val="0"/>
          <w:position w:val="0"/>
          <w:sz w:val="24"/>
          <w:szCs w:val="24"/>
          <w:highlight w:val="none"/>
          <w:lang w:eastAsia="zh-CN"/>
        </w:rPr>
        <w:t>磋商文件</w:t>
      </w:r>
      <w:r>
        <w:rPr>
          <w:rFonts w:hint="eastAsia" w:ascii="宋体" w:hAnsi="宋体" w:eastAsia="宋体" w:cs="宋体"/>
          <w:bCs/>
          <w:color w:val="auto"/>
          <w:spacing w:val="0"/>
          <w:position w:val="0"/>
          <w:sz w:val="24"/>
          <w:szCs w:val="24"/>
          <w:highlight w:val="none"/>
        </w:rPr>
        <w:t>的最终解释权</w:t>
      </w:r>
      <w:bookmarkStart w:id="189" w:name="_Hlk99122309"/>
      <w:r>
        <w:rPr>
          <w:rFonts w:hint="eastAsia" w:ascii="宋体" w:hAnsi="宋体" w:eastAsia="宋体" w:cs="宋体"/>
          <w:bCs/>
          <w:color w:val="auto"/>
          <w:spacing w:val="0"/>
          <w:position w:val="0"/>
          <w:sz w:val="24"/>
          <w:szCs w:val="24"/>
          <w:highlight w:val="none"/>
        </w:rPr>
        <w:t>属于采购人、采购代理机构。</w:t>
      </w:r>
      <w:bookmarkEnd w:id="189"/>
    </w:p>
    <w:p w14:paraId="47AB530A">
      <w:pPr>
        <w:pageBreakBefore w:val="0"/>
        <w:widowControl w:val="0"/>
        <w:wordWrap/>
        <w:overflowPunct/>
        <w:topLinePunct w:val="0"/>
        <w:bidi w:val="0"/>
        <w:spacing w:before="63" w:line="224" w:lineRule="auto"/>
        <w:ind w:left="5052" w:leftChars="0" w:hanging="5052" w:hangingChars="1599"/>
        <w:jc w:val="center"/>
        <w:outlineLvl w:val="0"/>
        <w:rPr>
          <w:rFonts w:hint="eastAsia" w:ascii="宋体" w:hAnsi="宋体" w:eastAsia="宋体" w:cs="宋体"/>
          <w:color w:val="auto"/>
          <w:spacing w:val="8"/>
          <w:sz w:val="30"/>
          <w:szCs w:val="30"/>
          <w:highlight w:val="none"/>
          <w:lang w:val="en-US" w:eastAsia="zh-CN"/>
          <w14:textOutline w14:w="5791" w14:cap="sq" w14:cmpd="sng" w14:algn="ctr">
            <w14:solidFill>
              <w14:srgbClr w14:val="000000"/>
            </w14:solidFill>
            <w14:prstDash w14:val="solid"/>
            <w14:bevel/>
          </w14:textOutline>
        </w:rPr>
      </w:pPr>
      <w:bookmarkStart w:id="190" w:name="bookmark53"/>
      <w:bookmarkEnd w:id="190"/>
      <w:bookmarkStart w:id="191" w:name="bookmark51"/>
      <w:bookmarkEnd w:id="191"/>
      <w:bookmarkStart w:id="192" w:name="_Toc6405"/>
      <w:r>
        <w:rPr>
          <w:rFonts w:hint="eastAsia" w:ascii="宋体" w:hAnsi="宋体" w:eastAsia="宋体" w:cs="宋体"/>
          <w:color w:val="auto"/>
          <w:spacing w:val="8"/>
          <w:sz w:val="30"/>
          <w:szCs w:val="30"/>
          <w:highlight w:val="none"/>
          <w:lang w:val="en-US" w:eastAsia="zh-CN"/>
          <w14:textOutline w14:w="5791" w14:cap="sq" w14:cmpd="sng" w14:algn="ctr">
            <w14:solidFill>
              <w14:srgbClr w14:val="000000"/>
            </w14:solidFill>
            <w14:prstDash w14:val="solid"/>
            <w14:bevel/>
          </w14:textOutline>
        </w:rPr>
        <w:t>第三章</w:t>
      </w:r>
      <w:r>
        <w:rPr>
          <w:rFonts w:hint="eastAsia" w:ascii="宋体" w:hAnsi="宋体" w:eastAsia="宋体" w:cs="宋体"/>
          <w:color w:val="auto"/>
          <w:spacing w:val="8"/>
          <w:sz w:val="30"/>
          <w:szCs w:val="30"/>
          <w:highlight w:val="none"/>
        </w:rPr>
        <w:t xml:space="preserve">  </w:t>
      </w:r>
      <w:r>
        <w:rPr>
          <w:rFonts w:hint="eastAsia" w:ascii="宋体" w:hAnsi="宋体" w:eastAsia="宋体" w:cs="宋体"/>
          <w:color w:val="auto"/>
          <w:spacing w:val="8"/>
          <w:sz w:val="30"/>
          <w:szCs w:val="30"/>
          <w:highlight w:val="none"/>
          <w:lang w:val="en-US" w:eastAsia="zh-CN"/>
          <w14:textOutline w14:w="5791" w14:cap="sq" w14:cmpd="sng" w14:algn="ctr">
            <w14:solidFill>
              <w14:srgbClr w14:val="000000"/>
            </w14:solidFill>
            <w14:prstDash w14:val="solid"/>
            <w14:bevel/>
          </w14:textOutline>
        </w:rPr>
        <w:t>拟签订的合同文本（参考格式）</w:t>
      </w:r>
      <w:bookmarkEnd w:id="192"/>
    </w:p>
    <w:p w14:paraId="41EF3526">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采购合同编号：</w:t>
      </w:r>
    </w:p>
    <w:p w14:paraId="413D319B">
      <w:pPr>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 xml:space="preserve">甲方（采购单位）：  </w:t>
      </w:r>
    </w:p>
    <w:p w14:paraId="3FEDC276">
      <w:pPr>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乙方（供应商）：</w:t>
      </w:r>
    </w:p>
    <w:p w14:paraId="714BEF8D">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w:t>
      </w: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和有关法律法规，遵循平等、自愿、公平和诚实信用原则，同意按照下面的条款和条件订立本采购合同，共同信守。</w:t>
      </w:r>
    </w:p>
    <w:p w14:paraId="3B06E2C5">
      <w:pPr>
        <w:adjustRightInd w:val="0"/>
        <w:snapToGrid w:val="0"/>
        <w:spacing w:line="360" w:lineRule="auto"/>
        <w:ind w:firstLine="482" w:firstLineChars="200"/>
        <w:jc w:val="both"/>
        <w:outlineLvl w:val="1"/>
        <w:rPr>
          <w:rFonts w:hint="eastAsia" w:ascii="宋体" w:hAnsi="宋体" w:eastAsia="宋体" w:cs="宋体"/>
          <w:b/>
          <w:color w:val="auto"/>
          <w:sz w:val="24"/>
          <w:szCs w:val="24"/>
          <w:highlight w:val="none"/>
        </w:rPr>
      </w:pPr>
      <w:bookmarkStart w:id="193" w:name="_Toc8162"/>
      <w:bookmarkStart w:id="194" w:name="_Toc13230_WPSOffice_Level2"/>
      <w:bookmarkStart w:id="195" w:name="_Toc4232"/>
      <w:bookmarkStart w:id="196" w:name="_Toc15212"/>
      <w:r>
        <w:rPr>
          <w:rFonts w:hint="eastAsia" w:ascii="宋体" w:hAnsi="宋体" w:eastAsia="宋体" w:cs="宋体"/>
          <w:b/>
          <w:color w:val="auto"/>
          <w:sz w:val="24"/>
          <w:szCs w:val="24"/>
          <w:highlight w:val="none"/>
        </w:rPr>
        <w:t>一、采购合同文件</w:t>
      </w:r>
      <w:bookmarkEnd w:id="193"/>
      <w:bookmarkEnd w:id="194"/>
      <w:bookmarkEnd w:id="195"/>
      <w:bookmarkEnd w:id="196"/>
    </w:p>
    <w:p w14:paraId="211EC8F7">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本采购合同所附下列文件是构成本采购合同不可分割的部分：</w:t>
      </w:r>
    </w:p>
    <w:p w14:paraId="16C69630">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2ECB2358">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文件的更正公告、变更公告；</w:t>
      </w:r>
    </w:p>
    <w:p w14:paraId="247D1644">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5628018A">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4.采购合同条款；</w:t>
      </w:r>
    </w:p>
    <w:p w14:paraId="6D674F5F">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14:paraId="65A95F06">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6.采购合同的其它附件。</w:t>
      </w:r>
    </w:p>
    <w:p w14:paraId="6C97C549">
      <w:pPr>
        <w:adjustRightInd w:val="0"/>
        <w:snapToGrid w:val="0"/>
        <w:spacing w:line="360" w:lineRule="auto"/>
        <w:ind w:firstLine="482" w:firstLineChars="200"/>
        <w:jc w:val="both"/>
        <w:outlineLvl w:val="1"/>
        <w:rPr>
          <w:rFonts w:hint="eastAsia" w:ascii="宋体" w:hAnsi="宋体" w:eastAsia="宋体" w:cs="宋体"/>
          <w:b/>
          <w:color w:val="auto"/>
          <w:sz w:val="24"/>
          <w:szCs w:val="24"/>
          <w:highlight w:val="none"/>
        </w:rPr>
      </w:pPr>
      <w:bookmarkStart w:id="197" w:name="_Toc7241"/>
      <w:bookmarkStart w:id="198" w:name="_Toc17252"/>
      <w:bookmarkStart w:id="199" w:name="_Toc19527_WPSOffice_Level2"/>
      <w:bookmarkStart w:id="200" w:name="_Toc30154"/>
      <w:r>
        <w:rPr>
          <w:rFonts w:hint="eastAsia" w:ascii="宋体" w:hAnsi="宋体" w:eastAsia="宋体" w:cs="宋体"/>
          <w:b/>
          <w:color w:val="auto"/>
          <w:sz w:val="24"/>
          <w:szCs w:val="24"/>
          <w:highlight w:val="none"/>
        </w:rPr>
        <w:t>二、采购合同范围和条件</w:t>
      </w:r>
      <w:bookmarkEnd w:id="197"/>
      <w:bookmarkEnd w:id="198"/>
      <w:bookmarkEnd w:id="199"/>
      <w:bookmarkEnd w:id="200"/>
    </w:p>
    <w:p w14:paraId="5C307671">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本采购合同的范围和条件与上述采购合同文件的规定相一致。</w:t>
      </w:r>
    </w:p>
    <w:p w14:paraId="1544DDE9">
      <w:pPr>
        <w:adjustRightInd w:val="0"/>
        <w:snapToGrid w:val="0"/>
        <w:spacing w:line="360" w:lineRule="auto"/>
        <w:ind w:firstLine="482" w:firstLineChars="200"/>
        <w:jc w:val="both"/>
        <w:outlineLvl w:val="1"/>
        <w:rPr>
          <w:rFonts w:hint="eastAsia" w:ascii="宋体" w:hAnsi="宋体" w:eastAsia="宋体" w:cs="宋体"/>
          <w:b/>
          <w:color w:val="auto"/>
          <w:sz w:val="24"/>
          <w:szCs w:val="24"/>
          <w:highlight w:val="none"/>
        </w:rPr>
      </w:pPr>
      <w:bookmarkStart w:id="201" w:name="_Toc2223"/>
      <w:bookmarkStart w:id="202" w:name="_Toc25031"/>
      <w:bookmarkStart w:id="203" w:name="_Toc18306"/>
      <w:bookmarkStart w:id="204" w:name="_Toc18050_WPSOffice_Level2"/>
      <w:r>
        <w:rPr>
          <w:rFonts w:hint="eastAsia" w:ascii="宋体" w:hAnsi="宋体" w:eastAsia="宋体" w:cs="宋体"/>
          <w:b/>
          <w:color w:val="auto"/>
          <w:sz w:val="24"/>
          <w:szCs w:val="24"/>
          <w:highlight w:val="none"/>
        </w:rPr>
        <w:t>三、采购合同标的</w:t>
      </w:r>
      <w:bookmarkEnd w:id="201"/>
      <w:bookmarkEnd w:id="202"/>
      <w:bookmarkEnd w:id="203"/>
      <w:bookmarkEnd w:id="204"/>
    </w:p>
    <w:p w14:paraId="7B5ED5C1">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本采购合同的标的和数量为采购合同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清单(同</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分项价</w:t>
      </w:r>
      <w:r>
        <w:rPr>
          <w:rFonts w:hint="eastAsia" w:ascii="宋体" w:hAnsi="宋体" w:eastAsia="宋体" w:cs="宋体"/>
          <w:color w:val="auto"/>
          <w:sz w:val="24"/>
          <w:szCs w:val="24"/>
          <w:highlight w:val="none"/>
        </w:rPr>
        <w:t>格明细表)中所列服务。</w:t>
      </w:r>
    </w:p>
    <w:p w14:paraId="10AF83A3">
      <w:pPr>
        <w:adjustRightInd w:val="0"/>
        <w:snapToGrid w:val="0"/>
        <w:spacing w:line="360" w:lineRule="auto"/>
        <w:ind w:firstLine="482" w:firstLineChars="200"/>
        <w:jc w:val="both"/>
        <w:outlineLvl w:val="1"/>
        <w:rPr>
          <w:rFonts w:hint="eastAsia" w:ascii="宋体" w:hAnsi="宋体" w:eastAsia="宋体" w:cs="宋体"/>
          <w:b/>
          <w:color w:val="auto"/>
          <w:sz w:val="24"/>
          <w:szCs w:val="24"/>
          <w:highlight w:val="none"/>
        </w:rPr>
      </w:pPr>
      <w:bookmarkStart w:id="205" w:name="_Toc27241"/>
      <w:bookmarkStart w:id="206" w:name="_Toc11634"/>
      <w:bookmarkStart w:id="207" w:name="_Toc13884"/>
      <w:bookmarkStart w:id="208" w:name="_Toc27886_WPSOffice_Level2"/>
      <w:r>
        <w:rPr>
          <w:rFonts w:hint="eastAsia" w:ascii="宋体" w:hAnsi="宋体" w:eastAsia="宋体" w:cs="宋体"/>
          <w:b/>
          <w:color w:val="auto"/>
          <w:sz w:val="24"/>
          <w:szCs w:val="24"/>
          <w:highlight w:val="none"/>
        </w:rPr>
        <w:t>四、采购合同金额</w:t>
      </w:r>
      <w:bookmarkEnd w:id="205"/>
      <w:bookmarkEnd w:id="206"/>
      <w:bookmarkEnd w:id="207"/>
      <w:bookmarkEnd w:id="208"/>
    </w:p>
    <w:p w14:paraId="76C13A52">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根据上述采购合同文件要求，采购合同的总金额为人民币（大写）：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，即RMB________。该合同总价是发生的所有含税费用。本合同执行期间合同总价不变。</w:t>
      </w:r>
    </w:p>
    <w:p w14:paraId="61F40AE6">
      <w:pPr>
        <w:adjustRightInd w:val="0"/>
        <w:snapToGrid w:val="0"/>
        <w:spacing w:line="360" w:lineRule="auto"/>
        <w:ind w:firstLine="482" w:firstLineChars="200"/>
        <w:jc w:val="both"/>
        <w:outlineLvl w:val="1"/>
        <w:rPr>
          <w:rFonts w:hint="eastAsia" w:ascii="宋体" w:hAnsi="宋体" w:eastAsia="宋体" w:cs="宋体"/>
          <w:b/>
          <w:color w:val="auto"/>
          <w:sz w:val="24"/>
          <w:szCs w:val="24"/>
          <w:highlight w:val="none"/>
        </w:rPr>
      </w:pPr>
      <w:bookmarkStart w:id="209" w:name="_Toc16992"/>
      <w:bookmarkStart w:id="210" w:name="_Toc29313"/>
      <w:bookmarkStart w:id="211" w:name="_Toc22211_WPSOffice_Level2"/>
      <w:bookmarkStart w:id="212" w:name="_Toc30344"/>
      <w:r>
        <w:rPr>
          <w:rFonts w:hint="eastAsia" w:ascii="宋体" w:hAnsi="宋体" w:eastAsia="宋体" w:cs="宋体"/>
          <w:b/>
          <w:color w:val="auto"/>
          <w:sz w:val="24"/>
          <w:szCs w:val="24"/>
          <w:highlight w:val="none"/>
        </w:rPr>
        <w:t>五、付款方式及条件</w:t>
      </w:r>
      <w:bookmarkEnd w:id="209"/>
      <w:bookmarkEnd w:id="210"/>
      <w:bookmarkEnd w:id="211"/>
      <w:bookmarkEnd w:id="212"/>
    </w:p>
    <w:p w14:paraId="2126FB1C">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447262E5">
      <w:pPr>
        <w:adjustRightInd w:val="0"/>
        <w:snapToGrid w:val="0"/>
        <w:spacing w:line="360" w:lineRule="auto"/>
        <w:ind w:firstLine="480" w:firstLineChars="200"/>
        <w:jc w:val="both"/>
        <w:rPr>
          <w:rFonts w:hint="eastAsia" w:ascii="宋体" w:hAnsi="宋体" w:eastAsia="宋体" w:cs="宋体"/>
          <w:color w:val="auto"/>
          <w:sz w:val="24"/>
          <w:szCs w:val="24"/>
          <w:highlight w:val="none"/>
          <w:u w:val="single"/>
          <w:lang w:val="en-US" w:eastAsia="zh-CN"/>
        </w:rPr>
      </w:pPr>
      <w:bookmarkStart w:id="213" w:name="_Toc17942"/>
      <w:bookmarkStart w:id="214" w:name="_Toc22396"/>
      <w:r>
        <w:rPr>
          <w:rFonts w:hint="eastAsia" w:ascii="宋体" w:hAnsi="宋体" w:eastAsia="宋体" w:cs="宋体"/>
          <w:color w:val="auto"/>
          <w:sz w:val="24"/>
          <w:szCs w:val="24"/>
          <w:highlight w:val="none"/>
        </w:rPr>
        <w:t>2.付款方式：</w:t>
      </w:r>
      <w:bookmarkEnd w:id="213"/>
      <w:bookmarkEnd w:id="214"/>
      <w:r>
        <w:rPr>
          <w:rFonts w:hint="eastAsia" w:ascii="宋体" w:hAnsi="宋体" w:eastAsia="宋体" w:cs="宋体"/>
          <w:color w:val="auto"/>
          <w:sz w:val="24"/>
          <w:szCs w:val="24"/>
          <w:highlight w:val="none"/>
          <w:u w:val="single"/>
          <w:lang w:val="en-US" w:eastAsia="zh-CN"/>
        </w:rPr>
        <w:t xml:space="preserve">                    </w:t>
      </w:r>
    </w:p>
    <w:p w14:paraId="7E8D1B03">
      <w:pPr>
        <w:adjustRightInd w:val="0"/>
        <w:snapToGrid w:val="0"/>
        <w:spacing w:line="360" w:lineRule="auto"/>
        <w:ind w:firstLine="480" w:firstLineChars="200"/>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3.付款条件：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6C774922">
      <w:pPr>
        <w:adjustRightInd w:val="0"/>
        <w:snapToGrid w:val="0"/>
        <w:spacing w:line="360" w:lineRule="auto"/>
        <w:ind w:firstLine="482" w:firstLineChars="200"/>
        <w:jc w:val="both"/>
        <w:outlineLvl w:val="1"/>
        <w:rPr>
          <w:rFonts w:hint="eastAsia" w:ascii="宋体" w:hAnsi="宋体" w:eastAsia="宋体" w:cs="宋体"/>
          <w:color w:val="auto"/>
          <w:sz w:val="24"/>
          <w:szCs w:val="24"/>
          <w:highlight w:val="none"/>
          <w:lang w:val="en-US" w:eastAsia="zh-CN"/>
        </w:rPr>
      </w:pPr>
      <w:bookmarkStart w:id="215" w:name="_Toc27813_WPSOffice_Level2"/>
      <w:bookmarkStart w:id="216" w:name="_Toc18204"/>
      <w:bookmarkStart w:id="217" w:name="_Toc19748"/>
      <w:bookmarkStart w:id="218" w:name="_Toc9256"/>
      <w:r>
        <w:rPr>
          <w:rFonts w:hint="eastAsia" w:ascii="宋体" w:hAnsi="宋体" w:eastAsia="宋体" w:cs="宋体"/>
          <w:b/>
          <w:color w:val="auto"/>
          <w:sz w:val="24"/>
          <w:szCs w:val="24"/>
          <w:highlight w:val="none"/>
        </w:rPr>
        <w:t>六、</w:t>
      </w:r>
      <w:bookmarkEnd w:id="215"/>
      <w:r>
        <w:rPr>
          <w:rFonts w:hint="eastAsia" w:ascii="宋体" w:hAnsi="宋体" w:eastAsia="宋体" w:cs="宋体"/>
          <w:b/>
          <w:color w:val="auto"/>
          <w:sz w:val="24"/>
          <w:szCs w:val="24"/>
          <w:highlight w:val="none"/>
          <w:lang w:val="en-US" w:eastAsia="zh-CN"/>
        </w:rPr>
        <w:t>服务时间和服务地点</w:t>
      </w:r>
      <w:bookmarkEnd w:id="216"/>
      <w:bookmarkEnd w:id="217"/>
      <w:bookmarkEnd w:id="218"/>
    </w:p>
    <w:p w14:paraId="25CB0121">
      <w:pPr>
        <w:adjustRightInd w:val="0"/>
        <w:snapToGrid w:val="0"/>
        <w:spacing w:line="360" w:lineRule="auto"/>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 xml:space="preserve">                    </w:t>
      </w:r>
    </w:p>
    <w:p w14:paraId="352D0471">
      <w:pPr>
        <w:adjustRightInd w:val="0"/>
        <w:snapToGrid w:val="0"/>
        <w:spacing w:line="360" w:lineRule="auto"/>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lang w:val="en-US" w:eastAsia="zh-CN"/>
        </w:rPr>
        <w:t xml:space="preserve">                    </w:t>
      </w:r>
    </w:p>
    <w:p w14:paraId="223A2764">
      <w:pPr>
        <w:adjustRightInd w:val="0"/>
        <w:snapToGrid w:val="0"/>
        <w:spacing w:line="360" w:lineRule="auto"/>
        <w:ind w:firstLine="482" w:firstLineChars="200"/>
        <w:jc w:val="both"/>
        <w:outlineLvl w:val="1"/>
        <w:rPr>
          <w:rFonts w:hint="eastAsia" w:ascii="宋体" w:hAnsi="宋体" w:eastAsia="宋体" w:cs="宋体"/>
          <w:b/>
          <w:color w:val="auto"/>
          <w:sz w:val="24"/>
          <w:szCs w:val="24"/>
          <w:highlight w:val="none"/>
        </w:rPr>
      </w:pPr>
      <w:bookmarkStart w:id="219" w:name="_Toc14033"/>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售后服务</w:t>
      </w:r>
      <w:bookmarkEnd w:id="219"/>
    </w:p>
    <w:p w14:paraId="15E8DAEB">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bookmarkStart w:id="220" w:name="_Toc12497_WPSOffice_Level2"/>
    </w:p>
    <w:p w14:paraId="4ACFE5DC">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、验收要求</w:t>
      </w:r>
      <w:bookmarkEnd w:id="220"/>
    </w:p>
    <w:p w14:paraId="008092AC">
      <w:pPr>
        <w:adjustRightInd w:val="0"/>
        <w:snapToGrid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val="en-US" w:eastAsia="zh-CN"/>
        </w:rPr>
        <w:t xml:space="preserve">                                     </w:t>
      </w:r>
    </w:p>
    <w:p w14:paraId="1D8AD4CB">
      <w:pPr>
        <w:adjustRightInd w:val="0"/>
        <w:snapToGrid w:val="0"/>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完全履行合同义务后，</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的最终用户按照政府采购合同文件列明的标准进行验收，验收不合格的，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需按照约定承担相应违约责任。</w:t>
      </w:r>
    </w:p>
    <w:p w14:paraId="1162C4C6">
      <w:pPr>
        <w:adjustRightInd w:val="0"/>
        <w:snapToGrid w:val="0"/>
        <w:spacing w:line="360" w:lineRule="auto"/>
        <w:ind w:firstLine="482" w:firstLineChars="200"/>
        <w:jc w:val="both"/>
        <w:outlineLvl w:val="1"/>
        <w:rPr>
          <w:rFonts w:hint="eastAsia" w:ascii="宋体" w:hAnsi="宋体" w:eastAsia="宋体" w:cs="宋体"/>
          <w:b/>
          <w:color w:val="auto"/>
          <w:sz w:val="24"/>
          <w:szCs w:val="24"/>
          <w:highlight w:val="none"/>
        </w:rPr>
      </w:pPr>
      <w:bookmarkStart w:id="221" w:name="_Toc31793"/>
      <w:bookmarkStart w:id="222" w:name="_Toc6327"/>
      <w:bookmarkStart w:id="223" w:name="_Toc4868_WPSOffice_Level2"/>
      <w:bookmarkStart w:id="224" w:name="_Toc22030"/>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、违约责任</w:t>
      </w:r>
      <w:bookmarkEnd w:id="221"/>
      <w:bookmarkEnd w:id="222"/>
      <w:bookmarkEnd w:id="223"/>
      <w:bookmarkEnd w:id="224"/>
    </w:p>
    <w:p w14:paraId="19A8CDEB">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1.甲方无正当理由拒付</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款的，由甲方向乙方偿付合同总价的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w:t>
      </w:r>
    </w:p>
    <w:p w14:paraId="462318DC">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2.甲方应在合同规定时间内向乙方支付</w:t>
      </w:r>
      <w:r>
        <w:rPr>
          <w:rFonts w:hint="eastAsia" w:ascii="宋体" w:hAnsi="宋体" w:eastAsia="宋体" w:cs="宋体"/>
          <w:color w:val="auto"/>
          <w:sz w:val="24"/>
          <w:szCs w:val="24"/>
          <w:highlight w:val="none"/>
          <w:lang w:val="en-US" w:eastAsia="zh-CN"/>
        </w:rPr>
        <w:t>合同价</w:t>
      </w:r>
      <w:r>
        <w:rPr>
          <w:rFonts w:hint="eastAsia" w:ascii="宋体" w:hAnsi="宋体" w:eastAsia="宋体" w:cs="宋体"/>
          <w:color w:val="auto"/>
          <w:sz w:val="24"/>
          <w:szCs w:val="24"/>
          <w:highlight w:val="none"/>
        </w:rPr>
        <w:t>款，每逾期</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天甲方向乙方偿付欠款总额的</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滞纳金，累计滞纳金总额不超过欠款总额的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96BC954">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逾期</w:t>
      </w:r>
      <w:r>
        <w:rPr>
          <w:rFonts w:hint="eastAsia" w:ascii="宋体" w:hAnsi="宋体" w:eastAsia="宋体" w:cs="宋体"/>
          <w:color w:val="auto"/>
          <w:sz w:val="24"/>
          <w:szCs w:val="24"/>
          <w:highlight w:val="none"/>
          <w:lang w:val="en-US" w:eastAsia="zh-CN"/>
        </w:rPr>
        <w:t>提供服务</w:t>
      </w:r>
      <w:r>
        <w:rPr>
          <w:rFonts w:hint="eastAsia" w:ascii="宋体" w:hAnsi="宋体" w:eastAsia="宋体" w:cs="宋体"/>
          <w:color w:val="auto"/>
          <w:sz w:val="24"/>
          <w:szCs w:val="24"/>
          <w:highlight w:val="none"/>
        </w:rPr>
        <w:t>的，每逾期一天向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支付逾期</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%的违约金，逾期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日的，</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有权单方面解除本协议。</w:t>
      </w:r>
    </w:p>
    <w:p w14:paraId="6678D55F">
      <w:pPr>
        <w:adjustRightInd w:val="0"/>
        <w:snapToGrid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如乙方未能履行合同规定的其它义务，乙方在收到甲方发出的违约通知后30天内，或经甲方书面认可延长的时间内未能纠正其过失。甲方可向乙方发出书面通知，终止部分或全部合同。在这种情况下，并不影响甲方向乙方提出的索赔。</w:t>
      </w:r>
    </w:p>
    <w:p w14:paraId="2E9041A1">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逾期付款的，每逾期一天向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支付逾期金额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%的违约金，逾期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有权单方面解除本协议。</w:t>
      </w:r>
    </w:p>
    <w:p w14:paraId="7C6714C9">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bookmarkStart w:id="225" w:name="_Toc24496_WPSOffice_Level2"/>
      <w:bookmarkStart w:id="226" w:name="_Toc21517"/>
      <w:bookmarkStart w:id="227" w:name="_Toc3553"/>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、争议解决</w:t>
      </w:r>
      <w:bookmarkEnd w:id="225"/>
      <w:bookmarkEnd w:id="226"/>
      <w:bookmarkEnd w:id="227"/>
    </w:p>
    <w:p w14:paraId="07AFCF8F">
      <w:pPr>
        <w:adjustRightInd w:val="0"/>
        <w:snapToGrid w:val="0"/>
        <w:spacing w:line="360" w:lineRule="auto"/>
        <w:ind w:firstLine="480" w:firstLineChars="200"/>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双方因履行本协议而产生的争议，应友好协商解决，如果协商或调解不能解决争议，则提请仲裁委员会按照其仲裁规则进行仲裁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任何一方可向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所在地的人民法院提起诉讼。</w:t>
      </w:r>
    </w:p>
    <w:p w14:paraId="7719F23D">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bookmarkStart w:id="228" w:name="_Toc18566"/>
      <w:bookmarkStart w:id="229" w:name="_Toc19999"/>
      <w:bookmarkStart w:id="230" w:name="_Toc24974_WPSOffice_Level2"/>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w:t>
      </w:r>
      <w:r>
        <w:rPr>
          <w:rFonts w:hint="eastAsia" w:ascii="宋体" w:hAnsi="宋体" w:eastAsia="宋体" w:cs="宋体"/>
          <w:b/>
          <w:color w:val="auto"/>
          <w:sz w:val="24"/>
          <w:szCs w:val="24"/>
          <w:highlight w:val="none"/>
        </w:rPr>
        <w:t>生效</w:t>
      </w:r>
      <w:bookmarkEnd w:id="228"/>
      <w:bookmarkEnd w:id="229"/>
      <w:bookmarkEnd w:id="230"/>
    </w:p>
    <w:p w14:paraId="098ADC4B">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本采购合同经双方授权代表签字盖章后生效。</w:t>
      </w:r>
    </w:p>
    <w:p w14:paraId="60AD0BFC">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 xml:space="preserve">（公章）: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(公章):</w:t>
      </w:r>
    </w:p>
    <w:p w14:paraId="1D4363BC">
      <w:pPr>
        <w:adjustRightInd w:val="0"/>
        <w:snapToGrid w:val="0"/>
        <w:spacing w:line="360" w:lineRule="auto"/>
        <w:ind w:left="6719" w:leftChars="228" w:hanging="6240" w:hangingChars="26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法定代表人或授权代表人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法定代表人或授权代表人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或自然人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04D0A7CE">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w:t>
      </w:r>
    </w:p>
    <w:p w14:paraId="50CCD388">
      <w:pPr>
        <w:adjustRightInd w:val="0"/>
        <w:snapToGrid w:val="0"/>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地址：</w:t>
      </w:r>
    </w:p>
    <w:p w14:paraId="65624639">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联系人：</w:t>
      </w:r>
    </w:p>
    <w:p w14:paraId="7188F841">
      <w:pPr>
        <w:adjustRightInd w:val="0"/>
        <w:snapToGrid w:val="0"/>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电话：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14:paraId="6A54BE34">
      <w:pPr>
        <w:adjustRightInd w:val="0"/>
        <w:snapToGrid w:val="0"/>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传真：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传真：</w:t>
      </w:r>
    </w:p>
    <w:p w14:paraId="5C569F94">
      <w:pPr>
        <w:pStyle w:val="8"/>
        <w:keepNext w:val="0"/>
        <w:keepLines w:val="0"/>
        <w:pageBreakBefore w:val="0"/>
        <w:kinsoku w:val="0"/>
        <w:wordWrap/>
        <w:overflowPunct/>
        <w:topLinePunct w:val="0"/>
        <w:autoSpaceDE w:val="0"/>
        <w:autoSpaceDN w:val="0"/>
        <w:bidi w:val="0"/>
        <w:adjustRightInd w:val="0"/>
        <w:snapToGrid w:val="0"/>
        <w:spacing w:line="360" w:lineRule="auto"/>
        <w:ind w:left="0" w:leftChars="0" w:right="344" w:rightChars="164"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14:paraId="3D53A119">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lang w:eastAsia="zh-CN"/>
        </w:rPr>
      </w:pPr>
    </w:p>
    <w:p w14:paraId="2206568D">
      <w:pPr>
        <w:pageBreakBefore w:val="0"/>
        <w:widowControl w:val="0"/>
        <w:wordWrap/>
        <w:overflowPunct/>
        <w:topLinePunct w:val="0"/>
        <w:bidi w:val="0"/>
        <w:spacing w:before="63" w:line="224" w:lineRule="auto"/>
        <w:ind w:left="5052" w:leftChars="0" w:hanging="5052" w:hangingChars="1599"/>
        <w:jc w:val="center"/>
        <w:outlineLvl w:val="0"/>
        <w:rPr>
          <w:rFonts w:hint="eastAsia" w:ascii="宋体" w:hAnsi="宋体" w:eastAsia="宋体" w:cs="宋体"/>
          <w:color w:val="auto"/>
          <w:sz w:val="31"/>
          <w:szCs w:val="31"/>
          <w:highlight w:val="none"/>
          <w:lang w:eastAsia="zh-CN"/>
        </w:rPr>
      </w:pPr>
      <w:bookmarkStart w:id="231" w:name="_Toc13560"/>
      <w:r>
        <w:rPr>
          <w:rFonts w:hint="eastAsia" w:ascii="宋体" w:hAnsi="宋体" w:eastAsia="宋体" w:cs="宋体"/>
          <w:color w:val="auto"/>
          <w:spacing w:val="8"/>
          <w:sz w:val="30"/>
          <w:szCs w:val="30"/>
          <w:highlight w:val="none"/>
          <w:lang w:val="en-US" w:eastAsia="zh-CN"/>
          <w14:textOutline w14:w="5791" w14:cap="sq" w14:cmpd="sng" w14:algn="ctr">
            <w14:solidFill>
              <w14:srgbClr w14:val="000000"/>
            </w14:solidFill>
            <w14:prstDash w14:val="solid"/>
            <w14:bevel/>
          </w14:textOutline>
        </w:rPr>
        <w:t>第四章</w:t>
      </w:r>
      <w:r>
        <w:rPr>
          <w:rFonts w:hint="eastAsia" w:ascii="宋体" w:hAnsi="宋体" w:eastAsia="宋体" w:cs="宋体"/>
          <w:color w:val="auto"/>
          <w:spacing w:val="8"/>
          <w:sz w:val="30"/>
          <w:szCs w:val="30"/>
          <w:highlight w:val="none"/>
        </w:rPr>
        <w:t xml:space="preserve">  </w:t>
      </w:r>
      <w:r>
        <w:rPr>
          <w:rFonts w:hint="eastAsia" w:ascii="宋体" w:hAnsi="宋体" w:eastAsia="宋体" w:cs="宋体"/>
          <w:color w:val="auto"/>
          <w:spacing w:val="8"/>
          <w:sz w:val="30"/>
          <w:szCs w:val="30"/>
          <w:highlight w:val="none"/>
          <w:lang w:val="en-US" w:eastAsia="zh-CN"/>
          <w14:textOutline w14:w="5791" w14:cap="sq" w14:cmpd="sng" w14:algn="ctr">
            <w14:solidFill>
              <w14:srgbClr w14:val="000000"/>
            </w14:solidFill>
            <w14:prstDash w14:val="solid"/>
            <w14:bevel/>
          </w14:textOutline>
        </w:rPr>
        <w:t>响应文件格式</w:t>
      </w:r>
      <w:bookmarkEnd w:id="231"/>
    </w:p>
    <w:p w14:paraId="6DAD655C">
      <w:pPr>
        <w:pageBreakBefore w:val="0"/>
        <w:widowControl w:val="0"/>
        <w:wordWrap/>
        <w:overflowPunct/>
        <w:topLinePunct w:val="0"/>
        <w:bidi w:val="0"/>
        <w:spacing w:line="269" w:lineRule="auto"/>
        <w:jc w:val="center"/>
        <w:rPr>
          <w:rFonts w:hint="eastAsia" w:ascii="宋体" w:hAnsi="宋体" w:eastAsia="宋体" w:cs="宋体"/>
          <w:color w:val="auto"/>
          <w:highlight w:val="none"/>
          <w:lang w:eastAsia="zh-CN"/>
        </w:rPr>
      </w:pPr>
    </w:p>
    <w:p w14:paraId="1099D926">
      <w:pPr>
        <w:pageBreakBefore w:val="0"/>
        <w:widowControl w:val="0"/>
        <w:wordWrap/>
        <w:overflowPunct/>
        <w:topLinePunct w:val="0"/>
        <w:bidi w:val="0"/>
        <w:spacing w:line="269" w:lineRule="auto"/>
        <w:jc w:val="center"/>
        <w:rPr>
          <w:rFonts w:hint="eastAsia" w:ascii="宋体" w:hAnsi="宋体" w:eastAsia="宋体" w:cs="宋体"/>
          <w:color w:val="auto"/>
          <w:highlight w:val="none"/>
          <w:lang w:eastAsia="zh-CN"/>
        </w:rPr>
      </w:pPr>
    </w:p>
    <w:p w14:paraId="70CADC04">
      <w:pPr>
        <w:pageBreakBefore w:val="0"/>
        <w:widowControl w:val="0"/>
        <w:wordWrap/>
        <w:overflowPunct/>
        <w:topLinePunct w:val="0"/>
        <w:bidi w:val="0"/>
        <w:spacing w:line="269" w:lineRule="auto"/>
        <w:jc w:val="center"/>
        <w:rPr>
          <w:rFonts w:hint="eastAsia" w:ascii="宋体" w:hAnsi="宋体" w:eastAsia="宋体" w:cs="宋体"/>
          <w:color w:val="auto"/>
          <w:highlight w:val="none"/>
          <w:lang w:eastAsia="zh-CN"/>
        </w:rPr>
      </w:pPr>
    </w:p>
    <w:p w14:paraId="3EA982BB">
      <w:pPr>
        <w:pageBreakBefore w:val="0"/>
        <w:widowControl w:val="0"/>
        <w:wordWrap/>
        <w:overflowPunct/>
        <w:topLinePunct w:val="0"/>
        <w:bidi w:val="0"/>
        <w:spacing w:line="269" w:lineRule="auto"/>
        <w:jc w:val="center"/>
        <w:rPr>
          <w:rFonts w:hint="eastAsia" w:ascii="宋体" w:hAnsi="宋体" w:eastAsia="宋体" w:cs="宋体"/>
          <w:color w:val="auto"/>
          <w:highlight w:val="none"/>
          <w:lang w:eastAsia="zh-CN"/>
        </w:rPr>
      </w:pPr>
    </w:p>
    <w:p w14:paraId="327BC3A7">
      <w:pPr>
        <w:pageBreakBefore w:val="0"/>
        <w:widowControl w:val="0"/>
        <w:wordWrap/>
        <w:overflowPunct/>
        <w:topLinePunct w:val="0"/>
        <w:bidi w:val="0"/>
        <w:spacing w:before="100" w:line="225" w:lineRule="auto"/>
        <w:jc w:val="center"/>
        <w:outlineLvl w:val="1"/>
        <w:rPr>
          <w:rFonts w:hint="eastAsia" w:ascii="宋体" w:hAnsi="宋体" w:eastAsia="宋体" w:cs="宋体"/>
          <w:color w:val="auto"/>
          <w:sz w:val="31"/>
          <w:szCs w:val="31"/>
          <w:highlight w:val="none"/>
          <w:lang w:eastAsia="zh-CN"/>
        </w:rPr>
      </w:pPr>
      <w:bookmarkStart w:id="232" w:name="_Toc13348"/>
      <w:bookmarkStart w:id="233" w:name="_Toc9890"/>
      <w:bookmarkStart w:id="234" w:name="_Toc11788"/>
      <w:r>
        <w:rPr>
          <w:rFonts w:hint="eastAsia" w:ascii="宋体" w:hAnsi="宋体" w:eastAsia="宋体" w:cs="宋体"/>
          <w:color w:val="auto"/>
          <w:spacing w:val="-5"/>
          <w:sz w:val="31"/>
          <w:szCs w:val="31"/>
          <w:highlight w:val="none"/>
          <w:lang w:val="en-US" w:eastAsia="zh-CN"/>
          <w14:textOutline w14:w="5791" w14:cap="sq" w14:cmpd="sng" w14:algn="ctr">
            <w14:solidFill>
              <w14:srgbClr w14:val="000000"/>
            </w14:solidFill>
            <w14:prstDash w14:val="solid"/>
            <w14:bevel/>
          </w14:textOutline>
        </w:rPr>
        <w:t>磋 商 响 应</w:t>
      </w:r>
      <w:r>
        <w:rPr>
          <w:rFonts w:hint="eastAsia" w:ascii="宋体" w:hAnsi="宋体" w:eastAsia="宋体" w:cs="宋体"/>
          <w:color w:val="auto"/>
          <w:spacing w:val="21"/>
          <w:sz w:val="31"/>
          <w:szCs w:val="31"/>
          <w:highlight w:val="none"/>
          <w:lang w:eastAsia="zh-CN"/>
        </w:rPr>
        <w:t xml:space="preserve"> </w:t>
      </w:r>
      <w:r>
        <w:rPr>
          <w:rFonts w:hint="eastAsia" w:ascii="宋体" w:hAnsi="宋体" w:eastAsia="宋体" w:cs="宋体"/>
          <w:color w:val="auto"/>
          <w:spacing w:val="-5"/>
          <w:sz w:val="31"/>
          <w:szCs w:val="31"/>
          <w:highlight w:val="none"/>
          <w:lang w:eastAsia="zh-CN"/>
          <w14:textOutline w14:w="5791" w14:cap="sq" w14:cmpd="sng" w14:algn="ctr">
            <w14:solidFill>
              <w14:srgbClr w14:val="000000"/>
            </w14:solidFill>
            <w14:prstDash w14:val="solid"/>
            <w14:bevel/>
          </w14:textOutline>
        </w:rPr>
        <w:t>文</w:t>
      </w:r>
      <w:r>
        <w:rPr>
          <w:rFonts w:hint="eastAsia" w:ascii="宋体" w:hAnsi="宋体" w:eastAsia="宋体" w:cs="宋体"/>
          <w:color w:val="auto"/>
          <w:spacing w:val="19"/>
          <w:sz w:val="31"/>
          <w:szCs w:val="31"/>
          <w:highlight w:val="none"/>
          <w:lang w:eastAsia="zh-CN"/>
        </w:rPr>
        <w:t xml:space="preserve"> </w:t>
      </w:r>
      <w:r>
        <w:rPr>
          <w:rFonts w:hint="eastAsia" w:ascii="宋体" w:hAnsi="宋体" w:eastAsia="宋体" w:cs="宋体"/>
          <w:color w:val="auto"/>
          <w:spacing w:val="-5"/>
          <w:sz w:val="31"/>
          <w:szCs w:val="31"/>
          <w:highlight w:val="none"/>
          <w:lang w:eastAsia="zh-CN"/>
          <w14:textOutline w14:w="5791" w14:cap="sq" w14:cmpd="sng" w14:algn="ctr">
            <w14:solidFill>
              <w14:srgbClr w14:val="000000"/>
            </w14:solidFill>
            <w14:prstDash w14:val="solid"/>
            <w14:bevel/>
          </w14:textOutline>
        </w:rPr>
        <w:t>件</w:t>
      </w:r>
      <w:bookmarkEnd w:id="232"/>
      <w:bookmarkEnd w:id="233"/>
      <w:bookmarkEnd w:id="234"/>
    </w:p>
    <w:p w14:paraId="10251CF6">
      <w:pPr>
        <w:pageBreakBefore w:val="0"/>
        <w:widowControl w:val="0"/>
        <w:wordWrap/>
        <w:overflowPunct/>
        <w:topLinePunct w:val="0"/>
        <w:bidi w:val="0"/>
        <w:jc w:val="center"/>
        <w:rPr>
          <w:rFonts w:hint="eastAsia" w:ascii="宋体" w:hAnsi="宋体" w:eastAsia="宋体" w:cs="宋体"/>
          <w:color w:val="auto"/>
          <w:highlight w:val="none"/>
          <w:lang w:eastAsia="zh-CN"/>
        </w:rPr>
      </w:pPr>
    </w:p>
    <w:p w14:paraId="748ED4EF">
      <w:pPr>
        <w:pageBreakBefore w:val="0"/>
        <w:widowControl w:val="0"/>
        <w:wordWrap/>
        <w:overflowPunct/>
        <w:topLinePunct w:val="0"/>
        <w:bidi w:val="0"/>
        <w:rPr>
          <w:rFonts w:hint="eastAsia" w:ascii="宋体" w:hAnsi="宋体" w:eastAsia="宋体" w:cs="宋体"/>
          <w:color w:val="auto"/>
          <w:highlight w:val="none"/>
          <w:lang w:eastAsia="zh-CN"/>
        </w:rPr>
      </w:pPr>
    </w:p>
    <w:p w14:paraId="2F93891B">
      <w:pPr>
        <w:pageBreakBefore w:val="0"/>
        <w:widowControl w:val="0"/>
        <w:wordWrap/>
        <w:overflowPunct/>
        <w:topLinePunct w:val="0"/>
        <w:bidi w:val="0"/>
        <w:rPr>
          <w:rFonts w:hint="eastAsia" w:ascii="宋体" w:hAnsi="宋体" w:eastAsia="宋体" w:cs="宋体"/>
          <w:color w:val="auto"/>
          <w:highlight w:val="none"/>
          <w:lang w:eastAsia="zh-CN"/>
        </w:rPr>
      </w:pPr>
    </w:p>
    <w:p w14:paraId="457A2A22">
      <w:pPr>
        <w:pageBreakBefore w:val="0"/>
        <w:widowControl w:val="0"/>
        <w:wordWrap/>
        <w:overflowPunct/>
        <w:topLinePunct w:val="0"/>
        <w:bidi w:val="0"/>
        <w:rPr>
          <w:rFonts w:hint="eastAsia" w:ascii="宋体" w:hAnsi="宋体" w:eastAsia="宋体" w:cs="宋体"/>
          <w:color w:val="auto"/>
          <w:highlight w:val="none"/>
          <w:lang w:eastAsia="zh-CN"/>
        </w:rPr>
      </w:pPr>
    </w:p>
    <w:p w14:paraId="3F289893">
      <w:pPr>
        <w:pageBreakBefore w:val="0"/>
        <w:widowControl w:val="0"/>
        <w:wordWrap/>
        <w:overflowPunct/>
        <w:topLinePunct w:val="0"/>
        <w:bidi w:val="0"/>
        <w:rPr>
          <w:rFonts w:hint="eastAsia" w:ascii="宋体" w:hAnsi="宋体" w:eastAsia="宋体" w:cs="宋体"/>
          <w:color w:val="auto"/>
          <w:highlight w:val="none"/>
          <w:lang w:eastAsia="zh-CN"/>
        </w:rPr>
      </w:pPr>
    </w:p>
    <w:p w14:paraId="00F71C5B">
      <w:pPr>
        <w:pageBreakBefore w:val="0"/>
        <w:widowControl w:val="0"/>
        <w:wordWrap/>
        <w:overflowPunct/>
        <w:topLinePunct w:val="0"/>
        <w:bidi w:val="0"/>
        <w:rPr>
          <w:rFonts w:hint="eastAsia" w:ascii="宋体" w:hAnsi="宋体" w:eastAsia="宋体" w:cs="宋体"/>
          <w:color w:val="auto"/>
          <w:highlight w:val="none"/>
          <w:lang w:eastAsia="zh-CN"/>
        </w:rPr>
      </w:pPr>
    </w:p>
    <w:p w14:paraId="2A892018">
      <w:pPr>
        <w:pageBreakBefore w:val="0"/>
        <w:widowControl w:val="0"/>
        <w:wordWrap/>
        <w:overflowPunct/>
        <w:topLinePunct w:val="0"/>
        <w:bidi w:val="0"/>
        <w:rPr>
          <w:rFonts w:hint="eastAsia" w:ascii="宋体" w:hAnsi="宋体" w:eastAsia="宋体" w:cs="宋体"/>
          <w:color w:val="auto"/>
          <w:highlight w:val="none"/>
          <w:lang w:eastAsia="zh-CN"/>
        </w:rPr>
      </w:pPr>
    </w:p>
    <w:p w14:paraId="4471E83B">
      <w:pPr>
        <w:pageBreakBefore w:val="0"/>
        <w:widowControl w:val="0"/>
        <w:wordWrap/>
        <w:overflowPunct/>
        <w:topLinePunct w:val="0"/>
        <w:bidi w:val="0"/>
        <w:rPr>
          <w:rFonts w:hint="eastAsia" w:ascii="宋体" w:hAnsi="宋体" w:eastAsia="宋体" w:cs="宋体"/>
          <w:color w:val="auto"/>
          <w:highlight w:val="none"/>
          <w:lang w:eastAsia="zh-CN"/>
        </w:rPr>
      </w:pPr>
    </w:p>
    <w:p w14:paraId="66634031">
      <w:pPr>
        <w:pageBreakBefore w:val="0"/>
        <w:widowControl w:val="0"/>
        <w:wordWrap/>
        <w:overflowPunct/>
        <w:topLinePunct w:val="0"/>
        <w:bidi w:val="0"/>
        <w:spacing w:line="241" w:lineRule="auto"/>
        <w:rPr>
          <w:rFonts w:hint="eastAsia" w:ascii="宋体" w:hAnsi="宋体" w:eastAsia="宋体" w:cs="宋体"/>
          <w:color w:val="auto"/>
          <w:highlight w:val="none"/>
          <w:lang w:eastAsia="zh-CN"/>
        </w:rPr>
      </w:pPr>
    </w:p>
    <w:p w14:paraId="48FD09A2">
      <w:pPr>
        <w:pageBreakBefore w:val="0"/>
        <w:widowControl w:val="0"/>
        <w:wordWrap/>
        <w:overflowPunct/>
        <w:topLinePunct w:val="0"/>
        <w:bidi w:val="0"/>
        <w:spacing w:line="241" w:lineRule="auto"/>
        <w:rPr>
          <w:rFonts w:hint="eastAsia" w:ascii="宋体" w:hAnsi="宋体" w:eastAsia="宋体" w:cs="宋体"/>
          <w:color w:val="auto"/>
          <w:highlight w:val="none"/>
          <w:lang w:eastAsia="zh-CN"/>
        </w:rPr>
      </w:pPr>
    </w:p>
    <w:p w14:paraId="12160E62">
      <w:pPr>
        <w:pageBreakBefore w:val="0"/>
        <w:widowControl w:val="0"/>
        <w:wordWrap/>
        <w:overflowPunct/>
        <w:topLinePunct w:val="0"/>
        <w:bidi w:val="0"/>
        <w:spacing w:line="241" w:lineRule="auto"/>
        <w:rPr>
          <w:rFonts w:hint="eastAsia" w:ascii="宋体" w:hAnsi="宋体" w:eastAsia="宋体" w:cs="宋体"/>
          <w:color w:val="auto"/>
          <w:highlight w:val="none"/>
          <w:lang w:eastAsia="zh-CN"/>
        </w:rPr>
      </w:pPr>
    </w:p>
    <w:p w14:paraId="01C05D0C">
      <w:pPr>
        <w:pageBreakBefore w:val="0"/>
        <w:widowControl w:val="0"/>
        <w:wordWrap/>
        <w:overflowPunct/>
        <w:topLinePunct w:val="0"/>
        <w:bidi w:val="0"/>
        <w:spacing w:line="241" w:lineRule="auto"/>
        <w:rPr>
          <w:rFonts w:hint="eastAsia" w:ascii="宋体" w:hAnsi="宋体" w:eastAsia="宋体" w:cs="宋体"/>
          <w:color w:val="auto"/>
          <w:highlight w:val="none"/>
          <w:lang w:eastAsia="zh-CN"/>
        </w:rPr>
      </w:pPr>
    </w:p>
    <w:p w14:paraId="01A93745">
      <w:pPr>
        <w:pageBreakBefore w:val="0"/>
        <w:widowControl w:val="0"/>
        <w:wordWrap/>
        <w:overflowPunct/>
        <w:topLinePunct w:val="0"/>
        <w:bidi w:val="0"/>
        <w:spacing w:line="241" w:lineRule="auto"/>
        <w:rPr>
          <w:rFonts w:hint="eastAsia" w:ascii="宋体" w:hAnsi="宋体" w:eastAsia="宋体" w:cs="宋体"/>
          <w:color w:val="auto"/>
          <w:highlight w:val="none"/>
          <w:lang w:eastAsia="zh-CN"/>
        </w:rPr>
      </w:pPr>
    </w:p>
    <w:p w14:paraId="00F97B08">
      <w:pPr>
        <w:pageBreakBefore w:val="0"/>
        <w:widowControl w:val="0"/>
        <w:wordWrap/>
        <w:overflowPunct/>
        <w:topLinePunct w:val="0"/>
        <w:bidi w:val="0"/>
        <w:spacing w:line="241" w:lineRule="auto"/>
        <w:rPr>
          <w:rFonts w:hint="eastAsia" w:ascii="宋体" w:hAnsi="宋体" w:eastAsia="宋体" w:cs="宋体"/>
          <w:color w:val="auto"/>
          <w:highlight w:val="none"/>
          <w:lang w:eastAsia="zh-CN"/>
        </w:rPr>
      </w:pPr>
    </w:p>
    <w:p w14:paraId="0352A55F">
      <w:pPr>
        <w:pageBreakBefore w:val="0"/>
        <w:widowControl w:val="0"/>
        <w:wordWrap/>
        <w:overflowPunct/>
        <w:topLinePunct w:val="0"/>
        <w:bidi w:val="0"/>
        <w:spacing w:line="241" w:lineRule="auto"/>
        <w:rPr>
          <w:rFonts w:hint="eastAsia" w:ascii="宋体" w:hAnsi="宋体" w:eastAsia="宋体" w:cs="宋体"/>
          <w:color w:val="auto"/>
          <w:highlight w:val="none"/>
          <w:lang w:eastAsia="zh-CN"/>
        </w:rPr>
      </w:pPr>
    </w:p>
    <w:p w14:paraId="20EEAEA4">
      <w:pPr>
        <w:pageBreakBefore w:val="0"/>
        <w:widowControl w:val="0"/>
        <w:wordWrap/>
        <w:overflowPunct/>
        <w:topLinePunct w:val="0"/>
        <w:bidi w:val="0"/>
        <w:spacing w:line="241" w:lineRule="auto"/>
        <w:rPr>
          <w:rFonts w:hint="eastAsia" w:ascii="宋体" w:hAnsi="宋体" w:eastAsia="宋体" w:cs="宋体"/>
          <w:color w:val="auto"/>
          <w:highlight w:val="none"/>
          <w:lang w:eastAsia="zh-CN"/>
        </w:rPr>
      </w:pPr>
    </w:p>
    <w:p w14:paraId="2D4602DA">
      <w:pPr>
        <w:pageBreakBefore w:val="0"/>
        <w:widowControl w:val="0"/>
        <w:wordWrap/>
        <w:overflowPunct/>
        <w:topLinePunct w:val="0"/>
        <w:bidi w:val="0"/>
        <w:spacing w:before="78" w:line="220" w:lineRule="auto"/>
        <w:ind w:left="144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项目名称：</w:t>
      </w:r>
    </w:p>
    <w:p w14:paraId="754249BC">
      <w:pPr>
        <w:pageBreakBefore w:val="0"/>
        <w:widowControl w:val="0"/>
        <w:wordWrap/>
        <w:overflowPunct/>
        <w:topLinePunct w:val="0"/>
        <w:bidi w:val="0"/>
        <w:spacing w:line="258" w:lineRule="auto"/>
        <w:rPr>
          <w:rFonts w:hint="eastAsia" w:ascii="宋体" w:hAnsi="宋体" w:eastAsia="宋体" w:cs="宋体"/>
          <w:color w:val="auto"/>
          <w:highlight w:val="none"/>
          <w:lang w:eastAsia="zh-CN"/>
        </w:rPr>
      </w:pPr>
    </w:p>
    <w:p w14:paraId="5C8DB74B">
      <w:pPr>
        <w:pageBreakBefore w:val="0"/>
        <w:widowControl w:val="0"/>
        <w:wordWrap/>
        <w:overflowPunct/>
        <w:topLinePunct w:val="0"/>
        <w:bidi w:val="0"/>
        <w:spacing w:line="258" w:lineRule="auto"/>
        <w:rPr>
          <w:rFonts w:hint="eastAsia" w:ascii="宋体" w:hAnsi="宋体" w:eastAsia="宋体" w:cs="宋体"/>
          <w:color w:val="auto"/>
          <w:highlight w:val="none"/>
          <w:lang w:eastAsia="zh-CN"/>
        </w:rPr>
      </w:pPr>
    </w:p>
    <w:p w14:paraId="097F6D2E">
      <w:pPr>
        <w:pageBreakBefore w:val="0"/>
        <w:widowControl w:val="0"/>
        <w:wordWrap/>
        <w:overflowPunct/>
        <w:topLinePunct w:val="0"/>
        <w:bidi w:val="0"/>
        <w:spacing w:line="258" w:lineRule="auto"/>
        <w:rPr>
          <w:rFonts w:hint="eastAsia" w:ascii="宋体" w:hAnsi="宋体" w:eastAsia="宋体" w:cs="宋体"/>
          <w:color w:val="auto"/>
          <w:highlight w:val="none"/>
          <w:lang w:eastAsia="zh-CN"/>
        </w:rPr>
      </w:pPr>
    </w:p>
    <w:p w14:paraId="4A0A9711">
      <w:pPr>
        <w:pageBreakBefore w:val="0"/>
        <w:widowControl w:val="0"/>
        <w:wordWrap/>
        <w:overflowPunct/>
        <w:topLinePunct w:val="0"/>
        <w:bidi w:val="0"/>
        <w:spacing w:line="259" w:lineRule="auto"/>
        <w:rPr>
          <w:rFonts w:hint="eastAsia" w:ascii="宋体" w:hAnsi="宋体" w:eastAsia="宋体" w:cs="宋体"/>
          <w:color w:val="auto"/>
          <w:highlight w:val="none"/>
          <w:lang w:eastAsia="zh-CN"/>
        </w:rPr>
      </w:pPr>
    </w:p>
    <w:p w14:paraId="74F4D4F8">
      <w:pPr>
        <w:pageBreakBefore w:val="0"/>
        <w:widowControl w:val="0"/>
        <w:wordWrap/>
        <w:overflowPunct/>
        <w:topLinePunct w:val="0"/>
        <w:bidi w:val="0"/>
        <w:spacing w:before="79" w:line="219" w:lineRule="auto"/>
        <w:ind w:left="144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项目编号：</w:t>
      </w:r>
    </w:p>
    <w:p w14:paraId="1493EC6A">
      <w:pPr>
        <w:pageBreakBefore w:val="0"/>
        <w:widowControl w:val="0"/>
        <w:wordWrap/>
        <w:overflowPunct/>
        <w:topLinePunct w:val="0"/>
        <w:bidi w:val="0"/>
        <w:spacing w:line="245" w:lineRule="auto"/>
        <w:rPr>
          <w:rFonts w:hint="eastAsia" w:ascii="宋体" w:hAnsi="宋体" w:eastAsia="宋体" w:cs="宋体"/>
          <w:color w:val="auto"/>
          <w:highlight w:val="none"/>
          <w:lang w:eastAsia="zh-CN"/>
        </w:rPr>
      </w:pPr>
    </w:p>
    <w:p w14:paraId="2D1F64B1">
      <w:pPr>
        <w:pageBreakBefore w:val="0"/>
        <w:widowControl w:val="0"/>
        <w:wordWrap/>
        <w:overflowPunct/>
        <w:topLinePunct w:val="0"/>
        <w:bidi w:val="0"/>
        <w:spacing w:line="245" w:lineRule="auto"/>
        <w:rPr>
          <w:rFonts w:hint="eastAsia" w:ascii="宋体" w:hAnsi="宋体" w:eastAsia="宋体" w:cs="宋体"/>
          <w:color w:val="auto"/>
          <w:highlight w:val="none"/>
          <w:lang w:eastAsia="zh-CN"/>
        </w:rPr>
      </w:pPr>
    </w:p>
    <w:p w14:paraId="19BE1AD9">
      <w:pPr>
        <w:pageBreakBefore w:val="0"/>
        <w:widowControl w:val="0"/>
        <w:wordWrap/>
        <w:overflowPunct/>
        <w:topLinePunct w:val="0"/>
        <w:bidi w:val="0"/>
        <w:spacing w:line="245" w:lineRule="auto"/>
        <w:rPr>
          <w:rFonts w:hint="eastAsia" w:ascii="宋体" w:hAnsi="宋体" w:eastAsia="宋体" w:cs="宋体"/>
          <w:color w:val="auto"/>
          <w:highlight w:val="none"/>
          <w:lang w:eastAsia="zh-CN"/>
        </w:rPr>
      </w:pPr>
    </w:p>
    <w:p w14:paraId="5903FEDC">
      <w:pPr>
        <w:pageBreakBefore w:val="0"/>
        <w:widowControl w:val="0"/>
        <w:wordWrap/>
        <w:overflowPunct/>
        <w:topLinePunct w:val="0"/>
        <w:bidi w:val="0"/>
        <w:spacing w:line="245" w:lineRule="auto"/>
        <w:rPr>
          <w:rFonts w:hint="eastAsia" w:ascii="宋体" w:hAnsi="宋体" w:eastAsia="宋体" w:cs="宋体"/>
          <w:color w:val="auto"/>
          <w:highlight w:val="none"/>
          <w:lang w:eastAsia="zh-CN"/>
        </w:rPr>
      </w:pPr>
    </w:p>
    <w:p w14:paraId="6F6962C0">
      <w:pPr>
        <w:pageBreakBefore w:val="0"/>
        <w:widowControl w:val="0"/>
        <w:wordWrap/>
        <w:overflowPunct/>
        <w:topLinePunct w:val="0"/>
        <w:bidi w:val="0"/>
        <w:spacing w:line="246" w:lineRule="auto"/>
        <w:rPr>
          <w:rFonts w:hint="eastAsia" w:ascii="宋体" w:hAnsi="宋体" w:eastAsia="宋体" w:cs="宋体"/>
          <w:color w:val="auto"/>
          <w:highlight w:val="none"/>
          <w:lang w:eastAsia="zh-CN"/>
        </w:rPr>
      </w:pPr>
    </w:p>
    <w:p w14:paraId="1EE42C6D">
      <w:pPr>
        <w:pageBreakBefore w:val="0"/>
        <w:widowControl w:val="0"/>
        <w:wordWrap/>
        <w:overflowPunct/>
        <w:topLinePunct w:val="0"/>
        <w:bidi w:val="0"/>
        <w:spacing w:line="246" w:lineRule="auto"/>
        <w:rPr>
          <w:rFonts w:hint="eastAsia" w:ascii="宋体" w:hAnsi="宋体" w:eastAsia="宋体" w:cs="宋体"/>
          <w:color w:val="auto"/>
          <w:highlight w:val="none"/>
          <w:lang w:eastAsia="zh-CN"/>
        </w:rPr>
      </w:pPr>
    </w:p>
    <w:p w14:paraId="1CF03684">
      <w:pPr>
        <w:pageBreakBefore w:val="0"/>
        <w:widowControl w:val="0"/>
        <w:wordWrap/>
        <w:overflowPunct/>
        <w:topLinePunct w:val="0"/>
        <w:bidi w:val="0"/>
        <w:spacing w:line="246" w:lineRule="auto"/>
        <w:rPr>
          <w:rFonts w:hint="eastAsia" w:ascii="宋体" w:hAnsi="宋体" w:eastAsia="宋体" w:cs="宋体"/>
          <w:color w:val="auto"/>
          <w:highlight w:val="none"/>
          <w:lang w:eastAsia="zh-CN"/>
        </w:rPr>
      </w:pPr>
    </w:p>
    <w:p w14:paraId="4B2F30B6">
      <w:pPr>
        <w:pageBreakBefore w:val="0"/>
        <w:widowControl w:val="0"/>
        <w:wordWrap/>
        <w:overflowPunct/>
        <w:topLinePunct w:val="0"/>
        <w:bidi w:val="0"/>
        <w:spacing w:line="246" w:lineRule="auto"/>
        <w:rPr>
          <w:rFonts w:hint="eastAsia" w:ascii="宋体" w:hAnsi="宋体" w:eastAsia="宋体" w:cs="宋体"/>
          <w:color w:val="auto"/>
          <w:highlight w:val="none"/>
          <w:lang w:eastAsia="zh-CN"/>
        </w:rPr>
      </w:pPr>
    </w:p>
    <w:p w14:paraId="0A175739">
      <w:pPr>
        <w:pageBreakBefore w:val="0"/>
        <w:widowControl w:val="0"/>
        <w:wordWrap/>
        <w:overflowPunct/>
        <w:topLinePunct w:val="0"/>
        <w:bidi w:val="0"/>
        <w:spacing w:before="78" w:line="219" w:lineRule="auto"/>
        <w:ind w:left="336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供应商（签章）</w:t>
      </w:r>
    </w:p>
    <w:p w14:paraId="5353EAEB">
      <w:pPr>
        <w:pageBreakBefore w:val="0"/>
        <w:widowControl w:val="0"/>
        <w:wordWrap/>
        <w:overflowPunct/>
        <w:topLinePunct w:val="0"/>
        <w:bidi w:val="0"/>
        <w:spacing w:line="285" w:lineRule="auto"/>
        <w:rPr>
          <w:rFonts w:hint="eastAsia" w:ascii="宋体" w:hAnsi="宋体" w:eastAsia="宋体" w:cs="宋体"/>
          <w:color w:val="auto"/>
          <w:highlight w:val="none"/>
          <w:lang w:eastAsia="zh-CN"/>
        </w:rPr>
      </w:pPr>
    </w:p>
    <w:p w14:paraId="432419C1">
      <w:pPr>
        <w:pageBreakBefore w:val="0"/>
        <w:widowControl w:val="0"/>
        <w:wordWrap/>
        <w:overflowPunct/>
        <w:topLinePunct w:val="0"/>
        <w:bidi w:val="0"/>
        <w:spacing w:line="285" w:lineRule="auto"/>
        <w:rPr>
          <w:rFonts w:hint="eastAsia" w:ascii="宋体" w:hAnsi="宋体" w:eastAsia="宋体" w:cs="宋体"/>
          <w:color w:val="auto"/>
          <w:highlight w:val="none"/>
          <w:lang w:eastAsia="zh-CN"/>
        </w:rPr>
      </w:pPr>
    </w:p>
    <w:p w14:paraId="2EB0FDAD">
      <w:pPr>
        <w:pageBreakBefore w:val="0"/>
        <w:widowControl w:val="0"/>
        <w:wordWrap/>
        <w:overflowPunct/>
        <w:topLinePunct w:val="0"/>
        <w:bidi w:val="0"/>
        <w:spacing w:before="79" w:line="219"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年</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月</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日</w:t>
      </w:r>
    </w:p>
    <w:p w14:paraId="1116910A">
      <w:pPr>
        <w:pageBreakBefore w:val="0"/>
        <w:widowControl w:val="0"/>
        <w:wordWrap/>
        <w:overflowPunct/>
        <w:topLinePunct w:val="0"/>
        <w:bidi w:val="0"/>
        <w:spacing w:line="219" w:lineRule="auto"/>
        <w:rPr>
          <w:rFonts w:hint="eastAsia" w:ascii="宋体" w:hAnsi="宋体" w:eastAsia="宋体" w:cs="宋体"/>
          <w:color w:val="auto"/>
          <w:sz w:val="24"/>
          <w:szCs w:val="24"/>
          <w:highlight w:val="none"/>
          <w:lang w:eastAsia="zh-CN"/>
        </w:rPr>
        <w:sectPr>
          <w:footerReference r:id="rId6" w:type="default"/>
          <w:pgSz w:w="11906" w:h="16839"/>
          <w:pgMar w:top="1134" w:right="1134" w:bottom="1134" w:left="1134" w:header="0" w:footer="1200" w:gutter="0"/>
          <w:pgBorders>
            <w:top w:val="none" w:sz="0" w:space="0"/>
            <w:left w:val="none" w:sz="0" w:space="0"/>
            <w:bottom w:val="none" w:sz="0" w:space="0"/>
            <w:right w:val="none" w:sz="0" w:space="0"/>
          </w:pgBorders>
          <w:pgNumType w:fmt="decimal"/>
          <w:cols w:space="720" w:num="1"/>
        </w:sectPr>
      </w:pPr>
    </w:p>
    <w:p w14:paraId="40F03D62">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235" w:name="bookmark54"/>
      <w:bookmarkEnd w:id="235"/>
      <w:bookmarkStart w:id="236" w:name="_Toc24135"/>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格式 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磋商响应</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书</w:t>
      </w:r>
      <w:bookmarkEnd w:id="236"/>
    </w:p>
    <w:p w14:paraId="3468143F">
      <w:pPr>
        <w:pageBreakBefore w:val="0"/>
        <w:widowControl w:val="0"/>
        <w:wordWrap/>
        <w:overflowPunct/>
        <w:topLinePunct w:val="0"/>
        <w:bidi w:val="0"/>
        <w:spacing w:beforeAutospacing="0" w:line="220" w:lineRule="auto"/>
        <w:ind w:left="1"/>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pacing w:val="-5"/>
          <w:sz w:val="24"/>
          <w:szCs w:val="24"/>
          <w:highlight w:val="none"/>
          <w:lang w:eastAsia="zh-CN"/>
          <w14:textOutline w14:w="4356" w14:cap="sq" w14:cmpd="sng" w14:algn="ctr">
            <w14:solidFill>
              <w14:srgbClr w14:val="000000"/>
            </w14:solidFill>
            <w14:prstDash w14:val="solid"/>
            <w14:bevel/>
          </w14:textOutline>
        </w:rPr>
        <w:t>致：</w:t>
      </w:r>
      <w:r>
        <w:rPr>
          <w:rFonts w:hint="eastAsia" w:ascii="宋体" w:hAnsi="宋体" w:eastAsia="宋体" w:cs="宋体"/>
          <w:b w:val="0"/>
          <w:bCs w:val="0"/>
          <w:color w:val="auto"/>
          <w:spacing w:val="-69"/>
          <w:sz w:val="24"/>
          <w:szCs w:val="24"/>
          <w:highlight w:val="none"/>
          <w:lang w:eastAsia="zh-CN"/>
        </w:rPr>
        <w:t xml:space="preserve"> </w:t>
      </w:r>
      <w:r>
        <w:rPr>
          <w:rFonts w:hint="eastAsia" w:ascii="宋体" w:hAnsi="宋体" w:eastAsia="宋体" w:cs="宋体"/>
          <w:b w:val="0"/>
          <w:bCs w:val="0"/>
          <w:color w:val="auto"/>
          <w:spacing w:val="-5"/>
          <w:sz w:val="24"/>
          <w:szCs w:val="24"/>
          <w:highlight w:val="none"/>
          <w:u w:val="single"/>
          <w:lang w:val="en-US" w:eastAsia="zh-CN"/>
          <w14:textOutline w14:w="4356" w14:cap="sq" w14:cmpd="sng" w14:algn="ctr">
            <w14:solidFill>
              <w14:srgbClr w14:val="000000"/>
            </w14:solidFill>
            <w14:prstDash w14:val="solid"/>
            <w14:bevel/>
          </w14:textOutline>
        </w:rPr>
        <w:t xml:space="preserve">                       </w:t>
      </w:r>
    </w:p>
    <w:p w14:paraId="3D54D02E">
      <w:pPr>
        <w:spacing w:line="400" w:lineRule="exact"/>
        <w:ind w:firstLine="480"/>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highlight w:val="none"/>
        </w:rPr>
        <w:t>根据贵方为(</w:t>
      </w:r>
      <w:r>
        <w:rPr>
          <w:rFonts w:hint="eastAsia" w:ascii="宋体" w:hAnsi="宋体" w:eastAsia="宋体" w:cs="宋体"/>
          <w:i w:val="0"/>
          <w:iCs w:val="0"/>
          <w:color w:val="auto"/>
          <w:sz w:val="24"/>
          <w:highlight w:val="none"/>
          <w:u w:val="single"/>
        </w:rPr>
        <w:t>项目名称</w:t>
      </w:r>
      <w:r>
        <w:rPr>
          <w:rFonts w:hint="eastAsia" w:ascii="宋体" w:hAnsi="宋体" w:eastAsia="宋体" w:cs="宋体"/>
          <w:i w:val="0"/>
          <w:iCs w:val="0"/>
          <w:color w:val="auto"/>
          <w:sz w:val="24"/>
          <w:highlight w:val="none"/>
        </w:rPr>
        <w:t>)项目</w:t>
      </w:r>
      <w:r>
        <w:rPr>
          <w:rFonts w:hint="eastAsia" w:ascii="宋体" w:hAnsi="宋体" w:eastAsia="宋体" w:cs="宋体"/>
          <w:i w:val="0"/>
          <w:iCs w:val="0"/>
          <w:color w:val="auto"/>
          <w:sz w:val="24"/>
          <w:highlight w:val="none"/>
          <w:lang w:eastAsia="zh-CN"/>
        </w:rPr>
        <w:t>磋商</w:t>
      </w:r>
      <w:r>
        <w:rPr>
          <w:rFonts w:hint="eastAsia" w:ascii="宋体" w:hAnsi="宋体" w:eastAsia="宋体" w:cs="宋体"/>
          <w:i w:val="0"/>
          <w:iCs w:val="0"/>
          <w:color w:val="auto"/>
          <w:sz w:val="24"/>
          <w:highlight w:val="none"/>
        </w:rPr>
        <w:t>采购服务的</w:t>
      </w:r>
      <w:r>
        <w:rPr>
          <w:rFonts w:hint="eastAsia" w:ascii="宋体" w:hAnsi="宋体" w:eastAsia="宋体" w:cs="宋体"/>
          <w:i w:val="0"/>
          <w:iCs w:val="0"/>
          <w:color w:val="auto"/>
          <w:sz w:val="24"/>
          <w:highlight w:val="none"/>
          <w:lang w:eastAsia="zh-CN"/>
        </w:rPr>
        <w:t>磋商</w:t>
      </w:r>
      <w:r>
        <w:rPr>
          <w:rFonts w:hint="eastAsia" w:ascii="宋体" w:hAnsi="宋体" w:eastAsia="宋体" w:cs="宋体"/>
          <w:i w:val="0"/>
          <w:iCs w:val="0"/>
          <w:color w:val="auto"/>
          <w:sz w:val="24"/>
          <w:highlight w:val="none"/>
        </w:rPr>
        <w:t>邀请</w:t>
      </w:r>
      <w:r>
        <w:rPr>
          <w:rFonts w:hint="eastAsia" w:ascii="宋体" w:hAnsi="宋体" w:eastAsia="宋体" w:cs="宋体"/>
          <w:i w:val="0"/>
          <w:iCs w:val="0"/>
          <w:color w:val="auto"/>
          <w:sz w:val="24"/>
          <w:highlight w:val="none"/>
          <w:u w:val="single"/>
        </w:rPr>
        <w:t>(项目编号)</w:t>
      </w:r>
      <w:r>
        <w:rPr>
          <w:rFonts w:hint="eastAsia" w:ascii="宋体" w:hAnsi="宋体" w:eastAsia="宋体" w:cs="宋体"/>
          <w:i w:val="0"/>
          <w:iCs w:val="0"/>
          <w:color w:val="auto"/>
          <w:sz w:val="24"/>
          <w:highlight w:val="none"/>
        </w:rPr>
        <w:t>，签字代表(</w:t>
      </w:r>
      <w:r>
        <w:rPr>
          <w:rFonts w:hint="eastAsia" w:ascii="宋体" w:hAnsi="宋体" w:eastAsia="宋体" w:cs="宋体"/>
          <w:i w:val="0"/>
          <w:iCs w:val="0"/>
          <w:color w:val="auto"/>
          <w:sz w:val="24"/>
          <w:highlight w:val="none"/>
          <w:u w:val="single"/>
        </w:rPr>
        <w:t>姓名、职务</w:t>
      </w:r>
      <w:r>
        <w:rPr>
          <w:rFonts w:hint="eastAsia" w:ascii="宋体" w:hAnsi="宋体" w:eastAsia="宋体" w:cs="宋体"/>
          <w:i w:val="0"/>
          <w:iCs w:val="0"/>
          <w:color w:val="auto"/>
          <w:sz w:val="24"/>
          <w:highlight w:val="none"/>
        </w:rPr>
        <w:t>)经正式授权并代表我方</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pacing w:val="-1"/>
          <w:sz w:val="24"/>
          <w:szCs w:val="24"/>
          <w:highlight w:val="none"/>
          <w:u w:val="single"/>
          <w:lang w:eastAsia="zh-CN"/>
        </w:rPr>
        <w:t>单位名称、地址)</w:t>
      </w:r>
      <w:r>
        <w:rPr>
          <w:rFonts w:hint="eastAsia" w:ascii="宋体" w:hAnsi="宋体" w:eastAsia="宋体" w:cs="宋体"/>
          <w:i w:val="0"/>
          <w:iCs w:val="0"/>
          <w:color w:val="auto"/>
          <w:spacing w:val="-1"/>
          <w:sz w:val="24"/>
          <w:szCs w:val="24"/>
          <w:highlight w:val="none"/>
          <w:lang w:eastAsia="zh-CN"/>
        </w:rPr>
        <w:t>提交下述文件:（电子版上传到上饶市阳光采购服务平台）:</w:t>
      </w:r>
    </w:p>
    <w:p w14:paraId="4E96E8A1">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书</w:t>
      </w:r>
    </w:p>
    <w:p w14:paraId="491EAEEB">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一览表</w:t>
      </w:r>
    </w:p>
    <w:p w14:paraId="7840D6F5">
      <w:pPr>
        <w:spacing w:line="380" w:lineRule="exact"/>
        <w:ind w:left="707" w:hanging="283"/>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3、开标一览明细表</w:t>
      </w:r>
    </w:p>
    <w:p w14:paraId="464C103E">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需求响应/偏离表</w:t>
      </w:r>
    </w:p>
    <w:p w14:paraId="2D0C70C4">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、商务条件响应/偏离表</w:t>
      </w:r>
    </w:p>
    <w:p w14:paraId="3BA3E7AC">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、技术文件</w:t>
      </w:r>
    </w:p>
    <w:p w14:paraId="3E029443">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应当提交的资格、资信证明文件</w:t>
      </w:r>
    </w:p>
    <w:p w14:paraId="2DD58BE2">
      <w:pPr>
        <w:spacing w:line="380" w:lineRule="exact"/>
        <w:ind w:left="707" w:hanging="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 其他证明资料</w:t>
      </w:r>
    </w:p>
    <w:p w14:paraId="67E602D0">
      <w:pPr>
        <w:spacing w:line="40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提交的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保证金，金额为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38AEF9E">
      <w:pPr>
        <w:spacing w:line="400" w:lineRule="exact"/>
        <w:ind w:left="707" w:hanging="283"/>
        <w:rPr>
          <w:rFonts w:hint="eastAsia" w:ascii="宋体" w:hAnsi="宋体" w:eastAsia="宋体" w:cs="宋体"/>
          <w:color w:val="auto"/>
          <w:sz w:val="24"/>
          <w:highlight w:val="none"/>
        </w:rPr>
      </w:pPr>
    </w:p>
    <w:p w14:paraId="292EFBEB">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41A5C404">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1. 所附报价表中规定的应提供的服务总报价为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17DED2D0">
      <w:pPr>
        <w:spacing w:line="400" w:lineRule="exact"/>
        <w:ind w:left="707" w:hanging="283"/>
        <w:outlineLvl w:val="1"/>
        <w:rPr>
          <w:rFonts w:hint="eastAsia" w:ascii="宋体" w:hAnsi="宋体" w:eastAsia="宋体" w:cs="宋体"/>
          <w:color w:val="auto"/>
          <w:sz w:val="24"/>
          <w:highlight w:val="none"/>
        </w:rPr>
      </w:pPr>
      <w:bookmarkStart w:id="237" w:name="_Toc6520"/>
      <w:bookmarkStart w:id="238" w:name="_Toc9309"/>
      <w:bookmarkStart w:id="239" w:name="_Toc28623"/>
      <w:r>
        <w:rPr>
          <w:rFonts w:hint="eastAsia" w:ascii="宋体" w:hAnsi="宋体" w:eastAsia="宋体" w:cs="宋体"/>
          <w:color w:val="auto"/>
          <w:sz w:val="24"/>
          <w:highlight w:val="none"/>
        </w:rPr>
        <w:t>2. 我方将按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文件的规定履行合同责任和义务。</w:t>
      </w:r>
      <w:bookmarkEnd w:id="237"/>
      <w:bookmarkEnd w:id="238"/>
      <w:bookmarkEnd w:id="239"/>
    </w:p>
    <w:p w14:paraId="5E7882AC">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3. 我方已详细审查全部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文件，包括第</w:t>
      </w:r>
      <w:r>
        <w:rPr>
          <w:rFonts w:hint="eastAsia" w:ascii="宋体" w:hAnsi="宋体" w:eastAsia="宋体" w:cs="宋体"/>
          <w:color w:val="auto"/>
          <w:sz w:val="24"/>
          <w:highlight w:val="none"/>
          <w:u w:val="single"/>
        </w:rPr>
        <w:t>(编号、补遗函)(如果有的话)。</w:t>
      </w:r>
      <w:r>
        <w:rPr>
          <w:rFonts w:hint="eastAsia" w:ascii="宋体" w:hAnsi="宋体" w:eastAsia="宋体" w:cs="宋体"/>
          <w:color w:val="auto"/>
          <w:sz w:val="24"/>
          <w:highlight w:val="none"/>
        </w:rPr>
        <w:t>我们完全理解并同意放弃对这方面有不明及误解的权力。</w:t>
      </w:r>
    </w:p>
    <w:p w14:paraId="5E10A920">
      <w:pPr>
        <w:spacing w:line="400" w:lineRule="exact"/>
        <w:ind w:left="707" w:hanging="283"/>
        <w:outlineLvl w:val="1"/>
        <w:rPr>
          <w:rFonts w:hint="eastAsia" w:ascii="宋体" w:hAnsi="宋体" w:eastAsia="宋体" w:cs="宋体"/>
          <w:color w:val="auto"/>
          <w:sz w:val="24"/>
          <w:highlight w:val="none"/>
        </w:rPr>
      </w:pPr>
      <w:bookmarkStart w:id="240" w:name="_Toc12348"/>
      <w:bookmarkStart w:id="241" w:name="_Toc1799"/>
      <w:bookmarkStart w:id="242" w:name="_Toc4665"/>
      <w:r>
        <w:rPr>
          <w:rFonts w:hint="eastAsia" w:ascii="宋体" w:hAnsi="宋体" w:eastAsia="宋体" w:cs="宋体"/>
          <w:color w:val="auto"/>
          <w:sz w:val="24"/>
          <w:highlight w:val="none"/>
        </w:rPr>
        <w:t>4. 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有效期为自</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之日起</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天。</w:t>
      </w:r>
      <w:bookmarkEnd w:id="240"/>
      <w:bookmarkEnd w:id="241"/>
      <w:bookmarkEnd w:id="242"/>
    </w:p>
    <w:p w14:paraId="4053D111">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5. 如果在规定的</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时间后，我方在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有效期内撤回响应文件，</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保证金不予退还。</w:t>
      </w:r>
    </w:p>
    <w:p w14:paraId="30F66A7E">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6. 我方同意提供按照贵方可能要求的与其</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有关的一切数据或资料。</w:t>
      </w:r>
    </w:p>
    <w:p w14:paraId="42E0F542">
      <w:pPr>
        <w:spacing w:line="400" w:lineRule="exact"/>
        <w:ind w:left="707" w:hanging="283"/>
        <w:outlineLvl w:val="1"/>
        <w:rPr>
          <w:rFonts w:hint="eastAsia" w:ascii="宋体" w:hAnsi="宋体" w:eastAsia="宋体" w:cs="宋体"/>
          <w:color w:val="auto"/>
          <w:sz w:val="24"/>
          <w:highlight w:val="none"/>
        </w:rPr>
      </w:pPr>
      <w:bookmarkStart w:id="243" w:name="_Toc22087"/>
      <w:bookmarkStart w:id="244" w:name="_Toc31486"/>
      <w:bookmarkStart w:id="245" w:name="_Toc14246"/>
      <w:r>
        <w:rPr>
          <w:rFonts w:hint="eastAsia" w:ascii="宋体" w:hAnsi="宋体" w:eastAsia="宋体" w:cs="宋体"/>
          <w:color w:val="auto"/>
          <w:sz w:val="24"/>
          <w:highlight w:val="none"/>
        </w:rPr>
        <w:t>7. 与本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有关的一切正式往来信函请寄:</w:t>
      </w:r>
      <w:bookmarkEnd w:id="243"/>
      <w:bookmarkEnd w:id="244"/>
      <w:bookmarkEnd w:id="245"/>
    </w:p>
    <w:p w14:paraId="33821523">
      <w:pPr>
        <w:spacing w:line="400" w:lineRule="exact"/>
        <w:ind w:left="707" w:hanging="283"/>
        <w:rPr>
          <w:rFonts w:hint="eastAsia" w:ascii="宋体" w:hAnsi="宋体" w:eastAsia="宋体" w:cs="宋体"/>
          <w:color w:val="auto"/>
          <w:sz w:val="24"/>
          <w:highlight w:val="none"/>
        </w:rPr>
      </w:pPr>
    </w:p>
    <w:p w14:paraId="7B4A941C">
      <w:pPr>
        <w:spacing w:line="432"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p>
    <w:p w14:paraId="588B7937">
      <w:pPr>
        <w:spacing w:line="432"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p>
    <w:p w14:paraId="52A15207">
      <w:pPr>
        <w:spacing w:line="432"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电子邮件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p>
    <w:p w14:paraId="63B76596">
      <w:pPr>
        <w:spacing w:line="432"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供应商代表签字或签章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p>
    <w:p w14:paraId="637A26DA">
      <w:pPr>
        <w:spacing w:line="432"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eastAsia="zh-CN"/>
        </w:rPr>
        <w:t>供应商盖章：</w:t>
      </w:r>
      <w:r>
        <w:rPr>
          <w:rFonts w:hint="eastAsia" w:ascii="宋体" w:hAnsi="宋体" w:eastAsia="宋体" w:cs="宋体"/>
          <w:color w:val="auto"/>
          <w:sz w:val="24"/>
          <w:highlight w:val="none"/>
          <w:u w:val="single"/>
          <w:lang w:val="en-US" w:eastAsia="zh-CN"/>
        </w:rPr>
        <w:t xml:space="preserve">                        </w:t>
      </w:r>
    </w:p>
    <w:p w14:paraId="514DCC39">
      <w:pPr>
        <w:pageBreakBefore w:val="0"/>
        <w:widowControl w:val="0"/>
        <w:wordWrap/>
        <w:overflowPunct/>
        <w:topLinePunct w:val="0"/>
        <w:bidi w:val="0"/>
        <w:spacing w:before="0" w:beforeLines="50" w:beforeAutospacing="0" w:line="220" w:lineRule="auto"/>
        <w:ind w:left="420" w:leftChars="200" w:firstLine="0" w:firstLineChars="0"/>
        <w:rPr>
          <w:rFonts w:hint="eastAsia" w:ascii="宋体" w:hAnsi="宋体" w:eastAsia="宋体" w:cs="宋体"/>
          <w:color w:val="auto"/>
          <w:spacing w:val="0"/>
          <w:w w:val="100"/>
          <w:position w:val="0"/>
          <w:sz w:val="24"/>
          <w:szCs w:val="24"/>
          <w:highlight w:val="none"/>
          <w:u w:val="single"/>
          <w:lang w:val="en-US" w:eastAsia="zh-CN"/>
        </w:rPr>
      </w:pPr>
      <w:r>
        <w:rPr>
          <w:rFonts w:hint="eastAsia" w:ascii="宋体" w:hAnsi="宋体" w:eastAsia="宋体" w:cs="宋体"/>
          <w:color w:val="auto"/>
          <w:spacing w:val="0"/>
          <w:w w:val="100"/>
          <w:position w:val="0"/>
          <w:sz w:val="24"/>
          <w:szCs w:val="24"/>
          <w:highlight w:val="none"/>
          <w:lang w:eastAsia="zh-CN"/>
        </w:rPr>
        <w:t>日期：</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年</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日</w:t>
      </w:r>
    </w:p>
    <w:p w14:paraId="3B9FD0A1">
      <w:pPr>
        <w:pageBreakBefore w:val="0"/>
        <w:widowControl w:val="0"/>
        <w:wordWrap/>
        <w:overflowPunct/>
        <w:topLinePunct w:val="0"/>
        <w:bidi w:val="0"/>
        <w:spacing w:line="220" w:lineRule="auto"/>
        <w:rPr>
          <w:rFonts w:hint="eastAsia" w:ascii="宋体" w:hAnsi="宋体" w:eastAsia="宋体" w:cs="宋体"/>
          <w:color w:val="auto"/>
          <w:sz w:val="24"/>
          <w:szCs w:val="24"/>
          <w:highlight w:val="none"/>
          <w:lang w:eastAsia="zh-CN"/>
        </w:rPr>
        <w:sectPr>
          <w:footerReference r:id="rId7" w:type="default"/>
          <w:pgSz w:w="11906" w:h="16839"/>
          <w:pgMar w:top="1134" w:right="1134" w:bottom="1134" w:left="1134" w:header="0" w:footer="1200" w:gutter="0"/>
          <w:pgBorders>
            <w:top w:val="none" w:sz="0" w:space="0"/>
            <w:left w:val="none" w:sz="0" w:space="0"/>
            <w:bottom w:val="none" w:sz="0" w:space="0"/>
            <w:right w:val="none" w:sz="0" w:space="0"/>
          </w:pgBorders>
          <w:pgNumType w:fmt="decimal"/>
          <w:cols w:space="720" w:num="1"/>
        </w:sectPr>
      </w:pPr>
    </w:p>
    <w:p w14:paraId="47F681FA">
      <w:pPr>
        <w:pageBreakBefore w:val="0"/>
        <w:widowControl w:val="0"/>
        <w:wordWrap/>
        <w:overflowPunct/>
        <w:topLinePunct w:val="0"/>
        <w:bidi w:val="0"/>
        <w:spacing w:before="47" w:after="0" w:afterLines="150" w:afterAutospacing="0" w:line="219" w:lineRule="auto"/>
        <w:jc w:val="cente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pPr>
      <w:bookmarkStart w:id="246" w:name="bookmark55"/>
      <w:bookmarkEnd w:id="246"/>
      <w:bookmarkStart w:id="247" w:name="_Toc5320"/>
      <w:bookmarkStart w:id="248" w:name="_Toc2426"/>
      <w:bookmarkStart w:id="249" w:name="_Toc25434"/>
      <w:r>
        <w:rPr>
          <w:rFonts w:hint="eastAsia" w:ascii="宋体" w:hAnsi="宋体" w:eastAsia="宋体" w:cs="宋体"/>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格式 2</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.开标一览表</w:t>
      </w:r>
    </w:p>
    <w:p w14:paraId="599E3288">
      <w:pPr>
        <w:pageBreakBefore w:val="0"/>
        <w:widowControl w:val="0"/>
        <w:wordWrap/>
        <w:overflowPunct/>
        <w:topLinePunct w:val="0"/>
        <w:bidi w:val="0"/>
        <w:spacing w:line="276" w:lineRule="auto"/>
        <w:rPr>
          <w:color w:val="auto"/>
          <w:spacing w:val="0"/>
          <w:w w:val="100"/>
          <w:position w:val="0"/>
          <w:highlight w:val="none"/>
          <w:lang w:eastAsia="zh-CN"/>
        </w:rPr>
      </w:pPr>
    </w:p>
    <w:p w14:paraId="4D4D767A">
      <w:pPr>
        <w:pageBreakBefore w:val="0"/>
        <w:widowControl w:val="0"/>
        <w:wordWrap/>
        <w:overflowPunct/>
        <w:topLinePunct w:val="0"/>
        <w:bidi w:val="0"/>
        <w:spacing w:line="276" w:lineRule="auto"/>
        <w:rPr>
          <w:color w:val="auto"/>
          <w:spacing w:val="0"/>
          <w:w w:val="100"/>
          <w:position w:val="0"/>
          <w:highlight w:val="none"/>
          <w:lang w:eastAsia="zh-CN"/>
        </w:rPr>
      </w:pPr>
    </w:p>
    <w:p w14:paraId="76A4AF40">
      <w:pPr>
        <w:autoSpaceDE w:val="0"/>
        <w:autoSpaceDN w:val="0"/>
        <w:snapToGrid w:val="0"/>
        <w:spacing w:line="312" w:lineRule="auto"/>
        <w:rPr>
          <w:color w:val="auto"/>
          <w:highlight w:val="none"/>
        </w:rPr>
      </w:pPr>
      <w:r>
        <w:rPr>
          <w:rFonts w:hint="eastAsia" w:ascii="宋体" w:hAnsi="宋体" w:eastAsia="宋体" w:cs="宋体"/>
          <w:b/>
          <w:bCs/>
          <w:color w:val="auto"/>
          <w:kern w:val="0"/>
          <w:sz w:val="24"/>
          <w:szCs w:val="24"/>
          <w:highlight w:val="none"/>
          <w:lang w:val="en-US" w:eastAsia="zh-CN" w:bidi="ar"/>
        </w:rPr>
        <w:t xml:space="preserve">注： 1、格式以系统生成为准。 </w:t>
      </w:r>
    </w:p>
    <w:p w14:paraId="5B70EE29">
      <w:pPr>
        <w:autoSpaceDE w:val="0"/>
        <w:autoSpaceDN w:val="0"/>
        <w:snapToGrid w:val="0"/>
        <w:spacing w:line="312" w:lineRule="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2、如果开标一览表中交货期无法填写中文，请将电脑中的投标制作软件卸载，重新进入上饶市阳光采购平台下载安装阳光采购投标文件制作工具，如还无法填写中文，请及时联系招标代理。</w:t>
      </w:r>
      <w:r>
        <w:drawing>
          <wp:inline distT="0" distB="0" distL="114300" distR="114300">
            <wp:extent cx="3705225" cy="12001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705225" cy="1200150"/>
                    </a:xfrm>
                    <a:prstGeom prst="rect">
                      <a:avLst/>
                    </a:prstGeom>
                    <a:noFill/>
                    <a:ln>
                      <a:noFill/>
                    </a:ln>
                  </pic:spPr>
                </pic:pic>
              </a:graphicData>
            </a:graphic>
          </wp:inline>
        </w:drawing>
      </w:r>
    </w:p>
    <w:p w14:paraId="3AD43953">
      <w:pPr>
        <w:autoSpaceDE w:val="0"/>
        <w:autoSpaceDN w:val="0"/>
        <w:snapToGrid w:val="0"/>
        <w:spacing w:line="312" w:lineRule="auto"/>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val="zh-CN"/>
        </w:rPr>
        <w:t>、报价包括所有招标范围内的费用（含税价）。</w:t>
      </w:r>
    </w:p>
    <w:p w14:paraId="051B1BAD">
      <w:pPr>
        <w:autoSpaceDE w:val="0"/>
        <w:autoSpaceDN w:val="0"/>
        <w:snapToGrid w:val="0"/>
        <w:spacing w:line="312" w:lineRule="auto"/>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val="zh-CN"/>
        </w:rPr>
        <w:t>、只允许有一个报价，有选择的报价将不予接受。</w:t>
      </w:r>
    </w:p>
    <w:p w14:paraId="445DEC73">
      <w:pPr>
        <w:autoSpaceDE w:val="0"/>
        <w:autoSpaceDN w:val="0"/>
        <w:snapToGrid w:val="0"/>
        <w:spacing w:line="312" w:lineRule="auto"/>
        <w:rPr>
          <w:rFonts w:hint="eastAsia" w:ascii="宋体" w:hAnsi="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val="zh-CN"/>
        </w:rPr>
        <w:t>、</w:t>
      </w:r>
      <w:r>
        <w:rPr>
          <w:rFonts w:hint="eastAsia" w:ascii="宋体" w:hAnsi="宋体" w:cs="宋体"/>
          <w:b/>
          <w:bCs/>
          <w:color w:val="auto"/>
          <w:sz w:val="24"/>
          <w:highlight w:val="none"/>
          <w:lang w:val="en-US" w:eastAsia="zh-CN"/>
        </w:rPr>
        <w:t>报价</w:t>
      </w:r>
      <w:r>
        <w:rPr>
          <w:rFonts w:hint="eastAsia" w:ascii="宋体" w:hAnsi="宋体" w:eastAsia="宋体" w:cs="宋体"/>
          <w:b/>
          <w:bCs/>
          <w:color w:val="auto"/>
          <w:sz w:val="24"/>
          <w:highlight w:val="none"/>
          <w:lang w:val="en-US" w:eastAsia="zh-CN"/>
        </w:rPr>
        <w:t>最多保留</w:t>
      </w:r>
      <w:r>
        <w:rPr>
          <w:rFonts w:hint="eastAsia" w:ascii="宋体" w:hAnsi="宋体" w:eastAsia="宋体" w:cs="宋体"/>
          <w:b/>
          <w:bCs/>
          <w:color w:val="auto"/>
          <w:sz w:val="24"/>
          <w:highlight w:val="none"/>
          <w:lang w:val="zh-CN"/>
        </w:rPr>
        <w:t>小数点后两位。</w:t>
      </w:r>
    </w:p>
    <w:p w14:paraId="789DC986">
      <w:pPr>
        <w:autoSpaceDE w:val="0"/>
        <w:autoSpaceDN w:val="0"/>
        <w:snapToGrid w:val="0"/>
        <w:spacing w:line="312" w:lineRule="auto"/>
        <w:ind w:firstLine="359"/>
        <w:rPr>
          <w:rFonts w:hint="eastAsia" w:ascii="宋体" w:hAnsi="宋体"/>
          <w:sz w:val="24"/>
          <w:highlight w:val="none"/>
          <w:lang w:val="zh-CN"/>
        </w:rPr>
      </w:pPr>
    </w:p>
    <w:p w14:paraId="5E24116C">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p>
    <w:p w14:paraId="3274B562">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p>
    <w:p w14:paraId="5B7CF034">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p>
    <w:p w14:paraId="7B03F40E">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p>
    <w:p w14:paraId="66CC258D">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p>
    <w:p w14:paraId="67C79007">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p>
    <w:p w14:paraId="055AAFAF">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p>
    <w:p w14:paraId="2A64B647">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p>
    <w:p w14:paraId="03EE3513">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p>
    <w:p w14:paraId="056FDF35">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p>
    <w:p w14:paraId="557755B3">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p>
    <w:p w14:paraId="6952C529">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p>
    <w:p w14:paraId="4F43531C">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p>
    <w:p w14:paraId="2A47413E">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p>
    <w:p w14:paraId="27C14A9E">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p>
    <w:p w14:paraId="720AD8CB">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p>
    <w:p w14:paraId="3BC565B9">
      <w:pPr>
        <w:pageBreakBefore w:val="0"/>
        <w:widowControl w:val="0"/>
        <w:wordWrap/>
        <w:overflowPunct/>
        <w:topLinePunct w:val="0"/>
        <w:bidi w:val="0"/>
        <w:spacing w:before="47" w:after="0" w:afterLines="150" w:afterAutospacing="0" w:line="219" w:lineRule="auto"/>
        <w:jc w:val="center"/>
        <w:rPr>
          <w:rFonts w:hint="eastAsia" w:ascii="宋体" w:hAnsi="宋体" w:eastAsia="宋体" w:cs="宋体"/>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格式 3.开标一览明细表</w:t>
      </w:r>
    </w:p>
    <w:p w14:paraId="66537572">
      <w:pPr>
        <w:adjustRightInd w:val="0"/>
        <w:snapToGrid w:val="0"/>
        <w:spacing w:line="600" w:lineRule="exact"/>
        <w:ind w:right="-105" w:rightChars="-50"/>
        <w:jc w:val="left"/>
        <w:rPr>
          <w:rFonts w:hint="eastAsia" w:ascii="宋体" w:hAnsi="宋体" w:eastAsia="宋体" w:cs="宋体"/>
          <w:color w:val="auto"/>
          <w:highlight w:val="none"/>
        </w:rPr>
      </w:pPr>
      <w:r>
        <w:rPr>
          <w:rFonts w:hint="eastAsia" w:ascii="宋体" w:hAnsi="宋体" w:eastAsia="宋体" w:cs="宋体"/>
          <w:color w:val="auto"/>
          <w:sz w:val="24"/>
          <w:highlight w:val="none"/>
        </w:rPr>
        <w:t>项目名称:                                    项目编号:</w:t>
      </w:r>
    </w:p>
    <w:tbl>
      <w:tblPr>
        <w:tblStyle w:val="30"/>
        <w:tblW w:w="100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1869"/>
        <w:gridCol w:w="1130"/>
        <w:gridCol w:w="2041"/>
        <w:gridCol w:w="2041"/>
        <w:gridCol w:w="2041"/>
      </w:tblGrid>
      <w:tr w14:paraId="7EC2B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918" w:type="dxa"/>
            <w:vAlign w:val="center"/>
          </w:tcPr>
          <w:p w14:paraId="427B394E">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宋体" w:hAnsi="宋体" w:eastAsia="宋体" w:cs="宋体"/>
                <w:b w:val="0"/>
                <w:bCs w:val="0"/>
                <w:snapToGrid/>
                <w:color w:val="auto"/>
                <w:kern w:val="2"/>
                <w:sz w:val="24"/>
                <w:szCs w:val="24"/>
                <w:highlight w:val="none"/>
                <w:lang w:val="en-US" w:eastAsia="zh-CN" w:bidi="ar-SA"/>
              </w:rPr>
            </w:pPr>
            <w:r>
              <w:rPr>
                <w:rFonts w:hint="eastAsia" w:hAnsi="宋体" w:eastAsia="宋体" w:cs="宋体"/>
                <w:b w:val="0"/>
                <w:bCs w:val="0"/>
                <w:snapToGrid/>
                <w:color w:val="auto"/>
                <w:kern w:val="2"/>
                <w:sz w:val="24"/>
                <w:szCs w:val="24"/>
                <w:highlight w:val="none"/>
                <w:lang w:val="en-US" w:eastAsia="zh-CN" w:bidi="ar-SA"/>
              </w:rPr>
              <w:t>序号</w:t>
            </w:r>
          </w:p>
        </w:tc>
        <w:tc>
          <w:tcPr>
            <w:tcW w:w="1869" w:type="dxa"/>
            <w:vAlign w:val="center"/>
          </w:tcPr>
          <w:p w14:paraId="46405253">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岗位名称</w:t>
            </w:r>
          </w:p>
        </w:tc>
        <w:tc>
          <w:tcPr>
            <w:tcW w:w="1130" w:type="dxa"/>
            <w:vAlign w:val="center"/>
          </w:tcPr>
          <w:p w14:paraId="7D99F27B">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人数</w:t>
            </w:r>
          </w:p>
        </w:tc>
        <w:tc>
          <w:tcPr>
            <w:tcW w:w="2041" w:type="dxa"/>
            <w:vAlign w:val="center"/>
          </w:tcPr>
          <w:p w14:paraId="3B1BC793">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hAnsi="宋体" w:eastAsia="宋体" w:cs="宋体"/>
                <w:b w:val="0"/>
                <w:bCs w:val="0"/>
                <w:snapToGrid/>
                <w:color w:val="auto"/>
                <w:kern w:val="2"/>
                <w:sz w:val="24"/>
                <w:szCs w:val="24"/>
                <w:highlight w:val="none"/>
                <w:lang w:val="en-US" w:eastAsia="zh-CN" w:bidi="ar-SA"/>
              </w:rPr>
            </w:pPr>
            <w:r>
              <w:rPr>
                <w:rFonts w:hint="eastAsia" w:hAnsi="宋体" w:eastAsia="宋体" w:cs="宋体"/>
                <w:b w:val="0"/>
                <w:bCs w:val="0"/>
                <w:snapToGrid/>
                <w:color w:val="auto"/>
                <w:kern w:val="2"/>
                <w:sz w:val="24"/>
                <w:szCs w:val="24"/>
                <w:highlight w:val="none"/>
                <w:lang w:val="en-US" w:eastAsia="zh-CN" w:bidi="ar-SA"/>
              </w:rPr>
              <w:t>服务时间</w:t>
            </w:r>
          </w:p>
        </w:tc>
        <w:tc>
          <w:tcPr>
            <w:tcW w:w="2041" w:type="dxa"/>
            <w:vAlign w:val="center"/>
          </w:tcPr>
          <w:p w14:paraId="375F867D">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宋体" w:hAnsi="宋体" w:eastAsia="宋体" w:cs="宋体"/>
                <w:b w:val="0"/>
                <w:bCs w:val="0"/>
                <w:snapToGrid/>
                <w:color w:val="auto"/>
                <w:kern w:val="2"/>
                <w:sz w:val="24"/>
                <w:szCs w:val="24"/>
                <w:highlight w:val="none"/>
                <w:lang w:val="en-US" w:eastAsia="zh-CN" w:bidi="ar-SA"/>
              </w:rPr>
            </w:pPr>
            <w:r>
              <w:rPr>
                <w:rFonts w:hint="eastAsia" w:hAnsi="宋体" w:eastAsia="宋体" w:cs="宋体"/>
                <w:b w:val="0"/>
                <w:bCs w:val="0"/>
                <w:snapToGrid/>
                <w:color w:val="auto"/>
                <w:kern w:val="2"/>
                <w:sz w:val="24"/>
                <w:szCs w:val="24"/>
                <w:highlight w:val="none"/>
                <w:lang w:val="en-US" w:eastAsia="zh-CN" w:bidi="ar-SA"/>
              </w:rPr>
              <w:t>单价（元/月）</w:t>
            </w:r>
          </w:p>
        </w:tc>
        <w:tc>
          <w:tcPr>
            <w:tcW w:w="2041" w:type="dxa"/>
            <w:vAlign w:val="center"/>
          </w:tcPr>
          <w:p w14:paraId="76B7C4ED">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hAnsi="宋体" w:eastAsia="宋体" w:cs="宋体"/>
                <w:b w:val="0"/>
                <w:bCs w:val="0"/>
                <w:snapToGrid/>
                <w:color w:val="auto"/>
                <w:kern w:val="2"/>
                <w:sz w:val="24"/>
                <w:szCs w:val="24"/>
                <w:highlight w:val="none"/>
                <w:lang w:val="en-US" w:eastAsia="zh-CN" w:bidi="ar-SA"/>
              </w:rPr>
            </w:pPr>
            <w:r>
              <w:rPr>
                <w:rFonts w:hint="eastAsia" w:hAnsi="宋体" w:eastAsia="宋体" w:cs="宋体"/>
                <w:b w:val="0"/>
                <w:bCs w:val="0"/>
                <w:snapToGrid/>
                <w:color w:val="auto"/>
                <w:kern w:val="2"/>
                <w:sz w:val="24"/>
                <w:szCs w:val="24"/>
                <w:highlight w:val="none"/>
                <w:lang w:val="en-US" w:eastAsia="zh-CN" w:bidi="ar-SA"/>
              </w:rPr>
              <w:t>总价（元）</w:t>
            </w:r>
          </w:p>
        </w:tc>
      </w:tr>
      <w:tr w14:paraId="7E852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918" w:type="dxa"/>
            <w:vAlign w:val="center"/>
          </w:tcPr>
          <w:p w14:paraId="1B430883">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1</w:t>
            </w:r>
          </w:p>
        </w:tc>
        <w:tc>
          <w:tcPr>
            <w:tcW w:w="1869" w:type="dxa"/>
            <w:vAlign w:val="center"/>
          </w:tcPr>
          <w:p w14:paraId="55232EC8">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1厂厨师</w:t>
            </w:r>
          </w:p>
        </w:tc>
        <w:tc>
          <w:tcPr>
            <w:tcW w:w="1130" w:type="dxa"/>
            <w:vAlign w:val="center"/>
          </w:tcPr>
          <w:p w14:paraId="678E9F86">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宋体" w:hAnsi="宋体" w:eastAsia="宋体" w:cs="宋体"/>
                <w:b w:val="0"/>
                <w:bCs w:val="0"/>
                <w:snapToGrid/>
                <w:color w:val="auto"/>
                <w:kern w:val="2"/>
                <w:sz w:val="24"/>
                <w:szCs w:val="24"/>
                <w:highlight w:val="none"/>
                <w:lang w:val="en-US" w:eastAsia="zh-CN" w:bidi="ar-SA"/>
              </w:rPr>
            </w:pPr>
            <w:r>
              <w:rPr>
                <w:rFonts w:hint="eastAsia" w:hAnsi="宋体" w:eastAsia="宋体" w:cs="宋体"/>
                <w:b w:val="0"/>
                <w:bCs w:val="0"/>
                <w:snapToGrid/>
                <w:color w:val="auto"/>
                <w:kern w:val="2"/>
                <w:sz w:val="24"/>
                <w:szCs w:val="24"/>
                <w:highlight w:val="none"/>
                <w:lang w:val="en-US" w:eastAsia="zh-CN" w:bidi="ar-SA"/>
              </w:rPr>
              <w:t>1</w:t>
            </w:r>
          </w:p>
        </w:tc>
        <w:tc>
          <w:tcPr>
            <w:tcW w:w="2041" w:type="dxa"/>
            <w:vAlign w:val="center"/>
          </w:tcPr>
          <w:p w14:paraId="0EE2CCB8">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宋体" w:hAnsi="宋体" w:eastAsia="宋体" w:cs="宋体"/>
                <w:b w:val="0"/>
                <w:bCs w:val="0"/>
                <w:snapToGrid/>
                <w:color w:val="auto"/>
                <w:kern w:val="2"/>
                <w:sz w:val="24"/>
                <w:szCs w:val="24"/>
                <w:highlight w:val="none"/>
                <w:lang w:val="en-US" w:eastAsia="zh-CN" w:bidi="ar-SA"/>
              </w:rPr>
            </w:pPr>
            <w:r>
              <w:rPr>
                <w:rFonts w:hint="eastAsia" w:hAnsi="宋体" w:eastAsia="宋体" w:cs="宋体"/>
                <w:b w:val="0"/>
                <w:bCs w:val="0"/>
                <w:snapToGrid/>
                <w:color w:val="auto"/>
                <w:kern w:val="2"/>
                <w:sz w:val="24"/>
                <w:szCs w:val="24"/>
                <w:highlight w:val="none"/>
                <w:lang w:val="en-US" w:eastAsia="zh-CN" w:bidi="ar-SA"/>
              </w:rPr>
              <w:t>12个月</w:t>
            </w:r>
          </w:p>
        </w:tc>
        <w:tc>
          <w:tcPr>
            <w:tcW w:w="2041" w:type="dxa"/>
            <w:vAlign w:val="center"/>
          </w:tcPr>
          <w:p w14:paraId="1F50C8E6">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p>
        </w:tc>
        <w:tc>
          <w:tcPr>
            <w:tcW w:w="2041" w:type="dxa"/>
            <w:vAlign w:val="center"/>
          </w:tcPr>
          <w:p w14:paraId="1F092A98">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p>
        </w:tc>
      </w:tr>
      <w:tr w14:paraId="05828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918" w:type="dxa"/>
            <w:vAlign w:val="center"/>
          </w:tcPr>
          <w:p w14:paraId="11FADF2B">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2</w:t>
            </w:r>
          </w:p>
        </w:tc>
        <w:tc>
          <w:tcPr>
            <w:tcW w:w="1869" w:type="dxa"/>
            <w:vAlign w:val="center"/>
          </w:tcPr>
          <w:p w14:paraId="7BCF648D">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2厂厨师</w:t>
            </w:r>
          </w:p>
        </w:tc>
        <w:tc>
          <w:tcPr>
            <w:tcW w:w="1130" w:type="dxa"/>
            <w:vAlign w:val="center"/>
          </w:tcPr>
          <w:p w14:paraId="2E9C766A">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hAnsi="宋体" w:eastAsia="宋体" w:cs="宋体"/>
                <w:b w:val="0"/>
                <w:bCs w:val="0"/>
                <w:snapToGrid/>
                <w:color w:val="auto"/>
                <w:kern w:val="2"/>
                <w:sz w:val="24"/>
                <w:szCs w:val="24"/>
                <w:highlight w:val="none"/>
                <w:lang w:val="en-US" w:eastAsia="zh-CN" w:bidi="ar-SA"/>
              </w:rPr>
            </w:pPr>
            <w:r>
              <w:rPr>
                <w:rFonts w:hint="eastAsia" w:hAnsi="宋体" w:eastAsia="宋体" w:cs="宋体"/>
                <w:b w:val="0"/>
                <w:bCs w:val="0"/>
                <w:snapToGrid/>
                <w:color w:val="auto"/>
                <w:kern w:val="2"/>
                <w:sz w:val="24"/>
                <w:szCs w:val="24"/>
                <w:highlight w:val="none"/>
                <w:lang w:val="en-US" w:eastAsia="zh-CN" w:bidi="ar-SA"/>
              </w:rPr>
              <w:t>1</w:t>
            </w:r>
          </w:p>
        </w:tc>
        <w:tc>
          <w:tcPr>
            <w:tcW w:w="2041" w:type="dxa"/>
            <w:vAlign w:val="center"/>
          </w:tcPr>
          <w:p w14:paraId="23BFC338">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hAnsi="宋体" w:eastAsia="宋体" w:cs="宋体"/>
                <w:b w:val="0"/>
                <w:bCs w:val="0"/>
                <w:snapToGrid/>
                <w:color w:val="auto"/>
                <w:kern w:val="2"/>
                <w:sz w:val="24"/>
                <w:szCs w:val="24"/>
                <w:highlight w:val="none"/>
                <w:lang w:val="en-US" w:eastAsia="zh-CN" w:bidi="ar-SA"/>
              </w:rPr>
              <w:t>12个月</w:t>
            </w:r>
          </w:p>
        </w:tc>
        <w:tc>
          <w:tcPr>
            <w:tcW w:w="2041" w:type="dxa"/>
            <w:vAlign w:val="center"/>
          </w:tcPr>
          <w:p w14:paraId="53B9D502">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p>
        </w:tc>
        <w:tc>
          <w:tcPr>
            <w:tcW w:w="2041" w:type="dxa"/>
            <w:vAlign w:val="center"/>
          </w:tcPr>
          <w:p w14:paraId="6520C78B">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p>
        </w:tc>
      </w:tr>
      <w:tr w14:paraId="0FA71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918" w:type="dxa"/>
            <w:vAlign w:val="center"/>
          </w:tcPr>
          <w:p w14:paraId="47E20C02">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3</w:t>
            </w:r>
          </w:p>
        </w:tc>
        <w:tc>
          <w:tcPr>
            <w:tcW w:w="1869" w:type="dxa"/>
            <w:vAlign w:val="center"/>
          </w:tcPr>
          <w:p w14:paraId="4E4974E4">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配菜员</w:t>
            </w:r>
          </w:p>
        </w:tc>
        <w:tc>
          <w:tcPr>
            <w:tcW w:w="1130" w:type="dxa"/>
            <w:vAlign w:val="center"/>
          </w:tcPr>
          <w:p w14:paraId="67EF2496">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宋体" w:hAnsi="宋体" w:eastAsia="宋体" w:cs="宋体"/>
                <w:b w:val="0"/>
                <w:bCs w:val="0"/>
                <w:snapToGrid/>
                <w:color w:val="auto"/>
                <w:kern w:val="2"/>
                <w:sz w:val="24"/>
                <w:szCs w:val="24"/>
                <w:highlight w:val="none"/>
                <w:lang w:val="en-US" w:eastAsia="zh-CN" w:bidi="ar-SA"/>
              </w:rPr>
            </w:pPr>
            <w:r>
              <w:rPr>
                <w:rFonts w:hint="eastAsia" w:hAnsi="宋体" w:eastAsia="宋体" w:cs="宋体"/>
                <w:b w:val="0"/>
                <w:bCs w:val="0"/>
                <w:snapToGrid/>
                <w:color w:val="auto"/>
                <w:kern w:val="2"/>
                <w:sz w:val="24"/>
                <w:szCs w:val="24"/>
                <w:highlight w:val="none"/>
                <w:lang w:val="en-US" w:eastAsia="zh-CN" w:bidi="ar-SA"/>
              </w:rPr>
              <w:t>1</w:t>
            </w:r>
          </w:p>
        </w:tc>
        <w:tc>
          <w:tcPr>
            <w:tcW w:w="2041" w:type="dxa"/>
            <w:vAlign w:val="center"/>
          </w:tcPr>
          <w:p w14:paraId="7D018108">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hAnsi="宋体" w:eastAsia="宋体" w:cs="宋体"/>
                <w:b w:val="0"/>
                <w:bCs w:val="0"/>
                <w:snapToGrid/>
                <w:color w:val="auto"/>
                <w:kern w:val="2"/>
                <w:sz w:val="24"/>
                <w:szCs w:val="24"/>
                <w:highlight w:val="none"/>
                <w:lang w:val="en-US" w:eastAsia="zh-CN" w:bidi="ar-SA"/>
              </w:rPr>
              <w:t>12个月</w:t>
            </w:r>
          </w:p>
        </w:tc>
        <w:tc>
          <w:tcPr>
            <w:tcW w:w="2041" w:type="dxa"/>
            <w:vAlign w:val="center"/>
          </w:tcPr>
          <w:p w14:paraId="386A3758">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p>
        </w:tc>
        <w:tc>
          <w:tcPr>
            <w:tcW w:w="2041" w:type="dxa"/>
            <w:vAlign w:val="center"/>
          </w:tcPr>
          <w:p w14:paraId="3083089F">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p>
        </w:tc>
      </w:tr>
      <w:tr w14:paraId="72D67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10040" w:type="dxa"/>
            <w:gridSpan w:val="6"/>
            <w:vAlign w:val="center"/>
          </w:tcPr>
          <w:p w14:paraId="414EFD23">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outlineLvl w:val="9"/>
              <w:rPr>
                <w:rFonts w:hint="default" w:ascii="宋体" w:hAnsi="宋体" w:eastAsia="宋体" w:cs="宋体"/>
                <w:b w:val="0"/>
                <w:bCs w:val="0"/>
                <w:snapToGrid/>
                <w:color w:val="auto"/>
                <w:kern w:val="2"/>
                <w:sz w:val="24"/>
                <w:szCs w:val="24"/>
                <w:highlight w:val="yellow"/>
                <w:lang w:val="en-US" w:eastAsia="zh-CN" w:bidi="ar-SA"/>
              </w:rPr>
            </w:pPr>
            <w:r>
              <w:rPr>
                <w:rFonts w:hint="eastAsia" w:hAnsi="宋体" w:eastAsia="宋体" w:cs="宋体"/>
                <w:b w:val="0"/>
                <w:bCs w:val="0"/>
                <w:snapToGrid/>
                <w:color w:val="auto"/>
                <w:kern w:val="2"/>
                <w:sz w:val="24"/>
                <w:szCs w:val="24"/>
                <w:highlight w:val="none"/>
                <w:lang w:val="en-US" w:eastAsia="zh-CN" w:bidi="ar-SA"/>
              </w:rPr>
              <w:t>总金额：大写：       小写：</w:t>
            </w:r>
          </w:p>
        </w:tc>
      </w:tr>
    </w:tbl>
    <w:p w14:paraId="255AC422">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p>
    <w:p w14:paraId="1203E5A6">
      <w:pPr>
        <w:pageBreakBefore w:val="0"/>
        <w:widowControl w:val="0"/>
        <w:wordWrap/>
        <w:overflowPunct/>
        <w:topLinePunct w:val="0"/>
        <w:bidi w:val="0"/>
        <w:spacing w:before="78" w:after="0" w:afterLines="100" w:afterAutospacing="0" w:line="220" w:lineRule="auto"/>
        <w:jc w:val="center"/>
        <w:outlineLvl w:val="1"/>
        <w:rPr>
          <w:rFonts w:hint="eastAsia" w:ascii="宋体" w:hAnsi="宋体"/>
          <w:sz w:val="24"/>
          <w:highlight w:val="none"/>
          <w:lang w:val="zh-CN"/>
        </w:rPr>
      </w:pPr>
    </w:p>
    <w:p w14:paraId="52D79EF7">
      <w:pPr>
        <w:pageBreakBefore w:val="0"/>
        <w:widowControl w:val="0"/>
        <w:wordWrap/>
        <w:overflowPunct/>
        <w:topLinePunct w:val="0"/>
        <w:bidi w:val="0"/>
        <w:spacing w:before="78" w:after="0" w:afterLines="100" w:afterAutospacing="0" w:line="220" w:lineRule="auto"/>
        <w:jc w:val="center"/>
        <w:outlineLvl w:val="1"/>
        <w:rPr>
          <w:rFonts w:hint="eastAsia" w:ascii="宋体" w:hAnsi="宋体"/>
          <w:sz w:val="24"/>
          <w:highlight w:val="none"/>
          <w:lang w:val="zh-CN"/>
        </w:rPr>
      </w:pPr>
    </w:p>
    <w:p w14:paraId="40EECFA9">
      <w:pPr>
        <w:autoSpaceDE w:val="0"/>
        <w:autoSpaceDN w:val="0"/>
        <w:snapToGrid w:val="0"/>
        <w:spacing w:line="312" w:lineRule="auto"/>
        <w:ind w:firstLine="359"/>
        <w:rPr>
          <w:rFonts w:hint="eastAsia" w:ascii="宋体" w:hAnsi="宋体"/>
          <w:sz w:val="24"/>
          <w:highlight w:val="none"/>
          <w:lang w:val="zh-CN"/>
        </w:rPr>
      </w:pPr>
      <w:r>
        <w:rPr>
          <w:rFonts w:hint="eastAsia" w:ascii="宋体" w:hAnsi="宋体"/>
          <w:sz w:val="24"/>
          <w:highlight w:val="none"/>
          <w:lang w:val="zh-CN"/>
        </w:rPr>
        <w:t xml:space="preserve">供应商（盖章）： </w:t>
      </w:r>
    </w:p>
    <w:p w14:paraId="033ABDEA">
      <w:pPr>
        <w:autoSpaceDE w:val="0"/>
        <w:autoSpaceDN w:val="0"/>
        <w:snapToGrid w:val="0"/>
        <w:spacing w:line="312" w:lineRule="auto"/>
        <w:ind w:firstLine="359"/>
        <w:rPr>
          <w:rFonts w:hint="eastAsia" w:ascii="宋体" w:hAnsi="宋体"/>
          <w:sz w:val="24"/>
          <w:highlight w:val="none"/>
          <w:lang w:val="zh-CN"/>
        </w:rPr>
      </w:pPr>
    </w:p>
    <w:p w14:paraId="28D71447">
      <w:pPr>
        <w:autoSpaceDE w:val="0"/>
        <w:autoSpaceDN w:val="0"/>
        <w:snapToGrid w:val="0"/>
        <w:spacing w:line="312" w:lineRule="auto"/>
        <w:ind w:firstLine="359"/>
        <w:rPr>
          <w:rFonts w:hint="eastAsia" w:ascii="宋体" w:hAnsi="宋体"/>
          <w:sz w:val="24"/>
          <w:highlight w:val="none"/>
          <w:lang w:val="zh-CN"/>
        </w:rPr>
      </w:pPr>
    </w:p>
    <w:p w14:paraId="3C5495BE">
      <w:pPr>
        <w:pageBreakBefore w:val="0"/>
        <w:widowControl w:val="0"/>
        <w:wordWrap/>
        <w:overflowPunct/>
        <w:topLinePunct w:val="0"/>
        <w:bidi w:val="0"/>
        <w:spacing w:before="78" w:after="0" w:afterLines="100" w:afterAutospacing="0" w:line="220" w:lineRule="auto"/>
        <w:ind w:firstLine="240" w:firstLineChars="100"/>
        <w:jc w:val="both"/>
        <w:outlineLvl w:val="1"/>
        <w:rPr>
          <w:rFonts w:hint="eastAsia" w:ascii="宋体" w:hAnsi="宋体"/>
          <w:sz w:val="24"/>
          <w:highlight w:val="none"/>
          <w:lang w:val="zh-CN"/>
        </w:rPr>
      </w:pPr>
      <w:r>
        <w:rPr>
          <w:rFonts w:hint="eastAsia" w:ascii="宋体" w:hAnsi="宋体"/>
          <w:sz w:val="24"/>
          <w:highlight w:val="none"/>
          <w:lang w:val="zh-CN"/>
        </w:rPr>
        <w:t>法定代表人或委托代理人（签字</w:t>
      </w:r>
      <w:r>
        <w:rPr>
          <w:rFonts w:hint="eastAsia" w:ascii="宋体" w:hAnsi="宋体" w:eastAsia="宋体"/>
          <w:sz w:val="24"/>
          <w:highlight w:val="none"/>
          <w:lang w:val="en-US" w:eastAsia="zh-CN"/>
        </w:rPr>
        <w:t>或盖章</w:t>
      </w:r>
      <w:r>
        <w:rPr>
          <w:rFonts w:hint="eastAsia" w:ascii="宋体" w:hAnsi="宋体"/>
          <w:sz w:val="24"/>
          <w:highlight w:val="none"/>
          <w:lang w:val="zh-CN"/>
        </w:rPr>
        <w:t xml:space="preserve">）： </w:t>
      </w:r>
    </w:p>
    <w:p w14:paraId="13CC6315">
      <w:pPr>
        <w:pageBreakBefore w:val="0"/>
        <w:widowControl w:val="0"/>
        <w:wordWrap/>
        <w:overflowPunct/>
        <w:topLinePunct w:val="0"/>
        <w:bidi w:val="0"/>
        <w:spacing w:before="78" w:after="0" w:afterLines="100" w:afterAutospacing="0" w:line="220" w:lineRule="auto"/>
        <w:jc w:val="center"/>
        <w:outlineLvl w:val="1"/>
        <w:rPr>
          <w:rFonts w:hint="eastAsia" w:ascii="宋体" w:hAnsi="宋体"/>
          <w:sz w:val="24"/>
          <w:highlight w:val="none"/>
          <w:lang w:val="zh-CN"/>
        </w:rPr>
      </w:pPr>
    </w:p>
    <w:p w14:paraId="12993583">
      <w:pPr>
        <w:pageBreakBefore w:val="0"/>
        <w:widowControl w:val="0"/>
        <w:wordWrap/>
        <w:overflowPunct/>
        <w:topLinePunct w:val="0"/>
        <w:bidi w:val="0"/>
        <w:spacing w:before="78" w:after="0" w:afterLines="100" w:afterAutospacing="0" w:line="220" w:lineRule="auto"/>
        <w:jc w:val="center"/>
        <w:outlineLvl w:val="1"/>
        <w:rPr>
          <w:rFonts w:hint="eastAsia" w:ascii="宋体" w:hAnsi="宋体"/>
          <w:sz w:val="24"/>
          <w:highlight w:val="none"/>
          <w:lang w:val="zh-CN"/>
        </w:rPr>
      </w:pPr>
    </w:p>
    <w:p w14:paraId="25B2B9C4">
      <w:pPr>
        <w:pageBreakBefore w:val="0"/>
        <w:widowControl w:val="0"/>
        <w:wordWrap/>
        <w:overflowPunct/>
        <w:topLinePunct w:val="0"/>
        <w:bidi w:val="0"/>
        <w:spacing w:before="78" w:after="0" w:afterLines="100" w:afterAutospacing="0" w:line="220" w:lineRule="auto"/>
        <w:jc w:val="center"/>
        <w:outlineLvl w:val="1"/>
        <w:rPr>
          <w:rFonts w:hint="eastAsia" w:ascii="宋体" w:hAnsi="宋体"/>
          <w:sz w:val="24"/>
          <w:highlight w:val="none"/>
          <w:lang w:val="zh-CN"/>
        </w:rPr>
      </w:pPr>
    </w:p>
    <w:p w14:paraId="17286AD5">
      <w:pPr>
        <w:pStyle w:val="27"/>
        <w:rPr>
          <w:rFonts w:hint="eastAsia" w:ascii="宋体" w:hAnsi="宋体"/>
          <w:sz w:val="24"/>
          <w:highlight w:val="none"/>
          <w:lang w:val="zh-CN"/>
        </w:rPr>
      </w:pPr>
    </w:p>
    <w:p w14:paraId="66F1635E">
      <w:pPr>
        <w:pStyle w:val="27"/>
        <w:rPr>
          <w:rFonts w:hint="eastAsia" w:ascii="宋体" w:hAnsi="宋体"/>
          <w:sz w:val="24"/>
          <w:highlight w:val="none"/>
          <w:lang w:val="zh-CN"/>
        </w:rPr>
      </w:pPr>
    </w:p>
    <w:p w14:paraId="42F55A36">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p>
    <w:p w14:paraId="00578510">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p>
    <w:p w14:paraId="340CB46D">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p>
    <w:p w14:paraId="47F351AF">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p>
    <w:p w14:paraId="5DD94F10">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p>
    <w:p w14:paraId="428C643D">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p>
    <w:p w14:paraId="762A71DB">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p>
    <w:p w14:paraId="014F4C3C">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p>
    <w:p w14:paraId="20169EFA">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p>
    <w:p w14:paraId="6707412C">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格式 4.服务要</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求响应/偏离表</w:t>
      </w:r>
      <w:bookmarkEnd w:id="247"/>
      <w:bookmarkEnd w:id="248"/>
      <w:bookmarkEnd w:id="249"/>
    </w:p>
    <w:p w14:paraId="516D0452">
      <w:pPr>
        <w:spacing w:line="336" w:lineRule="auto"/>
        <w:ind w:right="-105" w:rightChars="-50" w:firstLine="240" w:firstLineChars="1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eastAsia="zh-CN"/>
        </w:rPr>
        <w:t>项目名称：</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lang w:eastAsia="zh-CN"/>
        </w:rPr>
        <w:t>：</w:t>
      </w:r>
    </w:p>
    <w:tbl>
      <w:tblPr>
        <w:tblStyle w:val="30"/>
        <w:tblW w:w="501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5"/>
        <w:gridCol w:w="1989"/>
        <w:gridCol w:w="1720"/>
        <w:gridCol w:w="1722"/>
        <w:gridCol w:w="1722"/>
        <w:gridCol w:w="1723"/>
      </w:tblGrid>
      <w:tr w14:paraId="6745B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411" w:type="pct"/>
            <w:vAlign w:val="center"/>
          </w:tcPr>
          <w:p w14:paraId="5E4BA51D">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28" w:type="pct"/>
            <w:vAlign w:val="center"/>
          </w:tcPr>
          <w:p w14:paraId="7DC1EB9A">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条目号</w:t>
            </w:r>
          </w:p>
        </w:tc>
        <w:tc>
          <w:tcPr>
            <w:tcW w:w="889" w:type="pct"/>
            <w:vAlign w:val="center"/>
          </w:tcPr>
          <w:p w14:paraId="0BC44E90">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需求</w:t>
            </w:r>
          </w:p>
        </w:tc>
        <w:tc>
          <w:tcPr>
            <w:tcW w:w="890" w:type="pct"/>
            <w:vAlign w:val="center"/>
          </w:tcPr>
          <w:p w14:paraId="69A3C2C5">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响应</w:t>
            </w:r>
          </w:p>
        </w:tc>
        <w:tc>
          <w:tcPr>
            <w:tcW w:w="889" w:type="pct"/>
            <w:vAlign w:val="center"/>
          </w:tcPr>
          <w:p w14:paraId="4A73E2C5">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响应/偏离</w:t>
            </w:r>
          </w:p>
        </w:tc>
        <w:tc>
          <w:tcPr>
            <w:tcW w:w="890" w:type="pct"/>
            <w:vAlign w:val="center"/>
          </w:tcPr>
          <w:p w14:paraId="5ACF8C49">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6192F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411" w:type="pct"/>
            <w:vAlign w:val="center"/>
          </w:tcPr>
          <w:p w14:paraId="62EACDBA">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28" w:type="pct"/>
            <w:vAlign w:val="center"/>
          </w:tcPr>
          <w:p w14:paraId="35C8F390">
            <w:pPr>
              <w:spacing w:before="78" w:line="22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磋商文件 第五章</w:t>
            </w:r>
          </w:p>
          <w:p w14:paraId="64E34597">
            <w:pPr>
              <w:spacing w:before="78" w:line="22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（一）采购需求</w:t>
            </w:r>
          </w:p>
        </w:tc>
        <w:tc>
          <w:tcPr>
            <w:tcW w:w="2669" w:type="pct"/>
            <w:gridSpan w:val="3"/>
            <w:vAlign w:val="center"/>
          </w:tcPr>
          <w:p w14:paraId="382F8A53">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p>
        </w:tc>
        <w:tc>
          <w:tcPr>
            <w:tcW w:w="890" w:type="pct"/>
            <w:vAlign w:val="center"/>
          </w:tcPr>
          <w:p w14:paraId="12DA73A3">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无偏离</w:t>
            </w:r>
          </w:p>
        </w:tc>
      </w:tr>
      <w:tr w14:paraId="16DB6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411" w:type="pct"/>
            <w:vAlign w:val="center"/>
          </w:tcPr>
          <w:p w14:paraId="5D9E0E26">
            <w:pPr>
              <w:spacing w:before="78" w:line="220" w:lineRule="auto"/>
              <w:jc w:val="center"/>
              <w:rPr>
                <w:rFonts w:hint="eastAsia" w:ascii="宋体" w:hAnsi="宋体" w:eastAsia="宋体" w:cs="宋体"/>
                <w:color w:val="auto"/>
                <w:sz w:val="24"/>
                <w:szCs w:val="24"/>
                <w:highlight w:val="none"/>
              </w:rPr>
            </w:pPr>
          </w:p>
        </w:tc>
        <w:tc>
          <w:tcPr>
            <w:tcW w:w="1028" w:type="pct"/>
            <w:vAlign w:val="center"/>
          </w:tcPr>
          <w:p w14:paraId="1391BC3F">
            <w:pPr>
              <w:spacing w:before="78" w:line="220" w:lineRule="auto"/>
              <w:jc w:val="center"/>
              <w:rPr>
                <w:rFonts w:hint="eastAsia" w:ascii="宋体" w:hAnsi="宋体" w:eastAsia="宋体" w:cs="宋体"/>
                <w:color w:val="auto"/>
                <w:sz w:val="24"/>
                <w:szCs w:val="24"/>
                <w:highlight w:val="none"/>
              </w:rPr>
            </w:pPr>
          </w:p>
        </w:tc>
        <w:tc>
          <w:tcPr>
            <w:tcW w:w="889" w:type="pct"/>
            <w:vAlign w:val="center"/>
          </w:tcPr>
          <w:p w14:paraId="58EF7AB4">
            <w:pPr>
              <w:spacing w:before="78" w:line="220" w:lineRule="auto"/>
              <w:jc w:val="center"/>
              <w:rPr>
                <w:rFonts w:hint="eastAsia" w:ascii="宋体" w:hAnsi="宋体" w:eastAsia="宋体" w:cs="宋体"/>
                <w:color w:val="auto"/>
                <w:sz w:val="24"/>
                <w:szCs w:val="24"/>
                <w:highlight w:val="none"/>
              </w:rPr>
            </w:pPr>
          </w:p>
        </w:tc>
        <w:tc>
          <w:tcPr>
            <w:tcW w:w="890" w:type="pct"/>
            <w:vAlign w:val="center"/>
          </w:tcPr>
          <w:p w14:paraId="76431F9B">
            <w:pPr>
              <w:spacing w:before="78" w:line="220" w:lineRule="auto"/>
              <w:jc w:val="center"/>
              <w:rPr>
                <w:rFonts w:hint="eastAsia" w:ascii="宋体" w:hAnsi="宋体" w:eastAsia="宋体" w:cs="宋体"/>
                <w:color w:val="auto"/>
                <w:sz w:val="24"/>
                <w:szCs w:val="24"/>
                <w:highlight w:val="none"/>
              </w:rPr>
            </w:pPr>
          </w:p>
        </w:tc>
        <w:tc>
          <w:tcPr>
            <w:tcW w:w="889" w:type="pct"/>
            <w:vAlign w:val="center"/>
          </w:tcPr>
          <w:p w14:paraId="082083CF">
            <w:pPr>
              <w:spacing w:before="78" w:line="220" w:lineRule="auto"/>
              <w:jc w:val="center"/>
              <w:rPr>
                <w:rFonts w:hint="eastAsia" w:ascii="宋体" w:hAnsi="宋体" w:eastAsia="宋体" w:cs="宋体"/>
                <w:color w:val="auto"/>
                <w:sz w:val="24"/>
                <w:szCs w:val="24"/>
                <w:highlight w:val="none"/>
              </w:rPr>
            </w:pPr>
          </w:p>
        </w:tc>
        <w:tc>
          <w:tcPr>
            <w:tcW w:w="890" w:type="pct"/>
            <w:vAlign w:val="center"/>
          </w:tcPr>
          <w:p w14:paraId="626D5179">
            <w:pPr>
              <w:spacing w:before="78" w:line="220" w:lineRule="auto"/>
              <w:jc w:val="center"/>
              <w:rPr>
                <w:rFonts w:hint="eastAsia" w:ascii="宋体" w:hAnsi="宋体" w:eastAsia="宋体" w:cs="宋体"/>
                <w:color w:val="auto"/>
                <w:sz w:val="24"/>
                <w:szCs w:val="24"/>
                <w:highlight w:val="none"/>
              </w:rPr>
            </w:pPr>
          </w:p>
        </w:tc>
      </w:tr>
      <w:tr w14:paraId="7EDE6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411" w:type="pct"/>
            <w:vAlign w:val="center"/>
          </w:tcPr>
          <w:p w14:paraId="7B27C214">
            <w:pPr>
              <w:spacing w:before="78" w:line="220" w:lineRule="auto"/>
              <w:jc w:val="center"/>
              <w:rPr>
                <w:rFonts w:hint="eastAsia" w:ascii="宋体" w:hAnsi="宋体" w:eastAsia="宋体" w:cs="宋体"/>
                <w:color w:val="auto"/>
                <w:sz w:val="24"/>
                <w:szCs w:val="24"/>
                <w:highlight w:val="none"/>
              </w:rPr>
            </w:pPr>
          </w:p>
        </w:tc>
        <w:tc>
          <w:tcPr>
            <w:tcW w:w="1028" w:type="pct"/>
            <w:vAlign w:val="center"/>
          </w:tcPr>
          <w:p w14:paraId="3F4D76D9">
            <w:pPr>
              <w:spacing w:before="78" w:line="220" w:lineRule="auto"/>
              <w:jc w:val="center"/>
              <w:rPr>
                <w:rFonts w:hint="eastAsia" w:ascii="宋体" w:hAnsi="宋体" w:eastAsia="宋体" w:cs="宋体"/>
                <w:color w:val="auto"/>
                <w:sz w:val="24"/>
                <w:szCs w:val="24"/>
                <w:highlight w:val="none"/>
              </w:rPr>
            </w:pPr>
          </w:p>
        </w:tc>
        <w:tc>
          <w:tcPr>
            <w:tcW w:w="889" w:type="pct"/>
            <w:vAlign w:val="center"/>
          </w:tcPr>
          <w:p w14:paraId="19D526CB">
            <w:pPr>
              <w:spacing w:before="78" w:line="220" w:lineRule="auto"/>
              <w:jc w:val="center"/>
              <w:rPr>
                <w:rFonts w:hint="eastAsia" w:ascii="宋体" w:hAnsi="宋体" w:eastAsia="宋体" w:cs="宋体"/>
                <w:color w:val="auto"/>
                <w:sz w:val="24"/>
                <w:szCs w:val="24"/>
                <w:highlight w:val="none"/>
              </w:rPr>
            </w:pPr>
          </w:p>
        </w:tc>
        <w:tc>
          <w:tcPr>
            <w:tcW w:w="890" w:type="pct"/>
            <w:vAlign w:val="center"/>
          </w:tcPr>
          <w:p w14:paraId="213E09EC">
            <w:pPr>
              <w:spacing w:before="78" w:line="220" w:lineRule="auto"/>
              <w:jc w:val="center"/>
              <w:rPr>
                <w:rFonts w:hint="eastAsia" w:ascii="宋体" w:hAnsi="宋体" w:eastAsia="宋体" w:cs="宋体"/>
                <w:color w:val="auto"/>
                <w:sz w:val="24"/>
                <w:szCs w:val="24"/>
                <w:highlight w:val="none"/>
              </w:rPr>
            </w:pPr>
          </w:p>
        </w:tc>
        <w:tc>
          <w:tcPr>
            <w:tcW w:w="889" w:type="pct"/>
            <w:vAlign w:val="center"/>
          </w:tcPr>
          <w:p w14:paraId="640F63D8">
            <w:pPr>
              <w:spacing w:before="78" w:line="220" w:lineRule="auto"/>
              <w:jc w:val="center"/>
              <w:rPr>
                <w:rFonts w:hint="eastAsia" w:ascii="宋体" w:hAnsi="宋体" w:eastAsia="宋体" w:cs="宋体"/>
                <w:color w:val="auto"/>
                <w:sz w:val="24"/>
                <w:szCs w:val="24"/>
                <w:highlight w:val="none"/>
              </w:rPr>
            </w:pPr>
          </w:p>
        </w:tc>
        <w:tc>
          <w:tcPr>
            <w:tcW w:w="890" w:type="pct"/>
            <w:vAlign w:val="center"/>
          </w:tcPr>
          <w:p w14:paraId="3D764FC1">
            <w:pPr>
              <w:spacing w:before="78" w:line="220" w:lineRule="auto"/>
              <w:jc w:val="center"/>
              <w:rPr>
                <w:rFonts w:hint="eastAsia" w:ascii="宋体" w:hAnsi="宋体" w:eastAsia="宋体" w:cs="宋体"/>
                <w:color w:val="auto"/>
                <w:sz w:val="24"/>
                <w:szCs w:val="24"/>
                <w:highlight w:val="none"/>
              </w:rPr>
            </w:pPr>
          </w:p>
        </w:tc>
      </w:tr>
    </w:tbl>
    <w:p w14:paraId="34971F8F">
      <w:pPr>
        <w:spacing w:before="1"/>
        <w:ind w:right="-100"/>
        <w:rPr>
          <w:rFonts w:hint="eastAsia" w:ascii="宋体" w:hAnsi="宋体" w:eastAsia="宋体" w:cs="宋体"/>
          <w:bCs/>
          <w:color w:val="auto"/>
          <w:spacing w:val="-7"/>
          <w:highlight w:val="none"/>
        </w:rPr>
      </w:pPr>
    </w:p>
    <w:p w14:paraId="24A28818">
      <w:pPr>
        <w:spacing w:before="78" w:line="219"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注：</w:t>
      </w:r>
      <w:r>
        <w:rPr>
          <w:rFonts w:hint="eastAsia" w:ascii="宋体" w:hAnsi="宋体" w:eastAsia="宋体" w:cs="宋体"/>
          <w:color w:val="auto"/>
          <w:sz w:val="24"/>
          <w:szCs w:val="24"/>
          <w:highlight w:val="none"/>
          <w:lang w:eastAsia="zh-CN"/>
        </w:rPr>
        <w:t>完全响应磋商文件要求的按上述格式填写即可。另有要求的按要求提供，如有偏离须逐条列出。</w:t>
      </w:r>
    </w:p>
    <w:p w14:paraId="0A4BBDB7">
      <w:pPr>
        <w:widowControl w:val="0"/>
        <w:spacing w:before="185" w:line="219" w:lineRule="auto"/>
        <w:rPr>
          <w:rFonts w:hint="eastAsia" w:ascii="宋体" w:hAnsi="宋体" w:eastAsia="宋体" w:cs="宋体"/>
          <w:color w:val="auto"/>
          <w:sz w:val="24"/>
          <w:szCs w:val="24"/>
          <w:highlight w:val="none"/>
          <w:lang w:eastAsia="zh-CN"/>
        </w:rPr>
      </w:pPr>
    </w:p>
    <w:p w14:paraId="16B9C36A">
      <w:pPr>
        <w:pStyle w:val="7"/>
        <w:rPr>
          <w:rFonts w:hint="eastAsia" w:ascii="宋体" w:hAnsi="宋体" w:eastAsia="宋体" w:cs="宋体"/>
          <w:color w:val="auto"/>
          <w:highlight w:val="none"/>
          <w:lang w:eastAsia="zh-CN"/>
        </w:rPr>
      </w:pPr>
    </w:p>
    <w:p w14:paraId="6F8A7A3E">
      <w:pPr>
        <w:spacing w:before="78" w:line="219" w:lineRule="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lang w:eastAsia="zh-CN"/>
        </w:rPr>
        <w:t>供应商（公章）：</w:t>
      </w:r>
    </w:p>
    <w:p w14:paraId="2E809A54">
      <w:pPr>
        <w:spacing w:before="78" w:line="219" w:lineRule="auto"/>
        <w:rPr>
          <w:rFonts w:hint="eastAsia" w:ascii="宋体" w:hAnsi="宋体" w:eastAsia="宋体" w:cs="宋体"/>
          <w:color w:val="auto"/>
          <w:spacing w:val="-1"/>
          <w:sz w:val="24"/>
          <w:szCs w:val="24"/>
          <w:highlight w:val="none"/>
          <w:lang w:eastAsia="zh-CN"/>
        </w:rPr>
      </w:pPr>
    </w:p>
    <w:p w14:paraId="16AD6175">
      <w:pPr>
        <w:pStyle w:val="7"/>
        <w:rPr>
          <w:rFonts w:hint="eastAsia" w:ascii="宋体" w:hAnsi="宋体" w:eastAsia="宋体" w:cs="宋体"/>
          <w:color w:val="auto"/>
          <w:highlight w:val="none"/>
          <w:lang w:eastAsia="zh-CN"/>
        </w:rPr>
      </w:pPr>
    </w:p>
    <w:p w14:paraId="14809049">
      <w:pPr>
        <w:spacing w:before="78" w:line="219" w:lineRule="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zh-CN" w:eastAsia="zh-CN"/>
        </w:rPr>
        <w:t>法定代表人或委托代理人</w:t>
      </w:r>
      <w:r>
        <w:rPr>
          <w:rFonts w:hint="eastAsia" w:ascii="宋体" w:hAnsi="宋体" w:eastAsia="宋体" w:cs="宋体"/>
          <w:color w:val="auto"/>
          <w:sz w:val="24"/>
          <w:szCs w:val="24"/>
          <w:highlight w:val="none"/>
          <w:lang w:eastAsia="zh-CN"/>
        </w:rPr>
        <w:t>或自然人</w:t>
      </w:r>
      <w:r>
        <w:rPr>
          <w:rFonts w:hint="eastAsia" w:ascii="宋体" w:hAnsi="宋体" w:eastAsia="宋体" w:cs="宋体"/>
          <w:color w:val="auto"/>
          <w:spacing w:val="-1"/>
          <w:sz w:val="24"/>
          <w:szCs w:val="24"/>
          <w:highlight w:val="none"/>
          <w:lang w:val="zh-CN" w:eastAsia="zh-CN"/>
        </w:rPr>
        <w:t>（签字或签章）</w:t>
      </w:r>
      <w:r>
        <w:rPr>
          <w:rFonts w:hint="eastAsia" w:ascii="宋体" w:hAnsi="宋体" w:eastAsia="宋体" w:cs="宋体"/>
          <w:color w:val="auto"/>
          <w:sz w:val="24"/>
          <w:szCs w:val="24"/>
          <w:highlight w:val="none"/>
          <w:lang w:eastAsia="zh-CN"/>
        </w:rPr>
        <w:t>：</w:t>
      </w:r>
    </w:p>
    <w:p w14:paraId="232BFEA3">
      <w:pPr>
        <w:spacing w:before="78" w:line="219" w:lineRule="auto"/>
        <w:rPr>
          <w:rFonts w:hint="eastAsia" w:ascii="宋体" w:hAnsi="宋体" w:eastAsia="宋体" w:cs="宋体"/>
          <w:color w:val="auto"/>
          <w:spacing w:val="-1"/>
          <w:sz w:val="24"/>
          <w:szCs w:val="24"/>
          <w:highlight w:val="none"/>
          <w:lang w:eastAsia="zh-CN"/>
        </w:rPr>
      </w:pPr>
    </w:p>
    <w:p w14:paraId="69D47CF1">
      <w:pPr>
        <w:pStyle w:val="7"/>
        <w:rPr>
          <w:rFonts w:hint="eastAsia" w:ascii="宋体" w:hAnsi="宋体" w:eastAsia="宋体" w:cs="宋体"/>
          <w:color w:val="auto"/>
          <w:highlight w:val="none"/>
          <w:lang w:eastAsia="zh-CN"/>
        </w:rPr>
      </w:pPr>
    </w:p>
    <w:p w14:paraId="17CA1F91">
      <w:pPr>
        <w:spacing w:before="78" w:line="219" w:lineRule="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zh-CN" w:eastAsia="zh-CN"/>
        </w:rPr>
        <w:t>日期：</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lang w:val="zh-CN" w:eastAsia="zh-CN"/>
        </w:rPr>
        <w:t>年</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lang w:val="zh-CN" w:eastAsia="zh-CN"/>
        </w:rPr>
        <w:t>月</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lang w:val="zh-CN" w:eastAsia="zh-CN"/>
        </w:rPr>
        <w:t>日</w:t>
      </w:r>
    </w:p>
    <w:p w14:paraId="553D3C4E">
      <w:pPr>
        <w:pageBreakBefore w:val="0"/>
        <w:widowControl w:val="0"/>
        <w:tabs>
          <w:tab w:val="left" w:pos="6090"/>
        </w:tabs>
        <w:wordWrap/>
        <w:overflowPunct/>
        <w:topLinePunct w:val="0"/>
        <w:bidi w:val="0"/>
        <w:spacing w:line="219" w:lineRule="auto"/>
        <w:rPr>
          <w:rFonts w:hint="eastAsia" w:ascii="宋体" w:hAnsi="宋体" w:eastAsia="宋体" w:cs="宋体"/>
          <w:color w:val="auto"/>
          <w:sz w:val="24"/>
          <w:szCs w:val="24"/>
          <w:highlight w:val="none"/>
          <w:lang w:eastAsia="zh-CN"/>
        </w:rPr>
        <w:sectPr>
          <w:footerReference r:id="rId8" w:type="default"/>
          <w:pgSz w:w="11906" w:h="16839"/>
          <w:pgMar w:top="1134" w:right="1134" w:bottom="1134" w:left="1134" w:header="0" w:footer="994" w:gutter="0"/>
          <w:pgBorders>
            <w:top w:val="none" w:sz="0" w:space="0"/>
            <w:left w:val="none" w:sz="0" w:space="0"/>
            <w:bottom w:val="none" w:sz="0" w:space="0"/>
            <w:right w:val="none" w:sz="0" w:space="0"/>
          </w:pgBorders>
          <w:pgNumType w:fmt="decimal"/>
          <w:cols w:space="720" w:num="1"/>
        </w:sectPr>
      </w:pPr>
    </w:p>
    <w:p w14:paraId="3758EA2C">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250" w:name="bookmark59"/>
      <w:bookmarkEnd w:id="250"/>
      <w:bookmarkStart w:id="251" w:name="_Toc27809"/>
      <w:bookmarkStart w:id="252" w:name="_Toc21738"/>
      <w:bookmarkStart w:id="253" w:name="_Toc12845"/>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格式 5.商务条款</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响应/偏离表</w:t>
      </w:r>
      <w:bookmarkEnd w:id="251"/>
      <w:bookmarkEnd w:id="252"/>
      <w:bookmarkEnd w:id="253"/>
    </w:p>
    <w:p w14:paraId="0E5AA216">
      <w:pPr>
        <w:spacing w:line="336" w:lineRule="auto"/>
        <w:ind w:right="-105" w:rightChars="-50" w:firstLine="240" w:firstLineChars="1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eastAsia="zh-CN"/>
        </w:rPr>
        <w:t>项目名称：</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lang w:eastAsia="zh-CN"/>
        </w:rPr>
        <w:t>：</w:t>
      </w:r>
    </w:p>
    <w:tbl>
      <w:tblPr>
        <w:tblStyle w:val="30"/>
        <w:tblW w:w="500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39"/>
        <w:gridCol w:w="2105"/>
        <w:gridCol w:w="1677"/>
        <w:gridCol w:w="1677"/>
        <w:gridCol w:w="1677"/>
        <w:gridCol w:w="1679"/>
      </w:tblGrid>
      <w:tr w14:paraId="2C400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435" w:type="pct"/>
            <w:vAlign w:val="center"/>
          </w:tcPr>
          <w:p w14:paraId="5ABFB6F5">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90" w:type="pct"/>
            <w:vAlign w:val="center"/>
          </w:tcPr>
          <w:p w14:paraId="6C751A80">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条目号</w:t>
            </w:r>
          </w:p>
        </w:tc>
        <w:tc>
          <w:tcPr>
            <w:tcW w:w="868" w:type="pct"/>
            <w:vAlign w:val="center"/>
          </w:tcPr>
          <w:p w14:paraId="638686A0">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的商务条款</w:t>
            </w:r>
          </w:p>
        </w:tc>
        <w:tc>
          <w:tcPr>
            <w:tcW w:w="868" w:type="pct"/>
            <w:vAlign w:val="center"/>
          </w:tcPr>
          <w:p w14:paraId="3AE79825">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文件的商务响应</w:t>
            </w:r>
          </w:p>
        </w:tc>
        <w:tc>
          <w:tcPr>
            <w:tcW w:w="868" w:type="pct"/>
            <w:vAlign w:val="center"/>
          </w:tcPr>
          <w:p w14:paraId="4C406271">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响应/偏离</w:t>
            </w:r>
          </w:p>
        </w:tc>
        <w:tc>
          <w:tcPr>
            <w:tcW w:w="869" w:type="pct"/>
            <w:vAlign w:val="center"/>
          </w:tcPr>
          <w:p w14:paraId="68F8CF92">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0D5FC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435" w:type="pct"/>
            <w:vAlign w:val="center"/>
          </w:tcPr>
          <w:p w14:paraId="2F589716">
            <w:pPr>
              <w:spacing w:before="78" w:line="220" w:lineRule="auto"/>
              <w:jc w:val="center"/>
              <w:rPr>
                <w:rFonts w:hint="eastAsia" w:ascii="宋体" w:hAnsi="宋体" w:eastAsia="宋体" w:cs="宋体"/>
                <w:color w:val="auto"/>
                <w:sz w:val="24"/>
                <w:szCs w:val="24"/>
                <w:highlight w:val="none"/>
              </w:rPr>
            </w:pPr>
          </w:p>
          <w:p w14:paraId="74A900E7">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90" w:type="pct"/>
            <w:vAlign w:val="center"/>
          </w:tcPr>
          <w:p w14:paraId="2FCC3A89">
            <w:pPr>
              <w:spacing w:before="78" w:line="22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磋商文件 第五章</w:t>
            </w:r>
          </w:p>
          <w:p w14:paraId="12949CED">
            <w:pPr>
              <w:spacing w:before="78" w:line="22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商务条</w:t>
            </w:r>
            <w:r>
              <w:rPr>
                <w:rFonts w:hint="eastAsia" w:ascii="宋体" w:hAnsi="宋体" w:eastAsia="宋体" w:cs="宋体"/>
                <w:color w:val="auto"/>
                <w:sz w:val="24"/>
                <w:szCs w:val="24"/>
                <w:highlight w:val="none"/>
                <w:lang w:val="en-US" w:eastAsia="zh-CN"/>
              </w:rPr>
              <w:t>款</w:t>
            </w:r>
          </w:p>
        </w:tc>
        <w:tc>
          <w:tcPr>
            <w:tcW w:w="2604" w:type="pct"/>
            <w:gridSpan w:val="3"/>
            <w:vAlign w:val="center"/>
          </w:tcPr>
          <w:p w14:paraId="54FED7D5">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p>
        </w:tc>
        <w:tc>
          <w:tcPr>
            <w:tcW w:w="869" w:type="pct"/>
            <w:vAlign w:val="center"/>
          </w:tcPr>
          <w:p w14:paraId="6BE6B94E">
            <w:pPr>
              <w:spacing w:before="78"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无偏离</w:t>
            </w:r>
          </w:p>
        </w:tc>
      </w:tr>
      <w:tr w14:paraId="61C72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435" w:type="pct"/>
            <w:vAlign w:val="center"/>
          </w:tcPr>
          <w:p w14:paraId="2E04E9C9">
            <w:pPr>
              <w:spacing w:before="78" w:line="220" w:lineRule="auto"/>
              <w:jc w:val="center"/>
              <w:rPr>
                <w:rFonts w:hint="eastAsia" w:ascii="宋体" w:hAnsi="宋体" w:eastAsia="宋体" w:cs="宋体"/>
                <w:color w:val="auto"/>
                <w:sz w:val="24"/>
                <w:szCs w:val="24"/>
                <w:highlight w:val="none"/>
              </w:rPr>
            </w:pPr>
          </w:p>
        </w:tc>
        <w:tc>
          <w:tcPr>
            <w:tcW w:w="1090" w:type="pct"/>
            <w:vAlign w:val="center"/>
          </w:tcPr>
          <w:p w14:paraId="0D898835">
            <w:pPr>
              <w:spacing w:before="78" w:line="220" w:lineRule="auto"/>
              <w:jc w:val="center"/>
              <w:rPr>
                <w:rFonts w:hint="eastAsia" w:ascii="宋体" w:hAnsi="宋体" w:eastAsia="宋体" w:cs="宋体"/>
                <w:color w:val="auto"/>
                <w:sz w:val="24"/>
                <w:szCs w:val="24"/>
                <w:highlight w:val="none"/>
              </w:rPr>
            </w:pPr>
          </w:p>
        </w:tc>
        <w:tc>
          <w:tcPr>
            <w:tcW w:w="868" w:type="pct"/>
            <w:vAlign w:val="center"/>
          </w:tcPr>
          <w:p w14:paraId="703B17F7">
            <w:pPr>
              <w:spacing w:before="78" w:line="220" w:lineRule="auto"/>
              <w:jc w:val="center"/>
              <w:rPr>
                <w:rFonts w:hint="eastAsia" w:ascii="宋体" w:hAnsi="宋体" w:eastAsia="宋体" w:cs="宋体"/>
                <w:color w:val="auto"/>
                <w:sz w:val="24"/>
                <w:szCs w:val="24"/>
                <w:highlight w:val="none"/>
              </w:rPr>
            </w:pPr>
          </w:p>
        </w:tc>
        <w:tc>
          <w:tcPr>
            <w:tcW w:w="868" w:type="pct"/>
            <w:vAlign w:val="center"/>
          </w:tcPr>
          <w:p w14:paraId="26136035">
            <w:pPr>
              <w:spacing w:before="78" w:line="220" w:lineRule="auto"/>
              <w:jc w:val="center"/>
              <w:rPr>
                <w:rFonts w:hint="eastAsia" w:ascii="宋体" w:hAnsi="宋体" w:eastAsia="宋体" w:cs="宋体"/>
                <w:color w:val="auto"/>
                <w:sz w:val="24"/>
                <w:szCs w:val="24"/>
                <w:highlight w:val="none"/>
              </w:rPr>
            </w:pPr>
          </w:p>
        </w:tc>
        <w:tc>
          <w:tcPr>
            <w:tcW w:w="868" w:type="pct"/>
            <w:vAlign w:val="center"/>
          </w:tcPr>
          <w:p w14:paraId="505EA64C">
            <w:pPr>
              <w:spacing w:before="78" w:line="220" w:lineRule="auto"/>
              <w:jc w:val="center"/>
              <w:rPr>
                <w:rFonts w:hint="eastAsia" w:ascii="宋体" w:hAnsi="宋体" w:eastAsia="宋体" w:cs="宋体"/>
                <w:color w:val="auto"/>
                <w:sz w:val="24"/>
                <w:szCs w:val="24"/>
                <w:highlight w:val="none"/>
              </w:rPr>
            </w:pPr>
          </w:p>
        </w:tc>
        <w:tc>
          <w:tcPr>
            <w:tcW w:w="869" w:type="pct"/>
            <w:vAlign w:val="center"/>
          </w:tcPr>
          <w:p w14:paraId="5A1E91AB">
            <w:pPr>
              <w:spacing w:before="78" w:line="220" w:lineRule="auto"/>
              <w:jc w:val="center"/>
              <w:rPr>
                <w:rFonts w:hint="eastAsia" w:ascii="宋体" w:hAnsi="宋体" w:eastAsia="宋体" w:cs="宋体"/>
                <w:color w:val="auto"/>
                <w:sz w:val="24"/>
                <w:szCs w:val="24"/>
                <w:highlight w:val="none"/>
              </w:rPr>
            </w:pPr>
          </w:p>
        </w:tc>
      </w:tr>
      <w:tr w14:paraId="2F030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435" w:type="pct"/>
            <w:vAlign w:val="center"/>
          </w:tcPr>
          <w:p w14:paraId="2F654618">
            <w:pPr>
              <w:spacing w:before="78" w:line="220" w:lineRule="auto"/>
              <w:jc w:val="center"/>
              <w:rPr>
                <w:rFonts w:hint="eastAsia" w:ascii="宋体" w:hAnsi="宋体" w:eastAsia="宋体" w:cs="宋体"/>
                <w:color w:val="auto"/>
                <w:sz w:val="24"/>
                <w:szCs w:val="24"/>
                <w:highlight w:val="none"/>
              </w:rPr>
            </w:pPr>
          </w:p>
        </w:tc>
        <w:tc>
          <w:tcPr>
            <w:tcW w:w="1090" w:type="pct"/>
            <w:vAlign w:val="center"/>
          </w:tcPr>
          <w:p w14:paraId="5B3ECDAD">
            <w:pPr>
              <w:spacing w:before="78" w:line="220" w:lineRule="auto"/>
              <w:jc w:val="center"/>
              <w:rPr>
                <w:rFonts w:hint="eastAsia" w:ascii="宋体" w:hAnsi="宋体" w:eastAsia="宋体" w:cs="宋体"/>
                <w:color w:val="auto"/>
                <w:sz w:val="24"/>
                <w:szCs w:val="24"/>
                <w:highlight w:val="none"/>
              </w:rPr>
            </w:pPr>
          </w:p>
        </w:tc>
        <w:tc>
          <w:tcPr>
            <w:tcW w:w="868" w:type="pct"/>
            <w:vAlign w:val="center"/>
          </w:tcPr>
          <w:p w14:paraId="13654037">
            <w:pPr>
              <w:spacing w:before="78" w:line="220" w:lineRule="auto"/>
              <w:jc w:val="center"/>
              <w:rPr>
                <w:rFonts w:hint="eastAsia" w:ascii="宋体" w:hAnsi="宋体" w:eastAsia="宋体" w:cs="宋体"/>
                <w:color w:val="auto"/>
                <w:sz w:val="24"/>
                <w:szCs w:val="24"/>
                <w:highlight w:val="none"/>
              </w:rPr>
            </w:pPr>
          </w:p>
        </w:tc>
        <w:tc>
          <w:tcPr>
            <w:tcW w:w="868" w:type="pct"/>
            <w:vAlign w:val="center"/>
          </w:tcPr>
          <w:p w14:paraId="2E5D33B5">
            <w:pPr>
              <w:spacing w:before="78" w:line="220" w:lineRule="auto"/>
              <w:jc w:val="center"/>
              <w:rPr>
                <w:rFonts w:hint="eastAsia" w:ascii="宋体" w:hAnsi="宋体" w:eastAsia="宋体" w:cs="宋体"/>
                <w:color w:val="auto"/>
                <w:sz w:val="24"/>
                <w:szCs w:val="24"/>
                <w:highlight w:val="none"/>
              </w:rPr>
            </w:pPr>
          </w:p>
        </w:tc>
        <w:tc>
          <w:tcPr>
            <w:tcW w:w="868" w:type="pct"/>
            <w:vAlign w:val="center"/>
          </w:tcPr>
          <w:p w14:paraId="4895634C">
            <w:pPr>
              <w:spacing w:before="78" w:line="220" w:lineRule="auto"/>
              <w:jc w:val="center"/>
              <w:rPr>
                <w:rFonts w:hint="eastAsia" w:ascii="宋体" w:hAnsi="宋体" w:eastAsia="宋体" w:cs="宋体"/>
                <w:color w:val="auto"/>
                <w:sz w:val="24"/>
                <w:szCs w:val="24"/>
                <w:highlight w:val="none"/>
              </w:rPr>
            </w:pPr>
          </w:p>
        </w:tc>
        <w:tc>
          <w:tcPr>
            <w:tcW w:w="869" w:type="pct"/>
            <w:vAlign w:val="center"/>
          </w:tcPr>
          <w:p w14:paraId="260F2B75">
            <w:pPr>
              <w:spacing w:before="78" w:line="220" w:lineRule="auto"/>
              <w:jc w:val="center"/>
              <w:rPr>
                <w:rFonts w:hint="eastAsia" w:ascii="宋体" w:hAnsi="宋体" w:eastAsia="宋体" w:cs="宋体"/>
                <w:color w:val="auto"/>
                <w:sz w:val="24"/>
                <w:szCs w:val="24"/>
                <w:highlight w:val="none"/>
              </w:rPr>
            </w:pPr>
          </w:p>
        </w:tc>
      </w:tr>
    </w:tbl>
    <w:p w14:paraId="2148FF4A">
      <w:pPr>
        <w:pStyle w:val="40"/>
        <w:spacing w:line="336" w:lineRule="auto"/>
        <w:rPr>
          <w:rFonts w:hint="eastAsia" w:ascii="宋体" w:hAnsi="宋体" w:eastAsia="宋体" w:cs="宋体"/>
          <w:color w:val="auto"/>
          <w:sz w:val="24"/>
          <w:szCs w:val="28"/>
          <w:highlight w:val="none"/>
        </w:rPr>
      </w:pPr>
    </w:p>
    <w:p w14:paraId="08768185">
      <w:pPr>
        <w:spacing w:before="78" w:line="219"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注：</w:t>
      </w:r>
      <w:r>
        <w:rPr>
          <w:rFonts w:hint="eastAsia" w:ascii="宋体" w:hAnsi="宋体" w:eastAsia="宋体" w:cs="宋体"/>
          <w:color w:val="auto"/>
          <w:sz w:val="24"/>
          <w:szCs w:val="24"/>
          <w:highlight w:val="none"/>
          <w:lang w:eastAsia="zh-CN"/>
        </w:rPr>
        <w:t>完全响应磋商文件要求的按上述格式填写即可。另有要求的按要求提供，如有偏离须逐条列出。</w:t>
      </w:r>
    </w:p>
    <w:p w14:paraId="4553714E">
      <w:pPr>
        <w:widowControl w:val="0"/>
        <w:spacing w:before="185" w:line="219" w:lineRule="auto"/>
        <w:rPr>
          <w:rFonts w:hint="eastAsia" w:ascii="宋体" w:hAnsi="宋体" w:eastAsia="宋体" w:cs="宋体"/>
          <w:color w:val="auto"/>
          <w:sz w:val="24"/>
          <w:szCs w:val="24"/>
          <w:highlight w:val="none"/>
          <w:lang w:eastAsia="zh-CN"/>
        </w:rPr>
      </w:pPr>
    </w:p>
    <w:p w14:paraId="2D2E9AB3">
      <w:pPr>
        <w:pStyle w:val="7"/>
        <w:rPr>
          <w:rFonts w:hint="eastAsia" w:ascii="宋体" w:hAnsi="宋体" w:eastAsia="宋体" w:cs="宋体"/>
          <w:color w:val="auto"/>
          <w:highlight w:val="none"/>
          <w:lang w:eastAsia="zh-CN"/>
        </w:rPr>
      </w:pPr>
    </w:p>
    <w:p w14:paraId="6FF184F0">
      <w:pPr>
        <w:spacing w:before="78" w:line="219" w:lineRule="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lang w:eastAsia="zh-CN"/>
        </w:rPr>
        <w:t>供应商（公章）：</w:t>
      </w:r>
    </w:p>
    <w:p w14:paraId="1F85E912">
      <w:pPr>
        <w:spacing w:before="78" w:line="219" w:lineRule="auto"/>
        <w:rPr>
          <w:rFonts w:hint="eastAsia" w:ascii="宋体" w:hAnsi="宋体" w:eastAsia="宋体" w:cs="宋体"/>
          <w:color w:val="auto"/>
          <w:spacing w:val="-1"/>
          <w:sz w:val="24"/>
          <w:szCs w:val="24"/>
          <w:highlight w:val="none"/>
          <w:lang w:eastAsia="zh-CN"/>
        </w:rPr>
      </w:pPr>
    </w:p>
    <w:p w14:paraId="6F4B1102">
      <w:pPr>
        <w:pStyle w:val="7"/>
        <w:rPr>
          <w:rFonts w:hint="eastAsia" w:ascii="宋体" w:hAnsi="宋体" w:eastAsia="宋体" w:cs="宋体"/>
          <w:color w:val="auto"/>
          <w:highlight w:val="none"/>
          <w:lang w:eastAsia="zh-CN"/>
        </w:rPr>
      </w:pPr>
    </w:p>
    <w:p w14:paraId="2DD85FC8">
      <w:pPr>
        <w:spacing w:before="78" w:line="219" w:lineRule="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zh-CN" w:eastAsia="zh-CN"/>
        </w:rPr>
        <w:t>法定代表人或委托代理人</w:t>
      </w:r>
      <w:r>
        <w:rPr>
          <w:rFonts w:hint="eastAsia" w:ascii="宋体" w:hAnsi="宋体" w:eastAsia="宋体" w:cs="宋体"/>
          <w:color w:val="auto"/>
          <w:sz w:val="24"/>
          <w:szCs w:val="24"/>
          <w:highlight w:val="none"/>
          <w:lang w:eastAsia="zh-CN"/>
        </w:rPr>
        <w:t>或自然人</w:t>
      </w:r>
      <w:r>
        <w:rPr>
          <w:rFonts w:hint="eastAsia" w:ascii="宋体" w:hAnsi="宋体" w:eastAsia="宋体" w:cs="宋体"/>
          <w:color w:val="auto"/>
          <w:spacing w:val="-1"/>
          <w:sz w:val="24"/>
          <w:szCs w:val="24"/>
          <w:highlight w:val="none"/>
          <w:lang w:val="zh-CN" w:eastAsia="zh-CN"/>
        </w:rPr>
        <w:t>（签字或签章）</w:t>
      </w:r>
      <w:r>
        <w:rPr>
          <w:rFonts w:hint="eastAsia" w:ascii="宋体" w:hAnsi="宋体" w:eastAsia="宋体" w:cs="宋体"/>
          <w:color w:val="auto"/>
          <w:sz w:val="24"/>
          <w:szCs w:val="24"/>
          <w:highlight w:val="none"/>
          <w:lang w:eastAsia="zh-CN"/>
        </w:rPr>
        <w:t>：</w:t>
      </w:r>
    </w:p>
    <w:p w14:paraId="60DF3E6A">
      <w:pPr>
        <w:spacing w:before="78" w:line="219" w:lineRule="auto"/>
        <w:rPr>
          <w:rFonts w:hint="eastAsia" w:ascii="宋体" w:hAnsi="宋体" w:eastAsia="宋体" w:cs="宋体"/>
          <w:color w:val="auto"/>
          <w:spacing w:val="-1"/>
          <w:sz w:val="24"/>
          <w:szCs w:val="24"/>
          <w:highlight w:val="none"/>
          <w:lang w:eastAsia="zh-CN"/>
        </w:rPr>
      </w:pPr>
    </w:p>
    <w:p w14:paraId="6F6A62A3">
      <w:pPr>
        <w:pStyle w:val="7"/>
        <w:rPr>
          <w:rFonts w:hint="eastAsia" w:ascii="宋体" w:hAnsi="宋体" w:eastAsia="宋体" w:cs="宋体"/>
          <w:color w:val="auto"/>
          <w:highlight w:val="none"/>
          <w:lang w:eastAsia="zh-CN"/>
        </w:rPr>
      </w:pPr>
    </w:p>
    <w:p w14:paraId="6E5D5B85">
      <w:pP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1"/>
          <w:sz w:val="24"/>
          <w:szCs w:val="24"/>
          <w:highlight w:val="none"/>
          <w:lang w:val="zh-CN" w:eastAsia="zh-CN"/>
        </w:rPr>
        <w:t>日期：</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lang w:val="zh-CN" w:eastAsia="zh-CN"/>
        </w:rPr>
        <w:t>年</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lang w:val="zh-CN" w:eastAsia="zh-CN"/>
        </w:rPr>
        <w:t>月</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lang w:val="zh-CN" w:eastAsia="zh-CN"/>
        </w:rPr>
        <w:t>日</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br w:type="page"/>
      </w:r>
    </w:p>
    <w:p w14:paraId="27EF55C2">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254" w:name="_Toc5428"/>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格式 5</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.供应商应当提交的资格证明文件</w:t>
      </w:r>
      <w:bookmarkEnd w:id="254"/>
    </w:p>
    <w:p w14:paraId="50332B31">
      <w:pPr>
        <w:shd w:val="clear" w:color="auto" w:fill="auto"/>
        <w:spacing w:line="360" w:lineRule="auto"/>
        <w:ind w:left="0" w:leftChars="0" w:firstLine="420" w:firstLineChars="175"/>
        <w:rPr>
          <w:rFonts w:hint="eastAsia" w:ascii="宋体" w:hAnsi="宋体" w:eastAsia="宋体" w:cs="宋体"/>
          <w:color w:val="auto"/>
          <w:sz w:val="24"/>
          <w:highlight w:val="none"/>
          <w:lang w:eastAsia="zh-CN"/>
        </w:rPr>
      </w:pPr>
      <w:bookmarkStart w:id="255" w:name="bookmark66"/>
      <w:bookmarkEnd w:id="255"/>
      <w:bookmarkStart w:id="256" w:name="bookmark61"/>
      <w:bookmarkEnd w:id="256"/>
      <w:bookmarkStart w:id="257" w:name="bookmark60"/>
      <w:bookmarkEnd w:id="257"/>
      <w:bookmarkStart w:id="258" w:name="_Toc30803"/>
      <w:bookmarkStart w:id="259" w:name="_Toc29924"/>
      <w:r>
        <w:rPr>
          <w:rFonts w:hint="eastAsia" w:ascii="宋体" w:hAnsi="宋体" w:eastAsia="宋体" w:cs="宋体"/>
          <w:color w:val="auto"/>
          <w:sz w:val="24"/>
          <w:highlight w:val="none"/>
        </w:rPr>
        <w:t>（一）具有独立承担民事责任的能力：</w:t>
      </w:r>
      <w:r>
        <w:rPr>
          <w:rFonts w:hint="eastAsia" w:ascii="宋体" w:hAnsi="宋体"/>
          <w:spacing w:val="4"/>
          <w:sz w:val="24"/>
          <w:szCs w:val="24"/>
          <w:highlight w:val="none"/>
          <w:lang w:eastAsia="zh-CN"/>
        </w:rPr>
        <w:t>【</w:t>
      </w:r>
      <w:r>
        <w:rPr>
          <w:rFonts w:hint="eastAsia"/>
          <w:b w:val="0"/>
          <w:bCs w:val="0"/>
          <w:color w:val="auto"/>
          <w:sz w:val="24"/>
          <w:highlight w:val="none"/>
        </w:rPr>
        <w:t>提供</w:t>
      </w:r>
      <w:r>
        <w:rPr>
          <w:rFonts w:hint="eastAsia"/>
          <w:b/>
          <w:bCs/>
          <w:color w:val="auto"/>
          <w:sz w:val="24"/>
          <w:highlight w:val="none"/>
        </w:rPr>
        <w:t>《</w:t>
      </w:r>
      <w:r>
        <w:rPr>
          <w:rFonts w:hint="eastAsia" w:eastAsia="宋体"/>
          <w:b/>
          <w:bCs/>
          <w:color w:val="auto"/>
          <w:sz w:val="24"/>
          <w:highlight w:val="none"/>
          <w:lang w:val="en-US" w:eastAsia="zh-CN"/>
        </w:rPr>
        <w:t>供应商</w:t>
      </w:r>
      <w:r>
        <w:rPr>
          <w:rFonts w:hint="eastAsia"/>
          <w:b/>
          <w:bCs/>
          <w:color w:val="auto"/>
          <w:sz w:val="24"/>
          <w:highlight w:val="none"/>
        </w:rPr>
        <w:t>资格信用承诺函》</w:t>
      </w:r>
      <w:r>
        <w:rPr>
          <w:rFonts w:hint="eastAsia"/>
          <w:b/>
          <w:bCs/>
          <w:color w:val="auto"/>
          <w:sz w:val="24"/>
          <w:highlight w:val="none"/>
          <w:lang w:val="en-US" w:eastAsia="zh-CN"/>
        </w:rPr>
        <w:t>或</w:t>
      </w:r>
      <w:r>
        <w:rPr>
          <w:rFonts w:hint="eastAsia" w:ascii="宋体" w:hAnsi="宋体"/>
          <w:spacing w:val="4"/>
          <w:sz w:val="24"/>
          <w:szCs w:val="24"/>
          <w:highlight w:val="none"/>
        </w:rPr>
        <w:t>提供法人或者其他组织的营业执照</w:t>
      </w:r>
      <w:r>
        <w:rPr>
          <w:rFonts w:hint="eastAsia" w:ascii="宋体" w:hAnsi="宋体"/>
          <w:spacing w:val="4"/>
          <w:sz w:val="24"/>
          <w:szCs w:val="24"/>
          <w:highlight w:val="none"/>
          <w:lang w:eastAsia="zh-CN"/>
        </w:rPr>
        <w:t>、</w:t>
      </w:r>
      <w:r>
        <w:rPr>
          <w:rFonts w:hint="eastAsia" w:ascii="宋体" w:hAnsi="宋体"/>
          <w:spacing w:val="4"/>
          <w:sz w:val="24"/>
          <w:szCs w:val="24"/>
          <w:highlight w:val="none"/>
        </w:rPr>
        <w:t>法人授权委托书及委托代理人身份证（法定代表人参加则只需提供身份证），自然人投标提供身份证明</w:t>
      </w:r>
      <w:r>
        <w:rPr>
          <w:rFonts w:hint="eastAsia" w:ascii="宋体" w:hAnsi="宋体"/>
          <w:spacing w:val="4"/>
          <w:sz w:val="24"/>
          <w:szCs w:val="24"/>
          <w:highlight w:val="none"/>
          <w:lang w:eastAsia="zh-CN"/>
        </w:rPr>
        <w:t>】</w:t>
      </w:r>
    </w:p>
    <w:p w14:paraId="28E99F51">
      <w:pPr>
        <w:shd w:val="clear" w:color="auto" w:fill="auto"/>
        <w:spacing w:line="360" w:lineRule="auto"/>
        <w:ind w:left="0" w:leftChars="0"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（二）具有良好的商业信誉和健全的财务会计制度</w:t>
      </w:r>
      <w:r>
        <w:rPr>
          <w:rFonts w:hint="eastAsia" w:ascii="宋体" w:hAnsi="宋体" w:eastAsia="宋体" w:cs="宋体"/>
          <w:color w:val="auto"/>
          <w:sz w:val="24"/>
          <w:highlight w:val="none"/>
          <w:lang w:eastAsia="zh-CN"/>
        </w:rPr>
        <w:t>；</w:t>
      </w:r>
    </w:p>
    <w:p w14:paraId="5C1DEA16">
      <w:pPr>
        <w:shd w:val="clear" w:color="auto" w:fill="auto"/>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sz w:val="24"/>
          <w:highlight w:val="none"/>
        </w:rPr>
        <w:t>提供</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供应商</w:t>
      </w:r>
      <w:r>
        <w:rPr>
          <w:rFonts w:hint="eastAsia" w:ascii="宋体" w:hAnsi="宋体" w:eastAsia="宋体" w:cs="宋体"/>
          <w:b/>
          <w:sz w:val="24"/>
          <w:highlight w:val="none"/>
        </w:rPr>
        <w:t>资格信用承诺函》</w:t>
      </w:r>
      <w:r>
        <w:rPr>
          <w:rFonts w:hint="eastAsia" w:ascii="宋体" w:hAnsi="宋体" w:eastAsia="宋体" w:cs="宋体"/>
          <w:b/>
          <w:bCs w:val="0"/>
          <w:sz w:val="24"/>
          <w:highlight w:val="none"/>
          <w:u w:val="none"/>
          <w:lang w:val="en-US" w:eastAsia="zh-CN"/>
        </w:rPr>
        <w:t>或</w:t>
      </w:r>
      <w:r>
        <w:rPr>
          <w:rFonts w:hint="eastAsia" w:ascii="宋体" w:hAnsi="宋体" w:eastAsia="宋体" w:cs="宋体"/>
          <w:color w:val="auto"/>
          <w:sz w:val="24"/>
          <w:highlight w:val="none"/>
          <w:u w:val="none"/>
        </w:rPr>
        <w:t>提供</w:t>
      </w:r>
      <w:r>
        <w:rPr>
          <w:rFonts w:hint="eastAsia" w:ascii="宋体" w:hAnsi="宋体" w:eastAsia="宋体" w:cs="宋体"/>
          <w:b w:val="0"/>
          <w:bCs w:val="0"/>
          <w:color w:val="auto"/>
          <w:sz w:val="24"/>
          <w:highlight w:val="none"/>
          <w:u w:val="none"/>
        </w:rPr>
        <w:t>202</w:t>
      </w:r>
      <w:r>
        <w:rPr>
          <w:rFonts w:hint="eastAsia" w:ascii="宋体" w:hAnsi="宋体" w:eastAsia="宋体" w:cs="宋体"/>
          <w:b w:val="0"/>
          <w:bCs w:val="0"/>
          <w:color w:val="auto"/>
          <w:sz w:val="24"/>
          <w:highlight w:val="none"/>
          <w:u w:val="none"/>
          <w:lang w:val="en-US" w:eastAsia="zh-CN"/>
        </w:rPr>
        <w:t>3</w:t>
      </w:r>
      <w:r>
        <w:rPr>
          <w:rFonts w:hint="eastAsia" w:ascii="宋体" w:hAnsi="宋体" w:eastAsia="宋体" w:cs="宋体"/>
          <w:b w:val="0"/>
          <w:bCs w:val="0"/>
          <w:color w:val="auto"/>
          <w:sz w:val="24"/>
          <w:highlight w:val="none"/>
          <w:u w:val="none"/>
        </w:rPr>
        <w:t>年度或202</w:t>
      </w:r>
      <w:r>
        <w:rPr>
          <w:rFonts w:hint="eastAsia" w:ascii="宋体" w:hAnsi="宋体" w:eastAsia="宋体" w:cs="宋体"/>
          <w:b w:val="0"/>
          <w:bCs w:val="0"/>
          <w:color w:val="auto"/>
          <w:sz w:val="24"/>
          <w:highlight w:val="none"/>
          <w:u w:val="none"/>
          <w:lang w:val="en-US" w:eastAsia="zh-CN"/>
        </w:rPr>
        <w:t>4</w:t>
      </w:r>
      <w:r>
        <w:rPr>
          <w:rFonts w:hint="eastAsia" w:ascii="宋体" w:hAnsi="宋体" w:eastAsia="宋体" w:cs="宋体"/>
          <w:b w:val="0"/>
          <w:bCs w:val="0"/>
          <w:color w:val="auto"/>
          <w:sz w:val="24"/>
          <w:highlight w:val="none"/>
          <w:u w:val="none"/>
        </w:rPr>
        <w:t>年度审计报告</w:t>
      </w:r>
      <w:r>
        <w:rPr>
          <w:rFonts w:hint="eastAsia" w:ascii="宋体" w:hAnsi="宋体" w:eastAsia="宋体" w:cs="宋体"/>
          <w:color w:val="auto"/>
          <w:sz w:val="24"/>
          <w:highlight w:val="none"/>
        </w:rPr>
        <w:t>，或者提供</w:t>
      </w:r>
      <w:r>
        <w:rPr>
          <w:rFonts w:hint="eastAsia" w:ascii="宋体" w:hAnsi="宋体" w:eastAsia="宋体" w:cs="宋体"/>
          <w:color w:val="auto"/>
          <w:sz w:val="24"/>
          <w:highlight w:val="none"/>
          <w:lang w:val="en-US" w:eastAsia="zh-CN"/>
        </w:rPr>
        <w:t>开标</w:t>
      </w:r>
      <w:r>
        <w:rPr>
          <w:rFonts w:hint="eastAsia" w:ascii="宋体" w:hAnsi="宋体" w:eastAsia="宋体" w:cs="宋体"/>
          <w:color w:val="auto"/>
          <w:sz w:val="24"/>
          <w:highlight w:val="none"/>
        </w:rPr>
        <w:t>截止时间前一个月内开户银行出具的资信证明</w:t>
      </w:r>
      <w:r>
        <w:rPr>
          <w:rFonts w:hint="eastAsia" w:ascii="宋体" w:hAnsi="宋体" w:eastAsia="宋体" w:cs="宋体"/>
          <w:b/>
          <w:bCs/>
          <w:color w:val="auto"/>
          <w:spacing w:val="4"/>
          <w:sz w:val="24"/>
          <w:szCs w:val="24"/>
          <w:highlight w:val="none"/>
        </w:rPr>
        <w:t>（提供资信证明的须提供基本存款账户信息）</w:t>
      </w:r>
      <w:r>
        <w:rPr>
          <w:rFonts w:hint="eastAsia" w:ascii="宋体" w:hAnsi="宋体" w:eastAsia="宋体" w:cs="宋体"/>
          <w:color w:val="auto"/>
          <w:sz w:val="24"/>
          <w:highlight w:val="none"/>
        </w:rPr>
        <w:t>，提供任一种均可</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07328F98">
      <w:pPr>
        <w:shd w:val="clear" w:color="auto" w:fill="auto"/>
        <w:spacing w:line="360" w:lineRule="auto"/>
        <w:ind w:left="0" w:leftChars="0" w:firstLine="420" w:firstLineChars="175"/>
        <w:rPr>
          <w:rFonts w:hint="eastAsia" w:ascii="宋体" w:hAnsi="宋体" w:eastAsia="宋体" w:cs="宋体"/>
          <w:color w:val="auto"/>
          <w:sz w:val="24"/>
          <w:highlight w:val="none"/>
          <w:lang w:eastAsia="zh-CN"/>
        </w:rPr>
      </w:pPr>
      <w:r>
        <w:rPr>
          <w:rFonts w:hint="eastAsia" w:ascii="宋体" w:hAnsi="宋体" w:eastAsia="宋体" w:cs="宋体"/>
          <w:snapToGrid w:val="0"/>
          <w:color w:val="auto"/>
          <w:sz w:val="24"/>
          <w:szCs w:val="21"/>
          <w:highlight w:val="none"/>
          <w:lang w:val="en-US" w:eastAsia="en-US" w:bidi="ar-SA"/>
        </w:rPr>
        <w:t>（三）</w:t>
      </w:r>
      <w:r>
        <w:rPr>
          <w:rFonts w:hint="eastAsia" w:ascii="宋体" w:hAnsi="宋体" w:eastAsia="宋体" w:cs="宋体"/>
          <w:color w:val="auto"/>
          <w:sz w:val="24"/>
          <w:highlight w:val="none"/>
        </w:rPr>
        <w:t>有依法缴纳税收和社会保障资金的良好记录的证明文件</w:t>
      </w:r>
      <w:r>
        <w:rPr>
          <w:rFonts w:hint="eastAsia" w:ascii="宋体" w:hAnsi="宋体" w:eastAsia="宋体" w:cs="宋体"/>
          <w:color w:val="auto"/>
          <w:sz w:val="24"/>
          <w:highlight w:val="none"/>
          <w:lang w:eastAsia="zh-CN"/>
        </w:rPr>
        <w:t>；</w:t>
      </w:r>
    </w:p>
    <w:p w14:paraId="6EB0BD9D">
      <w:pPr>
        <w:numPr>
          <w:ilvl w:val="0"/>
          <w:numId w:val="0"/>
        </w:numPr>
        <w:shd w:val="clear" w:color="auto" w:fill="auto"/>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供应商</w:t>
      </w:r>
      <w:r>
        <w:rPr>
          <w:rFonts w:hint="eastAsia" w:ascii="宋体" w:hAnsi="宋体" w:eastAsia="宋体" w:cs="宋体"/>
          <w:b/>
          <w:sz w:val="24"/>
          <w:highlight w:val="none"/>
        </w:rPr>
        <w:t>资格信用承诺函》</w:t>
      </w:r>
      <w:r>
        <w:rPr>
          <w:rFonts w:hint="eastAsia" w:ascii="宋体" w:hAnsi="宋体" w:eastAsia="宋体" w:cs="宋体"/>
          <w:b/>
          <w:sz w:val="24"/>
          <w:highlight w:val="none"/>
          <w:lang w:val="en-US" w:eastAsia="zh-CN"/>
        </w:rPr>
        <w:t>或</w:t>
      </w:r>
      <w:r>
        <w:rPr>
          <w:rFonts w:hint="eastAsia" w:ascii="宋体" w:hAnsi="宋体" w:eastAsia="宋体" w:cs="宋体"/>
          <w:color w:val="auto"/>
          <w:sz w:val="24"/>
          <w:highlight w:val="none"/>
        </w:rPr>
        <w:t>提供开标前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不含开标当月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六个月内任意一个月的缴纳税收和缴纳社会保障资金的证明材料；依法免税或不需要缴纳社会保障资金的供应商，应当提供相关文件证明其依法免税或不需要缴纳社会保障资金（复印件加盖公章）】。</w:t>
      </w:r>
    </w:p>
    <w:p w14:paraId="781BAB56">
      <w:pPr>
        <w:numPr>
          <w:ilvl w:val="0"/>
          <w:numId w:val="0"/>
        </w:numPr>
        <w:shd w:val="clear" w:color="auto" w:fill="auto"/>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（四）具有履行合同所必需的设备和专业技术能力；</w:t>
      </w:r>
    </w:p>
    <w:p w14:paraId="4F7FAE3B">
      <w:pPr>
        <w:shd w:val="clear" w:color="auto" w:fill="auto"/>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sz w:val="24"/>
          <w:highlight w:val="none"/>
        </w:rPr>
        <w:t>提供</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供应商</w:t>
      </w:r>
      <w:r>
        <w:rPr>
          <w:rFonts w:hint="eastAsia" w:ascii="宋体" w:hAnsi="宋体" w:eastAsia="宋体" w:cs="宋体"/>
          <w:b/>
          <w:sz w:val="24"/>
          <w:highlight w:val="none"/>
        </w:rPr>
        <w:t>资格信用承诺函》</w:t>
      </w:r>
      <w:r>
        <w:rPr>
          <w:rFonts w:hint="eastAsia" w:ascii="宋体" w:hAnsi="宋体" w:eastAsia="宋体" w:cs="宋体"/>
          <w:b/>
          <w:sz w:val="24"/>
          <w:highlight w:val="none"/>
          <w:lang w:val="en-US" w:eastAsia="zh-CN"/>
        </w:rPr>
        <w:t>或</w:t>
      </w:r>
      <w:r>
        <w:rPr>
          <w:rFonts w:hint="eastAsia" w:ascii="宋体" w:hAnsi="宋体" w:eastAsia="宋体" w:cs="宋体"/>
          <w:color w:val="auto"/>
          <w:sz w:val="24"/>
          <w:highlight w:val="none"/>
        </w:rPr>
        <w:t>提供承诺函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格式自拟</w:t>
      </w:r>
      <w:r>
        <w:rPr>
          <w:rFonts w:hint="eastAsia" w:ascii="宋体" w:hAnsi="宋体" w:eastAsia="宋体" w:cs="宋体"/>
          <w:color w:val="auto"/>
          <w:sz w:val="24"/>
          <w:highlight w:val="none"/>
          <w:lang w:eastAsia="zh-CN"/>
        </w:rPr>
        <w:t>）】</w:t>
      </w:r>
    </w:p>
    <w:p w14:paraId="65D52CCF">
      <w:pPr>
        <w:numPr>
          <w:ilvl w:val="0"/>
          <w:numId w:val="0"/>
        </w:numPr>
        <w:shd w:val="clear" w:color="auto" w:fill="auto"/>
        <w:spacing w:line="360" w:lineRule="auto"/>
        <w:ind w:left="0" w:leftChars="0" w:firstLine="420" w:firstLineChars="175"/>
        <w:rPr>
          <w:rFonts w:hint="eastAsia" w:ascii="宋体" w:hAnsi="宋体" w:eastAsia="宋体" w:cs="宋体"/>
          <w:color w:val="auto"/>
          <w:sz w:val="24"/>
          <w:highlight w:val="none"/>
          <w:lang w:eastAsia="zh-CN"/>
        </w:rPr>
      </w:pPr>
      <w:r>
        <w:rPr>
          <w:rFonts w:hint="eastAsia" w:ascii="宋体" w:hAnsi="宋体" w:eastAsia="宋体" w:cs="宋体"/>
          <w:snapToGrid w:val="0"/>
          <w:color w:val="auto"/>
          <w:sz w:val="24"/>
          <w:szCs w:val="21"/>
          <w:highlight w:val="none"/>
          <w:lang w:val="en-US" w:eastAsia="zh-CN" w:bidi="ar-SA"/>
        </w:rPr>
        <w:t>（五）</w:t>
      </w:r>
      <w:r>
        <w:rPr>
          <w:rFonts w:hint="eastAsia" w:ascii="宋体" w:hAnsi="宋体" w:eastAsia="宋体" w:cs="宋体"/>
          <w:color w:val="auto"/>
          <w:sz w:val="24"/>
          <w:highlight w:val="none"/>
        </w:rPr>
        <w:t>参加政府招标活动前三年内，在经营活动中没有重大违法记录</w:t>
      </w:r>
      <w:r>
        <w:rPr>
          <w:rFonts w:hint="eastAsia" w:ascii="宋体" w:hAnsi="宋体" w:eastAsia="宋体" w:cs="宋体"/>
          <w:color w:val="auto"/>
          <w:sz w:val="24"/>
          <w:highlight w:val="none"/>
          <w:lang w:eastAsia="zh-CN"/>
        </w:rPr>
        <w:t>；</w:t>
      </w:r>
    </w:p>
    <w:p w14:paraId="67821BB9">
      <w:pPr>
        <w:numPr>
          <w:ilvl w:val="0"/>
          <w:numId w:val="0"/>
        </w:numPr>
        <w:shd w:val="clear" w:color="auto" w:fill="auto"/>
        <w:spacing w:line="360" w:lineRule="auto"/>
        <w:ind w:left="0" w:leftChars="0"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提供</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供应商</w:t>
      </w:r>
      <w:r>
        <w:rPr>
          <w:rFonts w:hint="eastAsia" w:ascii="宋体" w:hAnsi="宋体" w:eastAsia="宋体" w:cs="宋体"/>
          <w:b/>
          <w:sz w:val="24"/>
          <w:highlight w:val="none"/>
        </w:rPr>
        <w:t>资格信用承诺函》</w:t>
      </w:r>
      <w:r>
        <w:rPr>
          <w:rFonts w:hint="eastAsia" w:ascii="宋体" w:hAnsi="宋体" w:eastAsia="宋体" w:cs="宋体"/>
          <w:b/>
          <w:sz w:val="24"/>
          <w:highlight w:val="none"/>
          <w:lang w:val="en-US" w:eastAsia="zh-CN"/>
        </w:rPr>
        <w:t>或</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自我书面声明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格式自拟</w:t>
      </w:r>
      <w:r>
        <w:rPr>
          <w:rFonts w:hint="eastAsia" w:ascii="宋体" w:hAnsi="宋体" w:eastAsia="宋体" w:cs="宋体"/>
          <w:color w:val="auto"/>
          <w:sz w:val="24"/>
          <w:highlight w:val="none"/>
          <w:lang w:eastAsia="zh-CN"/>
        </w:rPr>
        <w:t>）】。</w:t>
      </w:r>
    </w:p>
    <w:p w14:paraId="0D7DCE46">
      <w:pPr>
        <w:shd w:val="clear" w:color="auto" w:fill="auto"/>
        <w:spacing w:line="360" w:lineRule="auto"/>
        <w:ind w:left="0" w:leftChars="0" w:firstLine="420" w:firstLineChars="175"/>
        <w:outlineLvl w:val="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（六）法律、行政法规规定的其他条件: </w:t>
      </w:r>
    </w:p>
    <w:p w14:paraId="14B39630">
      <w:pPr>
        <w:shd w:val="clear" w:color="auto" w:fill="auto"/>
        <w:spacing w:line="360" w:lineRule="auto"/>
        <w:ind w:left="0" w:leftChars="0" w:firstLine="420" w:firstLineChars="17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①单位负责人为同一人或者存在直接控股、管理关系的不同供应商，不得参加同一合同项下的采购活动；</w:t>
      </w:r>
      <w:r>
        <w:rPr>
          <w:rFonts w:hint="eastAsia" w:ascii="宋体" w:hAnsi="宋体" w:eastAsia="宋体" w:cs="宋体"/>
          <w:b/>
          <w:bCs/>
          <w:color w:val="auto"/>
          <w:spacing w:val="4"/>
          <w:sz w:val="24"/>
          <w:szCs w:val="24"/>
          <w:highlight w:val="none"/>
        </w:rPr>
        <w:t>（告知项，无需提供证明材料）</w:t>
      </w:r>
    </w:p>
    <w:p w14:paraId="7ABBB0D6">
      <w:pPr>
        <w:shd w:val="clear" w:color="auto" w:fill="auto"/>
        <w:spacing w:line="360" w:lineRule="auto"/>
        <w:ind w:left="0" w:leftChars="0" w:firstLine="420" w:firstLineChars="17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②为采购项目提供整体设计、规范编制或者项目管理、监理、检测等服务的投标人不得参加该采购项目的采购活动；</w:t>
      </w:r>
      <w:r>
        <w:rPr>
          <w:rFonts w:hint="eastAsia" w:ascii="宋体" w:hAnsi="宋体" w:eastAsia="宋体" w:cs="宋体"/>
          <w:b/>
          <w:bCs/>
          <w:color w:val="auto"/>
          <w:spacing w:val="4"/>
          <w:sz w:val="24"/>
          <w:szCs w:val="24"/>
          <w:highlight w:val="none"/>
        </w:rPr>
        <w:t>（告知项，无需提供证明材料）</w:t>
      </w:r>
    </w:p>
    <w:p w14:paraId="7996BAD0">
      <w:pPr>
        <w:shd w:val="clear" w:color="auto" w:fill="auto"/>
        <w:spacing w:line="360" w:lineRule="auto"/>
        <w:ind w:left="0" w:leftChars="0" w:firstLine="420" w:firstLineChars="17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③供应商被“信用中国”网站列入失信被执行人和重大税收违法失信主体的、被“中国政府采购网”网站列入政府采购严重违法失信行为记录名单 (处罚期限尚未届满的)，不得参与本项目的采购活动。</w:t>
      </w:r>
      <w:r>
        <w:rPr>
          <w:rFonts w:hint="eastAsia" w:ascii="宋体" w:hAnsi="宋体" w:eastAsia="宋体" w:cs="宋体"/>
          <w:b/>
          <w:bCs/>
          <w:color w:val="auto"/>
          <w:spacing w:val="4"/>
          <w:sz w:val="24"/>
          <w:szCs w:val="24"/>
          <w:highlight w:val="none"/>
        </w:rPr>
        <w:t>（告知项，无需提供证明材料</w:t>
      </w:r>
      <w:r>
        <w:rPr>
          <w:rFonts w:hint="eastAsia" w:ascii="宋体" w:hAnsi="宋体" w:eastAsia="宋体" w:cs="宋体"/>
          <w:b/>
          <w:bCs/>
          <w:color w:val="auto"/>
          <w:spacing w:val="4"/>
          <w:sz w:val="24"/>
          <w:szCs w:val="24"/>
          <w:highlight w:val="none"/>
          <w:lang w:eastAsia="zh-CN"/>
        </w:rPr>
        <w:t>，</w:t>
      </w:r>
      <w:r>
        <w:rPr>
          <w:rFonts w:hint="eastAsia" w:ascii="宋体" w:hAnsi="宋体" w:eastAsia="宋体" w:cs="宋体"/>
          <w:b/>
          <w:bCs/>
          <w:sz w:val="24"/>
          <w:highlight w:val="none"/>
          <w:lang w:val="en-US" w:eastAsia="zh-CN"/>
        </w:rPr>
        <w:t>以现场查询为准）</w:t>
      </w:r>
    </w:p>
    <w:p w14:paraId="2A49A7BD">
      <w:pPr>
        <w:widowControl/>
        <w:numPr>
          <w:ilvl w:val="0"/>
          <w:numId w:val="0"/>
        </w:numPr>
        <w:tabs>
          <w:tab w:val="left" w:pos="0"/>
        </w:tabs>
        <w:adjustRightInd w:val="0"/>
        <w:snapToGrid w:val="0"/>
        <w:spacing w:line="360" w:lineRule="auto"/>
        <w:ind w:left="283" w:leftChars="0"/>
        <w:outlineLvl w:val="1"/>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七</w:t>
      </w:r>
      <w:r>
        <w:rPr>
          <w:rFonts w:hint="eastAsia" w:ascii="宋体" w:hAnsi="宋体" w:cs="宋体"/>
          <w:b w:val="0"/>
          <w:bCs w:val="0"/>
          <w:color w:val="auto"/>
          <w:sz w:val="24"/>
          <w:highlight w:val="none"/>
          <w:lang w:eastAsia="zh-CN"/>
        </w:rPr>
        <w:t>）本项目的特定资格要求：</w:t>
      </w:r>
      <w:r>
        <w:rPr>
          <w:rFonts w:hint="eastAsia" w:ascii="宋体" w:hAnsi="宋体" w:eastAsia="宋体" w:cs="Times New Roman"/>
          <w:b w:val="0"/>
          <w:bCs w:val="0"/>
          <w:spacing w:val="4"/>
          <w:sz w:val="24"/>
          <w:szCs w:val="24"/>
          <w:highlight w:val="none"/>
          <w:lang w:val="en-US" w:eastAsia="zh-CN"/>
        </w:rPr>
        <w:t>无</w:t>
      </w:r>
    </w:p>
    <w:p w14:paraId="4AED7ECC">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p>
    <w:p w14:paraId="53D7D9B5">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p>
    <w:p w14:paraId="6504A888">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p>
    <w:p w14:paraId="52395D5D">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p>
    <w:p w14:paraId="7B5DFB03">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p>
    <w:p w14:paraId="41364B14">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5-1、供应商</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资格信用承诺函（</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bookmarkEnd w:id="258"/>
    </w:p>
    <w:p w14:paraId="443ACC38">
      <w:pPr>
        <w:spacing w:line="360" w:lineRule="auto"/>
        <w:ind w:firstLine="480" w:firstLineChars="200"/>
        <w:rPr>
          <w:rFonts w:hint="eastAsia" w:ascii="宋体" w:hAnsi="宋体" w:eastAsia="宋体" w:cs="宋体"/>
          <w:color w:val="auto"/>
          <w:sz w:val="24"/>
          <w:szCs w:val="24"/>
          <w:highlight w:val="none"/>
          <w:lang w:eastAsia="zh-CN"/>
        </w:rPr>
      </w:pPr>
    </w:p>
    <w:p w14:paraId="73F88D2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致（采购人或代理机构）：</w:t>
      </w:r>
    </w:p>
    <w:p w14:paraId="575A858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单位名称（自然人姓名）：</w:t>
      </w:r>
    </w:p>
    <w:p w14:paraId="2FDF4D6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统一社会信用代码（身份证号码）：</w:t>
      </w:r>
    </w:p>
    <w:p w14:paraId="7DE2D17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法定代表人（负责人姓名）：</w:t>
      </w:r>
    </w:p>
    <w:p w14:paraId="2FE2F57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联系地址和电话：</w:t>
      </w:r>
    </w:p>
    <w:p w14:paraId="3947407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我单位（本人）自愿参加本次采购活动，严格遵守《中华人民共和国政府采购法》及相关法律法规，坚守公开、公平公正和诚实信用等原则，依法诚信经营，并郑重承诺：</w:t>
      </w:r>
    </w:p>
    <w:p w14:paraId="26CF399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(一)我单位（本人）符合磋商文件要求以及《中华人民共和国政府采购法》第二十二条规定的条件： </w:t>
      </w:r>
    </w:p>
    <w:p w14:paraId="73D66D9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1.具有独立承担民事责任的能力； </w:t>
      </w:r>
    </w:p>
    <w:p w14:paraId="5149192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2.具有良好的商业信誉和健全的财务会计制度； </w:t>
      </w:r>
    </w:p>
    <w:p w14:paraId="3702079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3.有依法缴纳税收和社会保障资金的良好记录； </w:t>
      </w:r>
    </w:p>
    <w:p w14:paraId="67AE968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4.具有履行合同所必需的设备和专业技术能力； </w:t>
      </w:r>
    </w:p>
    <w:p w14:paraId="0C97085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5.参加政府采购活动前三年内，在经营活动中没有重大违法记录： </w:t>
      </w:r>
    </w:p>
    <w:p w14:paraId="570D558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6.具备法律，行政法规规定的其他条件。</w:t>
      </w:r>
    </w:p>
    <w:p w14:paraId="034C1A5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（二)我单位（本人）未被列入严重失信主体名单、失信被执行人、税收违法黑名单、政府采购严重违法失信行为记录名单。</w:t>
      </w:r>
    </w:p>
    <w:p w14:paraId="67DF0C9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自觉接受政府采购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管业执照：构成犯罪的，依法追究刑事责任。”处理。</w:t>
      </w:r>
    </w:p>
    <w:p w14:paraId="120A1056">
      <w:pPr>
        <w:pStyle w:val="7"/>
        <w:rPr>
          <w:rFonts w:hint="eastAsia" w:ascii="宋体" w:hAnsi="宋体" w:eastAsia="宋体" w:cs="宋体"/>
          <w:color w:val="auto"/>
          <w:highlight w:val="none"/>
          <w:lang w:eastAsia="zh-CN"/>
        </w:rPr>
      </w:pPr>
    </w:p>
    <w:p w14:paraId="28F711A0">
      <w:pPr>
        <w:spacing w:before="78" w:line="219" w:lineRule="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lang w:eastAsia="zh-CN"/>
        </w:rPr>
        <w:t>供应商（公章）：</w:t>
      </w:r>
    </w:p>
    <w:p w14:paraId="4868AF8F">
      <w:pPr>
        <w:spacing w:before="78" w:line="219" w:lineRule="auto"/>
        <w:rPr>
          <w:rFonts w:hint="eastAsia" w:ascii="宋体" w:hAnsi="宋体" w:eastAsia="宋体" w:cs="宋体"/>
          <w:color w:val="auto"/>
          <w:spacing w:val="-1"/>
          <w:sz w:val="24"/>
          <w:szCs w:val="24"/>
          <w:highlight w:val="none"/>
          <w:lang w:eastAsia="zh-CN"/>
        </w:rPr>
      </w:pPr>
    </w:p>
    <w:p w14:paraId="5CAE81F7">
      <w:pPr>
        <w:spacing w:before="78" w:line="219" w:lineRule="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zh-CN" w:eastAsia="zh-CN"/>
        </w:rPr>
        <w:t>法定代表人或委托代理人</w:t>
      </w:r>
      <w:r>
        <w:rPr>
          <w:rFonts w:hint="eastAsia" w:ascii="宋体" w:hAnsi="宋体" w:eastAsia="宋体" w:cs="宋体"/>
          <w:color w:val="auto"/>
          <w:sz w:val="24"/>
          <w:szCs w:val="24"/>
          <w:highlight w:val="none"/>
          <w:lang w:eastAsia="zh-CN"/>
        </w:rPr>
        <w:t>或自然人</w:t>
      </w:r>
      <w:r>
        <w:rPr>
          <w:rFonts w:hint="eastAsia" w:ascii="宋体" w:hAnsi="宋体" w:eastAsia="宋体" w:cs="宋体"/>
          <w:color w:val="auto"/>
          <w:spacing w:val="-1"/>
          <w:sz w:val="24"/>
          <w:szCs w:val="24"/>
          <w:highlight w:val="none"/>
          <w:lang w:val="zh-CN" w:eastAsia="zh-CN"/>
        </w:rPr>
        <w:t>（签字或签章）</w:t>
      </w:r>
      <w:r>
        <w:rPr>
          <w:rFonts w:hint="eastAsia" w:ascii="宋体" w:hAnsi="宋体" w:eastAsia="宋体" w:cs="宋体"/>
          <w:color w:val="auto"/>
          <w:sz w:val="24"/>
          <w:szCs w:val="24"/>
          <w:highlight w:val="none"/>
          <w:lang w:eastAsia="zh-CN"/>
        </w:rPr>
        <w:t>：</w:t>
      </w:r>
    </w:p>
    <w:p w14:paraId="58E5DA67">
      <w:pPr>
        <w:pStyle w:val="7"/>
        <w:rPr>
          <w:rFonts w:hint="eastAsia" w:ascii="宋体" w:hAnsi="宋体" w:eastAsia="宋体" w:cs="宋体"/>
          <w:color w:val="auto"/>
          <w:highlight w:val="none"/>
          <w:lang w:eastAsia="zh-CN"/>
        </w:rPr>
      </w:pPr>
    </w:p>
    <w:p w14:paraId="0F32FE7C">
      <w:pPr>
        <w:spacing w:before="78" w:line="219" w:lineRule="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zh-CN" w:eastAsia="zh-CN"/>
        </w:rPr>
        <w:t>日期：</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lang w:val="zh-CN" w:eastAsia="zh-CN"/>
        </w:rPr>
        <w:t>年</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lang w:val="zh-CN" w:eastAsia="zh-CN"/>
        </w:rPr>
        <w:t>月</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lang w:val="zh-CN" w:eastAsia="zh-CN"/>
        </w:rPr>
        <w:t>日</w:t>
      </w:r>
    </w:p>
    <w:p w14:paraId="64D29AC1">
      <w:pPr>
        <w:spacing w:line="480" w:lineRule="exact"/>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56A12DAB">
      <w:pPr>
        <w:spacing w:line="480" w:lineRule="exact"/>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 xml:space="preserve">1.我单位（本人）专指参加政府采购活功的供应商（含自然人） </w:t>
      </w:r>
    </w:p>
    <w:p w14:paraId="172DF71C">
      <w:pPr>
        <w:spacing w:line="480" w:lineRule="exact"/>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2.投标人须在投标（响应）文件中按此模板提供承诺函或者提供相关证明材料，既未提供前述承诺函又未提供对应事项证明材料的，视为未实质响应磋商文件要求，按无效投标（响应）处理。</w:t>
      </w:r>
    </w:p>
    <w:p w14:paraId="0C8DC50A">
      <w:pPr>
        <w:spacing w:line="480" w:lineRule="exact"/>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3.若投标人投标时，提供了供应商资格信用承诺函，采购人有权在确定中标(成交)结果后、签订政府采购合同前，核实中标(成交)投标人所作信用承诺事项的真实性，投标人应对提供虚假承诺行为承担相应的法律责任。</w:t>
      </w:r>
    </w:p>
    <w:p w14:paraId="58CE57C2">
      <w:pPr>
        <w:spacing w:line="360" w:lineRule="auto"/>
        <w:ind w:right="560" w:firstLine="4800" w:firstLineChars="2000"/>
        <w:rPr>
          <w:rFonts w:hint="eastAsia" w:ascii="宋体" w:hAnsi="宋体" w:eastAsia="宋体" w:cs="宋体"/>
          <w:color w:val="auto"/>
          <w:sz w:val="24"/>
          <w:szCs w:val="24"/>
          <w:highlight w:val="none"/>
          <w:lang w:eastAsia="zh-CN"/>
        </w:rPr>
      </w:pPr>
    </w:p>
    <w:p w14:paraId="335F4B58">
      <w:pPr>
        <w:widowControl w:val="0"/>
        <w:spacing w:before="100" w:line="219" w:lineRule="auto"/>
        <w:ind w:left="3013"/>
        <w:outlineLvl w:val="1"/>
        <w:rPr>
          <w:rFonts w:hint="eastAsia" w:ascii="宋体" w:hAnsi="宋体" w:eastAsia="宋体" w:cs="宋体"/>
          <w:color w:val="auto"/>
          <w:spacing w:val="-2"/>
          <w:sz w:val="24"/>
          <w:szCs w:val="24"/>
          <w:highlight w:val="none"/>
          <w:lang w:eastAsia="zh-CN"/>
        </w:rPr>
      </w:pPr>
    </w:p>
    <w:p w14:paraId="452C799A">
      <w:pPr>
        <w:widowControl w:val="0"/>
        <w:spacing w:before="100" w:line="219" w:lineRule="auto"/>
        <w:ind w:left="3013"/>
        <w:outlineLvl w:val="1"/>
        <w:rPr>
          <w:rFonts w:hint="eastAsia" w:ascii="宋体" w:hAnsi="宋体" w:eastAsia="宋体" w:cs="宋体"/>
          <w:color w:val="auto"/>
          <w:spacing w:val="-2"/>
          <w:sz w:val="24"/>
          <w:szCs w:val="24"/>
          <w:highlight w:val="none"/>
          <w:lang w:eastAsia="zh-CN"/>
        </w:rPr>
      </w:pPr>
    </w:p>
    <w:p w14:paraId="36DA7050">
      <w:pPr>
        <w:widowControl w:val="0"/>
        <w:spacing w:before="100" w:line="219" w:lineRule="auto"/>
        <w:ind w:left="3013"/>
        <w:outlineLvl w:val="1"/>
        <w:rPr>
          <w:rFonts w:hint="eastAsia" w:ascii="宋体" w:hAnsi="宋体" w:eastAsia="宋体" w:cs="宋体"/>
          <w:color w:val="auto"/>
          <w:spacing w:val="-2"/>
          <w:sz w:val="24"/>
          <w:szCs w:val="24"/>
          <w:highlight w:val="none"/>
          <w:lang w:eastAsia="zh-CN"/>
        </w:rPr>
      </w:pPr>
    </w:p>
    <w:p w14:paraId="4FA86071">
      <w:pPr>
        <w:widowControl w:val="0"/>
        <w:spacing w:before="100" w:line="219" w:lineRule="auto"/>
        <w:ind w:left="3013"/>
        <w:outlineLvl w:val="1"/>
        <w:rPr>
          <w:rFonts w:hint="eastAsia" w:ascii="宋体" w:hAnsi="宋体" w:eastAsia="宋体" w:cs="宋体"/>
          <w:color w:val="auto"/>
          <w:spacing w:val="-2"/>
          <w:sz w:val="24"/>
          <w:szCs w:val="24"/>
          <w:highlight w:val="none"/>
          <w:lang w:eastAsia="zh-CN"/>
        </w:rPr>
      </w:pPr>
    </w:p>
    <w:p w14:paraId="2E8FD561">
      <w:pPr>
        <w:widowControl w:val="0"/>
        <w:spacing w:before="100" w:line="219" w:lineRule="auto"/>
        <w:ind w:left="3013"/>
        <w:outlineLvl w:val="1"/>
        <w:rPr>
          <w:rFonts w:hint="eastAsia" w:ascii="宋体" w:hAnsi="宋体" w:eastAsia="宋体" w:cs="宋体"/>
          <w:color w:val="auto"/>
          <w:spacing w:val="-2"/>
          <w:sz w:val="24"/>
          <w:szCs w:val="24"/>
          <w:highlight w:val="none"/>
          <w:lang w:eastAsia="zh-CN"/>
        </w:rPr>
      </w:pPr>
    </w:p>
    <w:p w14:paraId="1C445F4F">
      <w:pPr>
        <w:widowControl w:val="0"/>
        <w:spacing w:before="100" w:line="219" w:lineRule="auto"/>
        <w:ind w:left="3013"/>
        <w:outlineLvl w:val="1"/>
        <w:rPr>
          <w:rFonts w:hint="eastAsia" w:ascii="宋体" w:hAnsi="宋体" w:eastAsia="宋体" w:cs="宋体"/>
          <w:color w:val="auto"/>
          <w:spacing w:val="-2"/>
          <w:sz w:val="24"/>
          <w:szCs w:val="24"/>
          <w:highlight w:val="none"/>
          <w:lang w:eastAsia="zh-CN"/>
        </w:rPr>
      </w:pPr>
    </w:p>
    <w:p w14:paraId="6AB9BE42">
      <w:pPr>
        <w:widowControl w:val="0"/>
        <w:spacing w:before="100" w:line="219" w:lineRule="auto"/>
        <w:ind w:left="3013"/>
        <w:outlineLvl w:val="1"/>
        <w:rPr>
          <w:rFonts w:hint="eastAsia" w:ascii="宋体" w:hAnsi="宋体" w:eastAsia="宋体" w:cs="宋体"/>
          <w:color w:val="auto"/>
          <w:spacing w:val="-2"/>
          <w:sz w:val="24"/>
          <w:szCs w:val="24"/>
          <w:highlight w:val="none"/>
          <w:lang w:eastAsia="zh-CN"/>
        </w:rPr>
      </w:pPr>
    </w:p>
    <w:p w14:paraId="6A486D24">
      <w:pPr>
        <w:widowControl w:val="0"/>
        <w:spacing w:before="100" w:line="219" w:lineRule="auto"/>
        <w:ind w:left="3013"/>
        <w:outlineLvl w:val="1"/>
        <w:rPr>
          <w:rFonts w:hint="eastAsia" w:ascii="宋体" w:hAnsi="宋体" w:eastAsia="宋体" w:cs="宋体"/>
          <w:color w:val="auto"/>
          <w:spacing w:val="-2"/>
          <w:sz w:val="24"/>
          <w:szCs w:val="24"/>
          <w:highlight w:val="none"/>
          <w:lang w:eastAsia="zh-CN"/>
        </w:rPr>
      </w:pPr>
    </w:p>
    <w:p w14:paraId="6A9F04E2">
      <w:pPr>
        <w:widowControl w:val="0"/>
        <w:spacing w:before="100" w:line="219" w:lineRule="auto"/>
        <w:ind w:left="3013"/>
        <w:outlineLvl w:val="1"/>
        <w:rPr>
          <w:rFonts w:hint="eastAsia" w:ascii="宋体" w:hAnsi="宋体" w:eastAsia="宋体" w:cs="宋体"/>
          <w:color w:val="auto"/>
          <w:spacing w:val="-2"/>
          <w:sz w:val="24"/>
          <w:szCs w:val="24"/>
          <w:highlight w:val="none"/>
          <w:lang w:eastAsia="zh-CN"/>
        </w:rPr>
      </w:pPr>
    </w:p>
    <w:p w14:paraId="30E80131">
      <w:pPr>
        <w:pStyle w:val="40"/>
        <w:spacing w:line="336" w:lineRule="auto"/>
        <w:rPr>
          <w:rFonts w:hint="eastAsia" w:ascii="宋体" w:hAnsi="宋体" w:eastAsia="宋体" w:cs="宋体"/>
          <w:b/>
          <w:bCs/>
          <w:color w:val="auto"/>
          <w:sz w:val="28"/>
          <w:szCs w:val="32"/>
          <w:highlight w:val="none"/>
          <w:lang w:eastAsia="zh-CN"/>
        </w:rPr>
      </w:pPr>
      <w:r>
        <w:rPr>
          <w:rFonts w:hint="eastAsia" w:ascii="宋体" w:hAnsi="宋体" w:eastAsia="宋体" w:cs="宋体"/>
          <w:b/>
          <w:bCs/>
          <w:color w:val="auto"/>
          <w:sz w:val="28"/>
          <w:szCs w:val="32"/>
          <w:highlight w:val="none"/>
          <w:lang w:eastAsia="zh-CN"/>
        </w:rPr>
        <w:t>附件、供应商营业执照</w:t>
      </w:r>
    </w:p>
    <w:p w14:paraId="4D8CF32E">
      <w:pPr>
        <w:pStyle w:val="40"/>
        <w:adjustRightInd w:val="0"/>
        <w:snapToGrid w:val="0"/>
        <w:spacing w:line="336" w:lineRule="auto"/>
        <w:outlineLvl w:val="9"/>
        <w:rPr>
          <w:rFonts w:hint="eastAsia" w:ascii="宋体" w:hAnsi="宋体" w:eastAsia="宋体" w:cs="宋体"/>
          <w:b/>
          <w:bCs/>
          <w:color w:val="auto"/>
          <w:sz w:val="28"/>
          <w:szCs w:val="32"/>
          <w:highlight w:val="none"/>
          <w:lang w:val="en-US" w:eastAsia="zh-CN"/>
        </w:rPr>
      </w:pPr>
    </w:p>
    <w:p w14:paraId="69427CA2">
      <w:pPr>
        <w:pStyle w:val="29"/>
        <w:pageBreakBefore w:val="0"/>
        <w:widowControl w:val="0"/>
        <w:numPr>
          <w:ilvl w:val="0"/>
          <w:numId w:val="0"/>
        </w:numPr>
        <w:wordWrap/>
        <w:overflowPunct/>
        <w:topLinePunct w:val="0"/>
        <w:bidi w:val="0"/>
        <w:ind w:leftChars="0"/>
        <w:rPr>
          <w:rFonts w:hint="eastAsia" w:ascii="宋体" w:hAnsi="宋体" w:eastAsia="宋体" w:cs="宋体"/>
          <w:color w:val="auto"/>
          <w:spacing w:val="0"/>
          <w:w w:val="100"/>
          <w:position w:val="0"/>
          <w:highlight w:val="none"/>
          <w:lang w:val="en-US" w:eastAsia="zh-CN"/>
        </w:rPr>
        <w:sectPr>
          <w:footerReference r:id="rId9" w:type="default"/>
          <w:pgSz w:w="11906" w:h="16839"/>
          <w:pgMar w:top="1134" w:right="1134" w:bottom="1134" w:left="1134" w:header="0" w:footer="994" w:gutter="0"/>
          <w:pgBorders>
            <w:top w:val="none" w:sz="0" w:space="0"/>
            <w:left w:val="none" w:sz="0" w:space="0"/>
            <w:bottom w:val="none" w:sz="0" w:space="0"/>
            <w:right w:val="none" w:sz="0" w:space="0"/>
          </w:pgBorders>
          <w:cols w:space="720" w:num="1"/>
        </w:sectPr>
      </w:pPr>
    </w:p>
    <w:p w14:paraId="010C7AD1">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260" w:name="_Toc3712"/>
      <w:bookmarkStart w:id="261" w:name="_Toc31283"/>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 xml:space="preserve">格式 </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 xml:space="preserve">5-2   </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法定代表人授权书</w:t>
      </w:r>
      <w:bookmarkEnd w:id="259"/>
      <w:bookmarkEnd w:id="260"/>
      <w:bookmarkEnd w:id="261"/>
    </w:p>
    <w:p w14:paraId="4EF4A232">
      <w:pPr>
        <w:pageBreakBefore w:val="0"/>
        <w:widowControl w:val="0"/>
        <w:wordWrap/>
        <w:overflowPunct/>
        <w:topLinePunct w:val="0"/>
        <w:bidi w:val="0"/>
        <w:spacing w:line="276" w:lineRule="auto"/>
        <w:rPr>
          <w:rFonts w:hint="eastAsia" w:ascii="宋体" w:hAnsi="宋体" w:eastAsia="宋体" w:cs="宋体"/>
          <w:color w:val="auto"/>
          <w:highlight w:val="none"/>
          <w:lang w:eastAsia="zh-CN"/>
        </w:rPr>
      </w:pPr>
    </w:p>
    <w:p w14:paraId="32BC92DC">
      <w:pPr>
        <w:pageBreakBefore w:val="0"/>
        <w:widowControl w:val="0"/>
        <w:wordWrap/>
        <w:overflowPunct/>
        <w:topLinePunct w:val="0"/>
        <w:bidi w:val="0"/>
        <w:spacing w:line="276" w:lineRule="auto"/>
        <w:rPr>
          <w:rFonts w:hint="eastAsia" w:ascii="宋体" w:hAnsi="宋体" w:eastAsia="宋体" w:cs="宋体"/>
          <w:color w:val="auto"/>
          <w:highlight w:val="none"/>
          <w:lang w:eastAsia="zh-CN"/>
        </w:rPr>
      </w:pPr>
    </w:p>
    <w:p w14:paraId="01AC6275">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7"/>
        <w:textAlignment w:val="baseline"/>
        <w:rPr>
          <w:rFonts w:hint="eastAsia" w:ascii="宋体" w:hAnsi="宋体" w:eastAsia="宋体" w:cs="宋体"/>
          <w:color w:val="auto"/>
          <w:highlight w:val="none"/>
          <w:u w:val="single"/>
          <w:lang w:val="en-US" w:eastAsia="zh-CN"/>
        </w:rPr>
      </w:pPr>
      <w:r>
        <w:rPr>
          <w:rFonts w:hint="eastAsia" w:ascii="宋体" w:hAnsi="宋体" w:eastAsia="宋体" w:cs="宋体"/>
          <w:color w:val="auto"/>
          <w:spacing w:val="-1"/>
          <w:sz w:val="24"/>
          <w:szCs w:val="24"/>
          <w:highlight w:val="none"/>
          <w:lang w:eastAsia="zh-CN"/>
        </w:rPr>
        <w:t>致：</w:t>
      </w:r>
      <w:r>
        <w:rPr>
          <w:rFonts w:hint="eastAsia" w:ascii="宋体" w:hAnsi="宋体" w:eastAsia="宋体" w:cs="宋体"/>
          <w:color w:val="auto"/>
          <w:spacing w:val="-1"/>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val="en-US" w:eastAsia="zh-CN"/>
        </w:rPr>
        <w:t xml:space="preserve">  </w:t>
      </w:r>
    </w:p>
    <w:p w14:paraId="6B2ECC6C">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31A30D6D">
      <w:pPr>
        <w:keepNext w:val="0"/>
        <w:keepLines w:val="0"/>
        <w:pageBreakBefore w:val="0"/>
        <w:widowControl w:val="0"/>
        <w:tabs>
          <w:tab w:val="left" w:pos="2548"/>
        </w:tabs>
        <w:kinsoku w:val="0"/>
        <w:wordWrap/>
        <w:overflowPunct/>
        <w:topLinePunct w:val="0"/>
        <w:autoSpaceDE w:val="0"/>
        <w:autoSpaceDN w:val="0"/>
        <w:bidi w:val="0"/>
        <w:adjustRightInd w:val="0"/>
        <w:snapToGrid w:val="0"/>
        <w:spacing w:before="78" w:line="480" w:lineRule="auto"/>
        <w:ind w:firstLine="480"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2"/>
          <w:sz w:val="24"/>
          <w:szCs w:val="24"/>
          <w:highlight w:val="none"/>
          <w:lang w:eastAsia="zh-CN"/>
        </w:rPr>
        <w:t>（供应商全称）法定代表人</w:t>
      </w:r>
      <w:r>
        <w:rPr>
          <w:rFonts w:hint="eastAsia" w:ascii="宋体" w:hAnsi="宋体" w:eastAsia="宋体" w:cs="宋体"/>
          <w:color w:val="auto"/>
          <w:spacing w:val="-118"/>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10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授权</w:t>
      </w:r>
      <w:r>
        <w:rPr>
          <w:rFonts w:hint="eastAsia" w:ascii="宋体" w:hAnsi="宋体" w:eastAsia="宋体" w:cs="宋体"/>
          <w:color w:val="auto"/>
          <w:spacing w:val="-118"/>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（全</w:t>
      </w:r>
      <w:r>
        <w:rPr>
          <w:rFonts w:hint="eastAsia" w:ascii="宋体" w:hAnsi="宋体" w:eastAsia="宋体" w:cs="宋体"/>
          <w:color w:val="auto"/>
          <w:spacing w:val="2"/>
          <w:sz w:val="24"/>
          <w:szCs w:val="24"/>
          <w:highlight w:val="none"/>
          <w:lang w:eastAsia="zh-CN"/>
        </w:rPr>
        <w:t>权代表姓名）为全权代表,参加贵处组织的</w:t>
      </w:r>
      <w:r>
        <w:rPr>
          <w:rFonts w:hint="eastAsia" w:ascii="宋体" w:hAnsi="宋体" w:eastAsia="宋体" w:cs="宋体"/>
          <w:color w:val="auto"/>
          <w:spacing w:val="-120"/>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（项目编号）项</w:t>
      </w:r>
      <w:r>
        <w:rPr>
          <w:rFonts w:hint="eastAsia" w:ascii="宋体" w:hAnsi="宋体" w:eastAsia="宋体" w:cs="宋体"/>
          <w:color w:val="auto"/>
          <w:spacing w:val="-3"/>
          <w:sz w:val="24"/>
          <w:szCs w:val="24"/>
          <w:highlight w:val="none"/>
          <w:lang w:eastAsia="zh-CN"/>
        </w:rPr>
        <w:t>目</w:t>
      </w:r>
      <w:r>
        <w:rPr>
          <w:rFonts w:hint="eastAsia" w:ascii="宋体" w:hAnsi="宋体" w:eastAsia="宋体" w:cs="宋体"/>
          <w:color w:val="auto"/>
          <w:spacing w:val="-3"/>
          <w:sz w:val="24"/>
          <w:szCs w:val="24"/>
          <w:highlight w:val="none"/>
          <w:lang w:val="en-US" w:eastAsia="zh-CN"/>
        </w:rPr>
        <w:t>磋商</w:t>
      </w:r>
      <w:r>
        <w:rPr>
          <w:rFonts w:hint="eastAsia" w:ascii="宋体" w:hAnsi="宋体" w:eastAsia="宋体" w:cs="宋体"/>
          <w:color w:val="auto"/>
          <w:spacing w:val="-3"/>
          <w:sz w:val="24"/>
          <w:szCs w:val="24"/>
          <w:highlight w:val="none"/>
          <w:lang w:eastAsia="zh-CN"/>
        </w:rPr>
        <w:t>活动，全权代表我方处理</w:t>
      </w:r>
      <w:r>
        <w:rPr>
          <w:rFonts w:hint="eastAsia" w:ascii="宋体" w:hAnsi="宋体" w:eastAsia="宋体" w:cs="宋体"/>
          <w:color w:val="auto"/>
          <w:spacing w:val="-3"/>
          <w:sz w:val="24"/>
          <w:szCs w:val="24"/>
          <w:highlight w:val="none"/>
          <w:lang w:val="en-US" w:eastAsia="zh-CN"/>
        </w:rPr>
        <w:t>磋商</w:t>
      </w:r>
      <w:r>
        <w:rPr>
          <w:rFonts w:hint="eastAsia" w:ascii="宋体" w:hAnsi="宋体" w:eastAsia="宋体" w:cs="宋体"/>
          <w:color w:val="auto"/>
          <w:spacing w:val="-3"/>
          <w:sz w:val="24"/>
          <w:szCs w:val="24"/>
          <w:highlight w:val="none"/>
          <w:lang w:eastAsia="zh-CN"/>
        </w:rPr>
        <w:t>活动中的一切事宜。</w:t>
      </w:r>
    </w:p>
    <w:p w14:paraId="2C8E3525">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319593F9">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312BCE88">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598"/>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法定代表人签字或签章：</w:t>
      </w:r>
    </w:p>
    <w:p w14:paraId="7B745AC5">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52B92250">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00101D4C">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46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供应商盖章：</w:t>
      </w:r>
    </w:p>
    <w:p w14:paraId="200D4ECE">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0329C98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45184B8D">
      <w:pPr>
        <w:pStyle w:val="33"/>
        <w:keepNext w:val="0"/>
        <w:keepLines w:val="0"/>
        <w:pageBreakBefore w:val="0"/>
        <w:widowControl w:val="0"/>
        <w:shd w:val="clear" w:color="auto" w:fill="auto"/>
        <w:wordWrap/>
        <w:overflowPunct/>
        <w:topLinePunct w:val="0"/>
        <w:bidi w:val="0"/>
        <w:spacing w:before="0" w:after="520" w:line="605" w:lineRule="exact"/>
        <w:ind w:left="0" w:right="0" w:firstLine="0"/>
        <w:jc w:val="center"/>
        <w:rPr>
          <w:rFonts w:hint="eastAsia" w:ascii="宋体" w:hAnsi="宋体" w:eastAsia="宋体" w:cs="宋体"/>
          <w:color w:val="auto"/>
          <w:highlight w:val="none"/>
          <w:lang w:eastAsia="zh-CN"/>
        </w:rPr>
      </w:pPr>
      <w:r>
        <w:rPr>
          <w:rFonts w:hint="eastAsia" w:ascii="宋体" w:hAnsi="宋体" w:eastAsia="宋体" w:cs="宋体"/>
          <w:color w:val="auto"/>
          <w:spacing w:val="-21"/>
          <w:sz w:val="24"/>
          <w:szCs w:val="24"/>
          <w:highlight w:val="none"/>
          <w:lang w:val="en-US" w:eastAsia="zh-CN"/>
        </w:rPr>
        <w:t xml:space="preserve">                                       </w:t>
      </w:r>
      <w:r>
        <w:rPr>
          <w:rFonts w:hint="eastAsia" w:ascii="宋体" w:hAnsi="宋体" w:eastAsia="宋体" w:cs="宋体"/>
          <w:color w:val="auto"/>
          <w:spacing w:val="-21"/>
          <w:sz w:val="24"/>
          <w:szCs w:val="24"/>
          <w:highlight w:val="none"/>
          <w:lang w:eastAsia="zh-CN"/>
        </w:rPr>
        <w:t>日</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21"/>
          <w:sz w:val="24"/>
          <w:szCs w:val="24"/>
          <w:highlight w:val="none"/>
          <w:lang w:eastAsia="zh-CN"/>
        </w:rPr>
        <w:t>期：</w:t>
      </w:r>
      <w:r>
        <w:rPr>
          <w:rFonts w:hint="eastAsia" w:ascii="宋体" w:hAnsi="宋体" w:eastAsia="宋体" w:cs="宋体"/>
          <w:color w:val="auto"/>
          <w:spacing w:val="0"/>
          <w:w w:val="100"/>
          <w:position w:val="0"/>
          <w:sz w:val="24"/>
          <w:szCs w:val="24"/>
          <w:highlight w:val="none"/>
          <w:u w:val="none"/>
          <w:lang w:val="en-US" w:eastAsia="zh-CN"/>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年</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月</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日</w:t>
      </w:r>
    </w:p>
    <w:p w14:paraId="4518A27F">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26C8AF0D">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56"/>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5"/>
          <w:sz w:val="24"/>
          <w:szCs w:val="24"/>
          <w:highlight w:val="none"/>
          <w:lang w:eastAsia="zh-CN"/>
        </w:rPr>
        <w:t>附：</w:t>
      </w:r>
    </w:p>
    <w:p w14:paraId="17371969">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37"/>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position w:val="17"/>
          <w:sz w:val="24"/>
          <w:szCs w:val="24"/>
          <w:highlight w:val="none"/>
          <w:lang w:eastAsia="zh-CN"/>
        </w:rPr>
        <w:t>全权代表姓名：</w:t>
      </w:r>
    </w:p>
    <w:p w14:paraId="46EF3994">
      <w:pPr>
        <w:keepNext w:val="0"/>
        <w:keepLines w:val="0"/>
        <w:pageBreakBefore w:val="0"/>
        <w:widowControl w:val="0"/>
        <w:kinsoku w:val="0"/>
        <w:wordWrap/>
        <w:overflowPunct/>
        <w:topLinePunct w:val="0"/>
        <w:autoSpaceDE w:val="0"/>
        <w:autoSpaceDN w:val="0"/>
        <w:bidi w:val="0"/>
        <w:adjustRightInd w:val="0"/>
        <w:snapToGrid w:val="0"/>
        <w:spacing w:before="1" w:line="360" w:lineRule="auto"/>
        <w:ind w:left="38"/>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职</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务：</w:t>
      </w:r>
    </w:p>
    <w:p w14:paraId="1B4A6208">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65"/>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6"/>
          <w:sz w:val="24"/>
          <w:szCs w:val="24"/>
          <w:highlight w:val="none"/>
          <w:lang w:eastAsia="zh-CN"/>
        </w:rPr>
        <w:t>电</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6"/>
          <w:sz w:val="24"/>
          <w:szCs w:val="24"/>
          <w:highlight w:val="none"/>
          <w:lang w:eastAsia="zh-CN"/>
        </w:rPr>
        <w:t>话：</w:t>
      </w:r>
    </w:p>
    <w:p w14:paraId="1BC72952">
      <w:pPr>
        <w:keepNext w:val="0"/>
        <w:keepLines w:val="0"/>
        <w:pageBreakBefore w:val="0"/>
        <w:widowControl w:val="0"/>
        <w:kinsoku w:val="0"/>
        <w:wordWrap/>
        <w:overflowPunct/>
        <w:topLinePunct w:val="0"/>
        <w:autoSpaceDE w:val="0"/>
        <w:autoSpaceDN w:val="0"/>
        <w:bidi w:val="0"/>
        <w:adjustRightInd w:val="0"/>
        <w:snapToGrid w:val="0"/>
        <w:spacing w:before="180" w:line="360" w:lineRule="auto"/>
        <w:ind w:left="4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详细通讯地址：</w:t>
      </w:r>
    </w:p>
    <w:p w14:paraId="4AA05AEB">
      <w:pPr>
        <w:keepNext w:val="0"/>
        <w:keepLines w:val="0"/>
        <w:pageBreakBefore w:val="0"/>
        <w:widowControl w:val="0"/>
        <w:kinsoku w:val="0"/>
        <w:wordWrap/>
        <w:overflowPunct/>
        <w:topLinePunct w:val="0"/>
        <w:autoSpaceDE w:val="0"/>
        <w:autoSpaceDN w:val="0"/>
        <w:bidi w:val="0"/>
        <w:adjustRightInd w:val="0"/>
        <w:snapToGrid w:val="0"/>
        <w:spacing w:before="181" w:line="360" w:lineRule="auto"/>
        <w:ind w:left="55"/>
        <w:textAlignment w:val="baseline"/>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电 子 邮 箱</w:t>
      </w:r>
      <w:r>
        <w:rPr>
          <w:rFonts w:hint="eastAsia" w:ascii="宋体" w:hAnsi="宋体" w:eastAsia="宋体" w:cs="宋体"/>
          <w:color w:val="auto"/>
          <w:spacing w:val="-10"/>
          <w:sz w:val="24"/>
          <w:szCs w:val="24"/>
          <w:highlight w:val="none"/>
          <w:lang w:eastAsia="zh-CN"/>
        </w:rPr>
        <w:t>：</w:t>
      </w:r>
    </w:p>
    <w:p w14:paraId="24A37534">
      <w:pPr>
        <w:pStyle w:val="7"/>
        <w:rPr>
          <w:rFonts w:hint="eastAsia" w:ascii="宋体" w:hAnsi="宋体" w:eastAsia="宋体" w:cs="宋体"/>
          <w:color w:val="auto"/>
          <w:highlight w:val="none"/>
          <w:lang w:eastAsia="zh-CN"/>
        </w:rPr>
      </w:pPr>
    </w:p>
    <w:p w14:paraId="073D996B">
      <w:pPr>
        <w:keepNext w:val="0"/>
        <w:keepLines w:val="0"/>
        <w:pageBreakBefore w:val="0"/>
        <w:widowControl w:val="0"/>
        <w:kinsoku w:val="0"/>
        <w:wordWrap/>
        <w:overflowPunct/>
        <w:topLinePunct w:val="0"/>
        <w:autoSpaceDE w:val="0"/>
        <w:autoSpaceDN w:val="0"/>
        <w:bidi w:val="0"/>
        <w:adjustRightInd w:val="0"/>
        <w:snapToGrid w:val="0"/>
        <w:spacing w:before="79" w:line="360" w:lineRule="auto"/>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2"/>
          <w:sz w:val="24"/>
          <w:szCs w:val="24"/>
          <w:highlight w:val="none"/>
          <w:lang w:eastAsia="zh-CN"/>
        </w:rPr>
        <w:t>附：法定代表人</w:t>
      </w:r>
      <w:r>
        <w:rPr>
          <w:rFonts w:hint="eastAsia" w:ascii="宋体" w:hAnsi="宋体" w:eastAsia="宋体" w:cs="宋体"/>
          <w:color w:val="auto"/>
          <w:spacing w:val="-2"/>
          <w:sz w:val="24"/>
          <w:szCs w:val="24"/>
          <w:highlight w:val="none"/>
          <w:lang w:val="en-US" w:eastAsia="zh-CN"/>
        </w:rPr>
        <w:t>及全权代表</w:t>
      </w:r>
      <w:r>
        <w:rPr>
          <w:rFonts w:hint="eastAsia" w:ascii="宋体" w:hAnsi="宋体" w:eastAsia="宋体" w:cs="宋体"/>
          <w:color w:val="auto"/>
          <w:spacing w:val="-2"/>
          <w:sz w:val="24"/>
          <w:szCs w:val="24"/>
          <w:highlight w:val="none"/>
          <w:lang w:eastAsia="zh-CN"/>
        </w:rPr>
        <w:t>身份证扫描件（正、反面）</w:t>
      </w:r>
    </w:p>
    <w:p w14:paraId="5F3E271D">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说明：法定代表人参加采购，不用提供授权书。</w:t>
      </w:r>
    </w:p>
    <w:p w14:paraId="08CDF3CD">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z w:val="24"/>
          <w:szCs w:val="24"/>
          <w:highlight w:val="none"/>
          <w:lang w:eastAsia="zh-CN"/>
        </w:rPr>
        <w:sectPr>
          <w:footerReference r:id="rId10" w:type="default"/>
          <w:pgSz w:w="11906" w:h="16839"/>
          <w:pgMar w:top="1134" w:right="1134" w:bottom="1134" w:left="1134" w:header="0" w:footer="994" w:gutter="0"/>
          <w:pgBorders>
            <w:top w:val="none" w:sz="0" w:space="0"/>
            <w:left w:val="none" w:sz="0" w:space="0"/>
            <w:bottom w:val="none" w:sz="0" w:space="0"/>
            <w:right w:val="none" w:sz="0" w:space="0"/>
          </w:pgBorders>
          <w:pgNumType w:fmt="decimal"/>
          <w:cols w:space="720" w:num="1"/>
        </w:sectPr>
      </w:pPr>
    </w:p>
    <w:p w14:paraId="1294FB79">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262" w:name="bookmark67"/>
      <w:bookmarkEnd w:id="262"/>
      <w:bookmarkStart w:id="263" w:name="_Toc10432"/>
      <w:bookmarkStart w:id="264" w:name="_Toc6560"/>
      <w:bookmarkStart w:id="265" w:name="_Toc27982"/>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 xml:space="preserve">格式 </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 xml:space="preserve"> 供应商的资格声明</w:t>
      </w:r>
      <w:bookmarkEnd w:id="263"/>
      <w:bookmarkEnd w:id="264"/>
      <w:bookmarkEnd w:id="265"/>
    </w:p>
    <w:p w14:paraId="47DB2EB3">
      <w:pPr>
        <w:keepNext w:val="0"/>
        <w:keepLines w:val="0"/>
        <w:pageBreakBefore w:val="0"/>
        <w:widowControl w:val="0"/>
        <w:kinsoku w:val="0"/>
        <w:wordWrap/>
        <w:overflowPunct/>
        <w:topLinePunct w:val="0"/>
        <w:autoSpaceDE w:val="0"/>
        <w:autoSpaceDN w:val="0"/>
        <w:bidi w:val="0"/>
        <w:adjustRightInd w:val="0"/>
        <w:snapToGrid w:val="0"/>
        <w:spacing w:before="78" w:after="0" w:afterLines="121" w:afterAutospacing="0" w:line="360" w:lineRule="auto"/>
        <w:ind w:left="90" w:leftChars="43" w:firstLine="0" w:firstLineChars="0"/>
        <w:jc w:val="center"/>
        <w:textAlignment w:val="baseline"/>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（参考格式）</w:t>
      </w:r>
    </w:p>
    <w:p w14:paraId="29E480C8">
      <w:pPr>
        <w:widowControl w:val="0"/>
        <w:spacing w:line="360" w:lineRule="auto"/>
        <w:ind w:left="37"/>
        <w:rPr>
          <w:rFonts w:hint="eastAsia" w:ascii="宋体" w:hAnsi="宋体" w:eastAsia="宋体" w:cs="宋体"/>
          <w:color w:val="auto"/>
          <w:highlight w:val="none"/>
          <w:u w:val="single"/>
          <w:lang w:eastAsia="zh-CN"/>
        </w:rPr>
      </w:pPr>
      <w:r>
        <w:rPr>
          <w:rFonts w:hint="eastAsia" w:ascii="宋体" w:hAnsi="宋体" w:eastAsia="宋体" w:cs="宋体"/>
          <w:color w:val="auto"/>
          <w:spacing w:val="-1"/>
          <w:sz w:val="24"/>
          <w:szCs w:val="24"/>
          <w:highlight w:val="none"/>
          <w:lang w:eastAsia="zh-CN"/>
        </w:rPr>
        <w:t>致：</w:t>
      </w:r>
      <w:r>
        <w:rPr>
          <w:rFonts w:hint="eastAsia" w:ascii="宋体" w:hAnsi="宋体" w:eastAsia="宋体" w:cs="宋体"/>
          <w:color w:val="auto"/>
          <w:spacing w:val="-1"/>
          <w:sz w:val="24"/>
          <w:szCs w:val="24"/>
          <w:highlight w:val="none"/>
          <w:u w:val="single"/>
          <w:lang w:eastAsia="zh-CN"/>
        </w:rPr>
        <w:t xml:space="preserve">采购代理机构名称   </w:t>
      </w:r>
    </w:p>
    <w:p w14:paraId="3E2D3D84">
      <w:pPr>
        <w:widowControl w:val="0"/>
        <w:spacing w:line="360" w:lineRule="auto"/>
        <w:rPr>
          <w:rFonts w:hint="eastAsia" w:ascii="宋体" w:hAnsi="宋体" w:eastAsia="宋体" w:cs="宋体"/>
          <w:color w:val="auto"/>
          <w:highlight w:val="none"/>
          <w:lang w:eastAsia="zh-CN"/>
        </w:rPr>
      </w:pPr>
    </w:p>
    <w:p w14:paraId="689DC805">
      <w:pPr>
        <w:widowControl w:val="0"/>
        <w:spacing w:before="78" w:line="360" w:lineRule="auto"/>
        <w:ind w:left="38" w:firstLine="47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为响应贵方</w:t>
      </w:r>
      <w:r>
        <w:rPr>
          <w:rFonts w:hint="eastAsia" w:ascii="宋体" w:hAnsi="宋体" w:eastAsia="宋体" w:cs="宋体"/>
          <w:color w:val="auto"/>
          <w:spacing w:val="-1"/>
          <w:sz w:val="24"/>
          <w:szCs w:val="24"/>
          <w:highlight w:val="none"/>
          <w:u w:val="single"/>
          <w:lang w:eastAsia="zh-CN"/>
        </w:rPr>
        <w:t>（项目名称、项目编号）</w:t>
      </w:r>
      <w:r>
        <w:rPr>
          <w:rFonts w:hint="eastAsia" w:ascii="宋体" w:hAnsi="宋体" w:eastAsia="宋体" w:cs="宋体"/>
          <w:color w:val="auto"/>
          <w:spacing w:val="-1"/>
          <w:sz w:val="24"/>
          <w:szCs w:val="24"/>
          <w:highlight w:val="none"/>
          <w:lang w:eastAsia="zh-CN"/>
        </w:rPr>
        <w:t>磋商邀请，下述签字人愿</w:t>
      </w:r>
      <w:r>
        <w:rPr>
          <w:rFonts w:hint="eastAsia" w:ascii="宋体" w:hAnsi="宋体" w:eastAsia="宋体" w:cs="宋体"/>
          <w:color w:val="auto"/>
          <w:spacing w:val="-2"/>
          <w:sz w:val="24"/>
          <w:szCs w:val="24"/>
          <w:highlight w:val="none"/>
          <w:lang w:eastAsia="zh-CN"/>
        </w:rPr>
        <w:t>参与磋商，提供本项目磋商文件第五章采</w:t>
      </w:r>
      <w:r>
        <w:rPr>
          <w:rFonts w:hint="eastAsia" w:ascii="宋体" w:hAnsi="宋体" w:eastAsia="宋体" w:cs="宋体"/>
          <w:color w:val="auto"/>
          <w:spacing w:val="-1"/>
          <w:sz w:val="24"/>
          <w:szCs w:val="24"/>
          <w:highlight w:val="none"/>
          <w:lang w:eastAsia="zh-CN"/>
        </w:rPr>
        <w:t>购需求规定的服务，提交下述文</w:t>
      </w:r>
      <w:r>
        <w:rPr>
          <w:rFonts w:hint="eastAsia" w:ascii="宋体" w:hAnsi="宋体" w:eastAsia="宋体" w:cs="宋体"/>
          <w:color w:val="auto"/>
          <w:spacing w:val="-2"/>
          <w:sz w:val="24"/>
          <w:szCs w:val="24"/>
          <w:highlight w:val="none"/>
          <w:lang w:eastAsia="zh-CN"/>
        </w:rPr>
        <w:t>件并声明全部说明是真</w:t>
      </w:r>
      <w:r>
        <w:rPr>
          <w:rFonts w:hint="eastAsia" w:ascii="宋体" w:hAnsi="宋体" w:eastAsia="宋体" w:cs="宋体"/>
          <w:color w:val="auto"/>
          <w:spacing w:val="-3"/>
          <w:sz w:val="24"/>
          <w:szCs w:val="24"/>
          <w:highlight w:val="none"/>
          <w:lang w:eastAsia="zh-CN"/>
        </w:rPr>
        <w:t>实的和正确的。</w:t>
      </w:r>
    </w:p>
    <w:p w14:paraId="080F4435">
      <w:pPr>
        <w:widowControl w:val="0"/>
        <w:spacing w:before="187" w:line="360" w:lineRule="auto"/>
        <w:ind w:firstLine="476"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1.下述签字人在证书中证明本资格文件中的内容是真实的和正确的；</w:t>
      </w:r>
    </w:p>
    <w:p w14:paraId="4CB8574E">
      <w:pPr>
        <w:widowControl w:val="0"/>
        <w:spacing w:before="183" w:line="360" w:lineRule="auto"/>
        <w:ind w:firstLine="476"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position w:val="17"/>
          <w:sz w:val="24"/>
          <w:szCs w:val="24"/>
          <w:highlight w:val="none"/>
          <w:lang w:eastAsia="zh-CN"/>
        </w:rPr>
        <w:t>2.我方没有单位负责人为同一人或者存在直接控股、管理</w:t>
      </w:r>
      <w:r>
        <w:rPr>
          <w:rFonts w:hint="eastAsia" w:ascii="宋体" w:hAnsi="宋体" w:eastAsia="宋体" w:cs="宋体"/>
          <w:color w:val="auto"/>
          <w:spacing w:val="-2"/>
          <w:position w:val="17"/>
          <w:sz w:val="24"/>
          <w:szCs w:val="24"/>
          <w:highlight w:val="none"/>
          <w:lang w:eastAsia="zh-CN"/>
        </w:rPr>
        <w:t>关系的不同供应商，参加本项目采购活动的情形；</w:t>
      </w:r>
    </w:p>
    <w:p w14:paraId="56FA3210">
      <w:pPr>
        <w:widowControl w:val="0"/>
        <w:spacing w:line="360" w:lineRule="auto"/>
        <w:ind w:firstLine="476"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position w:val="17"/>
          <w:sz w:val="24"/>
          <w:szCs w:val="24"/>
          <w:highlight w:val="none"/>
          <w:lang w:eastAsia="zh-CN"/>
        </w:rPr>
        <w:t>3.我方没有为本项目提供整体设计、规范编</w:t>
      </w:r>
      <w:r>
        <w:rPr>
          <w:rFonts w:hint="eastAsia" w:ascii="宋体" w:hAnsi="宋体" w:eastAsia="宋体" w:cs="宋体"/>
          <w:color w:val="auto"/>
          <w:spacing w:val="-2"/>
          <w:position w:val="17"/>
          <w:sz w:val="24"/>
          <w:szCs w:val="24"/>
          <w:highlight w:val="none"/>
          <w:lang w:eastAsia="zh-CN"/>
        </w:rPr>
        <w:t>制或者项目管理、监理、检测等服务的情形。</w:t>
      </w:r>
    </w:p>
    <w:p w14:paraId="575F6AC6">
      <w:pPr>
        <w:widowControl w:val="0"/>
        <w:spacing w:before="185" w:line="219" w:lineRule="auto"/>
        <w:rPr>
          <w:rFonts w:hint="eastAsia" w:ascii="宋体" w:hAnsi="宋体" w:eastAsia="宋体" w:cs="宋体"/>
          <w:color w:val="auto"/>
          <w:sz w:val="24"/>
          <w:szCs w:val="24"/>
          <w:highlight w:val="none"/>
          <w:lang w:eastAsia="zh-CN"/>
        </w:rPr>
      </w:pPr>
    </w:p>
    <w:p w14:paraId="02901B67">
      <w:pPr>
        <w:pStyle w:val="7"/>
        <w:rPr>
          <w:rFonts w:hint="eastAsia" w:ascii="宋体" w:hAnsi="宋体" w:eastAsia="宋体" w:cs="宋体"/>
          <w:color w:val="auto"/>
          <w:highlight w:val="none"/>
          <w:lang w:eastAsia="zh-CN"/>
        </w:rPr>
      </w:pPr>
    </w:p>
    <w:p w14:paraId="6D78005A">
      <w:pPr>
        <w:spacing w:before="78" w:line="219" w:lineRule="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lang w:eastAsia="zh-CN"/>
        </w:rPr>
        <w:t>供应商（公章）：</w:t>
      </w:r>
    </w:p>
    <w:p w14:paraId="2FB276E8">
      <w:pPr>
        <w:spacing w:before="78" w:line="219" w:lineRule="auto"/>
        <w:rPr>
          <w:rFonts w:hint="eastAsia" w:ascii="宋体" w:hAnsi="宋体" w:eastAsia="宋体" w:cs="宋体"/>
          <w:color w:val="auto"/>
          <w:spacing w:val="-1"/>
          <w:sz w:val="24"/>
          <w:szCs w:val="24"/>
          <w:highlight w:val="none"/>
          <w:lang w:eastAsia="zh-CN"/>
        </w:rPr>
      </w:pPr>
    </w:p>
    <w:p w14:paraId="6C887693">
      <w:pPr>
        <w:pStyle w:val="7"/>
        <w:rPr>
          <w:rFonts w:hint="eastAsia" w:ascii="宋体" w:hAnsi="宋体" w:eastAsia="宋体" w:cs="宋体"/>
          <w:color w:val="auto"/>
          <w:highlight w:val="none"/>
          <w:lang w:eastAsia="zh-CN"/>
        </w:rPr>
      </w:pPr>
    </w:p>
    <w:p w14:paraId="4A39CC81">
      <w:pPr>
        <w:spacing w:before="78" w:line="219" w:lineRule="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zh-CN" w:eastAsia="zh-CN"/>
        </w:rPr>
        <w:t>法定代表人或委托代理人</w:t>
      </w:r>
      <w:r>
        <w:rPr>
          <w:rFonts w:hint="eastAsia" w:ascii="宋体" w:hAnsi="宋体" w:eastAsia="宋体" w:cs="宋体"/>
          <w:color w:val="auto"/>
          <w:sz w:val="24"/>
          <w:szCs w:val="24"/>
          <w:highlight w:val="none"/>
          <w:lang w:eastAsia="zh-CN"/>
        </w:rPr>
        <w:t>或自然人</w:t>
      </w:r>
      <w:r>
        <w:rPr>
          <w:rFonts w:hint="eastAsia" w:ascii="宋体" w:hAnsi="宋体" w:eastAsia="宋体" w:cs="宋体"/>
          <w:color w:val="auto"/>
          <w:spacing w:val="-1"/>
          <w:sz w:val="24"/>
          <w:szCs w:val="24"/>
          <w:highlight w:val="none"/>
          <w:lang w:val="zh-CN" w:eastAsia="zh-CN"/>
        </w:rPr>
        <w:t>（签字或签章）</w:t>
      </w:r>
      <w:r>
        <w:rPr>
          <w:rFonts w:hint="eastAsia" w:ascii="宋体" w:hAnsi="宋体" w:eastAsia="宋体" w:cs="宋体"/>
          <w:color w:val="auto"/>
          <w:sz w:val="24"/>
          <w:szCs w:val="24"/>
          <w:highlight w:val="none"/>
          <w:lang w:eastAsia="zh-CN"/>
        </w:rPr>
        <w:t>：</w:t>
      </w:r>
    </w:p>
    <w:p w14:paraId="2667484E">
      <w:pPr>
        <w:spacing w:before="78" w:line="219" w:lineRule="auto"/>
        <w:rPr>
          <w:rFonts w:hint="eastAsia" w:ascii="宋体" w:hAnsi="宋体" w:eastAsia="宋体" w:cs="宋体"/>
          <w:color w:val="auto"/>
          <w:spacing w:val="-1"/>
          <w:sz w:val="24"/>
          <w:szCs w:val="24"/>
          <w:highlight w:val="none"/>
          <w:lang w:eastAsia="zh-CN"/>
        </w:rPr>
      </w:pPr>
    </w:p>
    <w:p w14:paraId="634DB133">
      <w:pPr>
        <w:pStyle w:val="7"/>
        <w:rPr>
          <w:rFonts w:hint="eastAsia" w:ascii="宋体" w:hAnsi="宋体" w:eastAsia="宋体" w:cs="宋体"/>
          <w:color w:val="auto"/>
          <w:highlight w:val="none"/>
          <w:lang w:eastAsia="zh-CN"/>
        </w:rPr>
      </w:pPr>
    </w:p>
    <w:p w14:paraId="3693DBB4">
      <w:pPr>
        <w:spacing w:before="78" w:line="219" w:lineRule="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zh-CN" w:eastAsia="zh-CN"/>
        </w:rPr>
        <w:t>日期：</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lang w:val="zh-CN" w:eastAsia="zh-CN"/>
        </w:rPr>
        <w:t>年</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lang w:val="zh-CN" w:eastAsia="zh-CN"/>
        </w:rPr>
        <w:t>月</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val="zh-CN" w:eastAsia="zh-CN"/>
        </w:rPr>
        <w:t xml:space="preserve"> </w:t>
      </w:r>
      <w:r>
        <w:rPr>
          <w:rFonts w:hint="eastAsia" w:ascii="宋体" w:hAnsi="宋体" w:eastAsia="宋体" w:cs="宋体"/>
          <w:color w:val="auto"/>
          <w:spacing w:val="-1"/>
          <w:sz w:val="24"/>
          <w:szCs w:val="24"/>
          <w:highlight w:val="none"/>
          <w:lang w:val="zh-CN" w:eastAsia="zh-CN"/>
        </w:rPr>
        <w:t>日</w:t>
      </w:r>
    </w:p>
    <w:p w14:paraId="1D7D5401">
      <w:pPr>
        <w:keepNext w:val="0"/>
        <w:keepLines w:val="0"/>
        <w:pageBreakBefore w:val="0"/>
        <w:widowControl w:val="0"/>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 w:val="24"/>
          <w:szCs w:val="24"/>
          <w:highlight w:val="none"/>
          <w:lang w:eastAsia="zh-CN"/>
        </w:rPr>
        <w:sectPr>
          <w:footerReference r:id="rId11" w:type="default"/>
          <w:pgSz w:w="11906" w:h="16839"/>
          <w:pgMar w:top="1134" w:right="1134" w:bottom="1134" w:left="1134" w:header="0" w:footer="994" w:gutter="0"/>
          <w:pgBorders>
            <w:top w:val="none" w:sz="0" w:space="0"/>
            <w:left w:val="none" w:sz="0" w:space="0"/>
            <w:bottom w:val="none" w:sz="0" w:space="0"/>
            <w:right w:val="none" w:sz="0" w:space="0"/>
          </w:pgBorders>
          <w:pgNumType w:fmt="decimal"/>
          <w:cols w:space="720" w:num="1"/>
        </w:sectPr>
      </w:pPr>
    </w:p>
    <w:p w14:paraId="6A41B83F">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266" w:name="bookmark68"/>
      <w:bookmarkEnd w:id="266"/>
      <w:bookmarkStart w:id="267" w:name="bookmark73"/>
      <w:bookmarkEnd w:id="267"/>
      <w:bookmarkStart w:id="268" w:name="_Toc19251"/>
      <w:bookmarkStart w:id="269" w:name="_Toc31351"/>
      <w:bookmarkStart w:id="270" w:name="_Toc25352"/>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 xml:space="preserve">格式 </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 xml:space="preserve">4 </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磋商保证金</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或保函</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凭证</w:t>
      </w:r>
      <w:bookmarkEnd w:id="268"/>
      <w:bookmarkEnd w:id="269"/>
      <w:bookmarkEnd w:id="270"/>
    </w:p>
    <w:p w14:paraId="3367F0A4">
      <w:pPr>
        <w:pStyle w:val="5"/>
        <w:rPr>
          <w:rFonts w:hint="eastAsia" w:ascii="宋体" w:hAnsi="宋体" w:eastAsia="宋体" w:cs="宋体"/>
          <w:color w:val="auto"/>
          <w:highlight w:val="none"/>
          <w:lang w:eastAsia="zh-CN"/>
        </w:rPr>
      </w:pPr>
      <w:bookmarkStart w:id="271" w:name="bookmark74"/>
      <w:bookmarkEnd w:id="271"/>
      <w:bookmarkStart w:id="272" w:name="bookmark69"/>
      <w:bookmarkEnd w:id="272"/>
      <w:bookmarkStart w:id="273" w:name="_Toc12198"/>
      <w:bookmarkStart w:id="274" w:name="_Toc24886"/>
    </w:p>
    <w:p w14:paraId="35878EE2">
      <w:pPr>
        <w:widowControl w:val="0"/>
        <w:kinsoku/>
        <w:autoSpaceDE/>
        <w:autoSpaceDN/>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附：供应商盖章的保证金凭证扫描件或截图</w:t>
      </w:r>
    </w:p>
    <w:p w14:paraId="032CC6E2">
      <w:pPr>
        <w:widowControl w:val="0"/>
        <w:kinsoku/>
        <w:autoSpaceDE/>
        <w:autoSpaceDN/>
        <w:adjustRightInd/>
        <w:snapToGrid/>
        <w:spacing w:line="360" w:lineRule="auto"/>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本项目投标保证金</w:t>
      </w:r>
      <w:r>
        <w:rPr>
          <w:rFonts w:hint="eastAsia" w:ascii="宋体" w:hAnsi="宋体" w:eastAsia="宋体" w:cs="宋体"/>
          <w:color w:val="auto"/>
          <w:sz w:val="24"/>
          <w:szCs w:val="24"/>
          <w:highlight w:val="none"/>
          <w:lang w:eastAsia="zh-CN"/>
        </w:rPr>
        <w:t>应当</w:t>
      </w:r>
      <w:r>
        <w:rPr>
          <w:rFonts w:hint="eastAsia" w:ascii="宋体" w:hAnsi="宋体" w:eastAsia="宋体" w:cs="宋体"/>
          <w:bCs/>
          <w:color w:val="auto"/>
          <w:kern w:val="0"/>
          <w:sz w:val="24"/>
          <w:szCs w:val="24"/>
          <w:highlight w:val="none"/>
        </w:rPr>
        <w:t>采用支票、汇票、本票、网上银行转账或金融机构、担保机构出具的保函等非现金形式足额交纳。推荐投标人以网上银行</w:t>
      </w:r>
      <w:r>
        <w:rPr>
          <w:rFonts w:hint="eastAsia" w:ascii="宋体" w:hAnsi="宋体" w:eastAsia="宋体" w:cs="宋体"/>
          <w:bCs/>
          <w:color w:val="auto"/>
          <w:kern w:val="0"/>
          <w:sz w:val="24"/>
          <w:szCs w:val="24"/>
          <w:highlight w:val="none"/>
          <w:lang w:val="en-US" w:eastAsia="zh-CN"/>
        </w:rPr>
        <w:t>转账</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保证金</w:t>
      </w:r>
      <w:r>
        <w:rPr>
          <w:rFonts w:hint="eastAsia" w:ascii="宋体" w:hAnsi="宋体" w:eastAsia="宋体" w:cs="宋体"/>
          <w:bCs/>
          <w:color w:val="auto"/>
          <w:kern w:val="0"/>
          <w:sz w:val="24"/>
          <w:szCs w:val="24"/>
          <w:highlight w:val="none"/>
        </w:rPr>
        <w:t>咨询热线：</w:t>
      </w:r>
      <w:r>
        <w:rPr>
          <w:rFonts w:hint="eastAsia" w:ascii="宋体" w:hAnsi="宋体" w:eastAsia="宋体" w:cs="宋体"/>
          <w:color w:val="auto"/>
          <w:kern w:val="0"/>
          <w:sz w:val="24"/>
          <w:szCs w:val="24"/>
          <w:highlight w:val="none"/>
        </w:rPr>
        <w:t>0793-833</w:t>
      </w:r>
      <w:r>
        <w:rPr>
          <w:rFonts w:hint="eastAsia" w:ascii="宋体" w:hAnsi="宋体" w:eastAsia="宋体" w:cs="宋体"/>
          <w:color w:val="auto"/>
          <w:kern w:val="0"/>
          <w:sz w:val="24"/>
          <w:szCs w:val="24"/>
          <w:highlight w:val="none"/>
          <w:lang w:val="en-US" w:eastAsia="zh-CN"/>
        </w:rPr>
        <w:t>0665</w:t>
      </w:r>
      <w:r>
        <w:rPr>
          <w:rFonts w:hint="eastAsia" w:ascii="宋体" w:hAnsi="宋体" w:eastAsia="宋体" w:cs="宋体"/>
          <w:bCs/>
          <w:color w:val="auto"/>
          <w:kern w:val="0"/>
          <w:sz w:val="24"/>
          <w:szCs w:val="24"/>
          <w:highlight w:val="none"/>
        </w:rPr>
        <w:t>）或者</w:t>
      </w:r>
      <w:r>
        <w:rPr>
          <w:rFonts w:hint="eastAsia" w:ascii="宋体" w:hAnsi="宋体" w:eastAsia="宋体" w:cs="宋体"/>
          <w:b/>
          <w:bCs w:val="0"/>
          <w:color w:val="auto"/>
          <w:kern w:val="0"/>
          <w:sz w:val="24"/>
          <w:szCs w:val="24"/>
          <w:highlight w:val="none"/>
        </w:rPr>
        <w:t>上饶市阳光采购服务平台出具的电子保函</w:t>
      </w:r>
      <w:r>
        <w:rPr>
          <w:rFonts w:hint="eastAsia" w:ascii="宋体" w:hAnsi="宋体" w:eastAsia="宋体" w:cs="宋体"/>
          <w:bCs/>
          <w:color w:val="auto"/>
          <w:kern w:val="0"/>
          <w:sz w:val="24"/>
          <w:szCs w:val="24"/>
          <w:highlight w:val="none"/>
        </w:rPr>
        <w:t>形式缴纳投标保证金（电子保函咨询热线：</w:t>
      </w:r>
      <w:r>
        <w:rPr>
          <w:rFonts w:hint="eastAsia" w:ascii="宋体" w:hAnsi="宋体" w:eastAsia="宋体" w:cs="宋体"/>
          <w:bCs/>
          <w:color w:val="auto"/>
          <w:kern w:val="0"/>
          <w:sz w:val="24"/>
          <w:szCs w:val="24"/>
          <w:highlight w:val="none"/>
          <w:lang w:val="en-US" w:eastAsia="zh-CN"/>
        </w:rPr>
        <w:t>0793-8330883</w:t>
      </w:r>
      <w:r>
        <w:rPr>
          <w:rFonts w:hint="eastAsia" w:ascii="宋体" w:hAnsi="宋体" w:eastAsia="宋体" w:cs="宋体"/>
          <w:bCs/>
          <w:color w:val="auto"/>
          <w:kern w:val="0"/>
          <w:sz w:val="24"/>
          <w:szCs w:val="24"/>
          <w:highlight w:val="none"/>
        </w:rPr>
        <w:t>）。采用其他方式缴纳投标保证金的需提前与采购代理机构联系，联系方式详见</w:t>
      </w:r>
      <w:r>
        <w:rPr>
          <w:rFonts w:hint="eastAsia" w:ascii="宋体" w:hAnsi="宋体" w:eastAsia="宋体" w:cs="宋体"/>
          <w:bCs/>
          <w:color w:val="auto"/>
          <w:kern w:val="0"/>
          <w:sz w:val="24"/>
          <w:szCs w:val="24"/>
          <w:highlight w:val="none"/>
          <w:lang w:eastAsia="zh-CN"/>
        </w:rPr>
        <w:t>谈判文件</w:t>
      </w:r>
      <w:r>
        <w:rPr>
          <w:rFonts w:hint="eastAsia" w:ascii="宋体" w:hAnsi="宋体" w:eastAsia="宋体" w:cs="宋体"/>
          <w:bCs/>
          <w:color w:val="auto"/>
          <w:kern w:val="0"/>
          <w:sz w:val="24"/>
          <w:szCs w:val="24"/>
          <w:highlight w:val="none"/>
        </w:rPr>
        <w:t>。</w:t>
      </w:r>
    </w:p>
    <w:p w14:paraId="3ADF4CB3">
      <w:pPr>
        <w:widowControl w:val="0"/>
        <w:kinsoku/>
        <w:autoSpaceDE/>
        <w:autoSpaceDN/>
        <w:adjustRightInd/>
        <w:snapToGrid/>
        <w:spacing w:line="360" w:lineRule="auto"/>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1.采用</w:t>
      </w:r>
      <w:r>
        <w:rPr>
          <w:rFonts w:hint="eastAsia" w:ascii="宋体" w:hAnsi="宋体" w:eastAsia="宋体" w:cs="宋体"/>
          <w:b/>
          <w:bCs/>
          <w:color w:val="auto"/>
          <w:spacing w:val="3"/>
          <w:sz w:val="24"/>
          <w:szCs w:val="24"/>
          <w:highlight w:val="none"/>
          <w:lang w:eastAsia="zh-CN"/>
        </w:rPr>
        <w:t>银行</w:t>
      </w:r>
      <w:r>
        <w:rPr>
          <w:rFonts w:hint="eastAsia" w:ascii="宋体" w:hAnsi="宋体" w:eastAsia="宋体" w:cs="宋体"/>
          <w:b/>
          <w:bCs/>
          <w:color w:val="auto"/>
          <w:kern w:val="0"/>
          <w:sz w:val="24"/>
          <w:szCs w:val="24"/>
          <w:highlight w:val="none"/>
        </w:rPr>
        <w:t>电汇、转账、网上银行转账形式：</w:t>
      </w:r>
    </w:p>
    <w:p w14:paraId="37E1B0FB">
      <w:pPr>
        <w:widowControl w:val="0"/>
        <w:kinsoku/>
        <w:autoSpaceDE/>
        <w:autoSpaceDN/>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应在</w:t>
      </w:r>
      <w:r>
        <w:rPr>
          <w:rFonts w:hint="eastAsia" w:ascii="宋体" w:hAnsi="宋体" w:eastAsia="宋体" w:cs="宋体"/>
          <w:color w:val="auto"/>
          <w:kern w:val="0"/>
          <w:sz w:val="24"/>
          <w:szCs w:val="24"/>
          <w:highlight w:val="none"/>
          <w:lang w:val="en-US" w:eastAsia="zh-CN"/>
        </w:rPr>
        <w:t>开标截止时间</w:t>
      </w:r>
      <w:r>
        <w:rPr>
          <w:rFonts w:hint="eastAsia" w:ascii="宋体" w:hAnsi="宋体" w:eastAsia="宋体" w:cs="宋体"/>
          <w:color w:val="auto"/>
          <w:kern w:val="0"/>
          <w:sz w:val="24"/>
          <w:szCs w:val="24"/>
          <w:highlight w:val="none"/>
        </w:rPr>
        <w:t>前将投标保证金交纳至指定账户中，投标保证金的交付时间以收款人银行实际</w:t>
      </w:r>
      <w:r>
        <w:rPr>
          <w:rFonts w:hint="eastAsia" w:ascii="宋体" w:hAnsi="宋体" w:eastAsia="宋体" w:cs="宋体"/>
          <w:color w:val="auto"/>
          <w:kern w:val="0"/>
          <w:sz w:val="24"/>
          <w:szCs w:val="24"/>
          <w:highlight w:val="none"/>
          <w:lang w:val="en-US" w:eastAsia="zh-CN"/>
        </w:rPr>
        <w:t>到账</w:t>
      </w:r>
      <w:r>
        <w:rPr>
          <w:rFonts w:hint="eastAsia" w:ascii="宋体" w:hAnsi="宋体" w:eastAsia="宋体" w:cs="宋体"/>
          <w:color w:val="auto"/>
          <w:kern w:val="0"/>
          <w:sz w:val="24"/>
          <w:szCs w:val="24"/>
          <w:highlight w:val="none"/>
        </w:rPr>
        <w:t>为准。</w:t>
      </w:r>
    </w:p>
    <w:p w14:paraId="7BEAA043">
      <w:pPr>
        <w:widowControl w:val="0"/>
        <w:kinsoku/>
        <w:autoSpaceDE/>
        <w:autoSpaceDN/>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开户行：投标人自行从系统选取</w:t>
      </w:r>
    </w:p>
    <w:p w14:paraId="1FF139C3">
      <w:pPr>
        <w:widowControl w:val="0"/>
        <w:kinsoku/>
        <w:autoSpaceDE/>
        <w:autoSpaceDN/>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w:t>
      </w:r>
      <w:r>
        <w:rPr>
          <w:rFonts w:hint="eastAsia" w:ascii="宋体" w:hAnsi="宋体" w:eastAsia="宋体" w:cs="宋体"/>
          <w:color w:val="auto"/>
          <w:spacing w:val="3"/>
          <w:sz w:val="24"/>
          <w:szCs w:val="24"/>
          <w:highlight w:val="none"/>
          <w:lang w:eastAsia="zh-CN"/>
        </w:rPr>
        <w:t>账号</w:t>
      </w:r>
      <w:r>
        <w:rPr>
          <w:rFonts w:hint="eastAsia" w:ascii="宋体" w:hAnsi="宋体" w:eastAsia="宋体" w:cs="宋体"/>
          <w:color w:val="auto"/>
          <w:kern w:val="0"/>
          <w:sz w:val="24"/>
          <w:szCs w:val="24"/>
          <w:highlight w:val="none"/>
        </w:rPr>
        <w:t>：投标人自行从系统中生成</w:t>
      </w:r>
    </w:p>
    <w:p w14:paraId="115B8F2C">
      <w:pPr>
        <w:widowControl w:val="0"/>
        <w:kinsoku/>
        <w:autoSpaceDE/>
        <w:autoSpaceDN/>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备注：（1）本</w:t>
      </w:r>
      <w:r>
        <w:rPr>
          <w:rFonts w:hint="eastAsia" w:ascii="宋体" w:hAnsi="宋体" w:eastAsia="宋体" w:cs="宋体"/>
          <w:bCs/>
          <w:color w:val="auto"/>
          <w:kern w:val="0"/>
          <w:sz w:val="24"/>
          <w:szCs w:val="24"/>
          <w:highlight w:val="none"/>
        </w:rPr>
        <w:t>项目</w:t>
      </w:r>
      <w:r>
        <w:rPr>
          <w:rFonts w:hint="eastAsia" w:ascii="宋体" w:hAnsi="宋体" w:eastAsia="宋体" w:cs="宋体"/>
          <w:color w:val="auto"/>
          <w:kern w:val="0"/>
          <w:sz w:val="24"/>
          <w:szCs w:val="24"/>
          <w:highlight w:val="none"/>
        </w:rPr>
        <w:t>转账采用虚拟子账户方式网上交纳保证金的，投标人应当按照交易系统工作流程中</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kern w:val="0"/>
          <w:sz w:val="24"/>
          <w:szCs w:val="24"/>
          <w:highlight w:val="none"/>
        </w:rPr>
        <w:t>内容操作，在系统中获取保证金信息及账号，在规定的到账时间之前从投标人交易系统内填写的用户库中基本户银行账户一次性足额转账到达该账号中，未按照上述约定要求缴纳投标保证金的将视为无效，由投标人自行负责。</w:t>
      </w:r>
    </w:p>
    <w:p w14:paraId="0CDB7072">
      <w:pPr>
        <w:widowControl w:val="0"/>
        <w:kinsoku/>
        <w:autoSpaceDE/>
        <w:autoSpaceDN/>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（2）投标人应登陆上饶市阳光采购服务平台，仔细检查用户库中本单位的基本户银行账户是否填写正确和规范。账户不正确、不规范的单位，请尽快修改正确并完善，以免影响正常投标。</w:t>
      </w:r>
    </w:p>
    <w:p w14:paraId="1370A8DC">
      <w:pPr>
        <w:widowControl w:val="0"/>
        <w:kinsoku/>
        <w:autoSpaceDE/>
        <w:autoSpaceDN/>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（3）缴纳后投标人</w:t>
      </w:r>
      <w:r>
        <w:rPr>
          <w:rFonts w:hint="eastAsia" w:ascii="宋体" w:hAnsi="宋体" w:eastAsia="宋体" w:cs="宋体"/>
          <w:bCs/>
          <w:color w:val="auto"/>
          <w:kern w:val="0"/>
          <w:sz w:val="24"/>
          <w:szCs w:val="24"/>
          <w:highlight w:val="none"/>
        </w:rPr>
        <w:t>必须</w:t>
      </w:r>
      <w:r>
        <w:rPr>
          <w:rFonts w:hint="eastAsia" w:ascii="宋体" w:hAnsi="宋体" w:eastAsia="宋体" w:cs="宋体"/>
          <w:color w:val="auto"/>
          <w:kern w:val="0"/>
          <w:sz w:val="24"/>
          <w:szCs w:val="24"/>
          <w:highlight w:val="none"/>
        </w:rPr>
        <w:t>返回缴纳页面查询是否缴纳成功，投标资格以系统认定的为准。</w:t>
      </w:r>
    </w:p>
    <w:p w14:paraId="53D4ABCB">
      <w:pPr>
        <w:widowControl w:val="0"/>
        <w:kinsoku/>
        <w:autoSpaceDE/>
        <w:autoSpaceDN/>
        <w:adjustRightInd/>
        <w:snapToGrid/>
        <w:spacing w:line="360" w:lineRule="auto"/>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采用</w:t>
      </w:r>
      <w:r>
        <w:rPr>
          <w:rFonts w:hint="eastAsia" w:ascii="宋体" w:hAnsi="宋体" w:eastAsia="宋体" w:cs="宋体"/>
          <w:b/>
          <w:bCs/>
          <w:color w:val="auto"/>
          <w:kern w:val="0"/>
          <w:sz w:val="24"/>
          <w:szCs w:val="24"/>
          <w:highlight w:val="none"/>
          <w:lang w:val="en-US" w:eastAsia="zh-CN"/>
        </w:rPr>
        <w:t>电子</w:t>
      </w:r>
      <w:r>
        <w:rPr>
          <w:rFonts w:hint="eastAsia" w:ascii="宋体" w:hAnsi="宋体" w:eastAsia="宋体" w:cs="宋体"/>
          <w:b/>
          <w:bCs/>
          <w:color w:val="auto"/>
          <w:spacing w:val="3"/>
          <w:sz w:val="24"/>
          <w:szCs w:val="24"/>
          <w:highlight w:val="none"/>
          <w:lang w:eastAsia="zh-CN"/>
        </w:rPr>
        <w:t>保函</w:t>
      </w:r>
      <w:r>
        <w:rPr>
          <w:rFonts w:hint="eastAsia" w:ascii="宋体" w:hAnsi="宋体" w:eastAsia="宋体" w:cs="宋体"/>
          <w:b/>
          <w:bCs/>
          <w:color w:val="auto"/>
          <w:sz w:val="24"/>
          <w:szCs w:val="24"/>
          <w:highlight w:val="none"/>
          <w:lang w:eastAsia="zh-CN"/>
        </w:rPr>
        <w:t>形式</w:t>
      </w:r>
      <w:r>
        <w:rPr>
          <w:rFonts w:hint="eastAsia" w:ascii="宋体" w:hAnsi="宋体" w:eastAsia="宋体" w:cs="宋体"/>
          <w:b/>
          <w:bCs/>
          <w:color w:val="auto"/>
          <w:kern w:val="0"/>
          <w:sz w:val="24"/>
          <w:szCs w:val="24"/>
          <w:highlight w:val="none"/>
        </w:rPr>
        <w:t>：</w:t>
      </w:r>
    </w:p>
    <w:p w14:paraId="25F57BCF">
      <w:pPr>
        <w:widowControl w:val="0"/>
        <w:kinsoku/>
        <w:autoSpaceDE/>
        <w:autoSpaceDN/>
        <w:adjustRightInd/>
        <w:snapToGrid/>
        <w:spacing w:line="360" w:lineRule="auto"/>
        <w:jc w:val="both"/>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4"/>
          <w:szCs w:val="24"/>
          <w:highlight w:val="none"/>
          <w:lang w:val="en-US" w:eastAsia="zh-CN"/>
        </w:rPr>
        <w:t>采</w:t>
      </w:r>
      <w:r>
        <w:rPr>
          <w:rFonts w:hint="eastAsia" w:ascii="宋体" w:hAnsi="宋体" w:eastAsia="宋体" w:cs="宋体"/>
          <w:color w:val="auto"/>
          <w:kern w:val="0"/>
          <w:sz w:val="24"/>
          <w:szCs w:val="24"/>
          <w:highlight w:val="none"/>
        </w:rPr>
        <w:t>用电子保函的:</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kern w:val="0"/>
          <w:sz w:val="24"/>
          <w:szCs w:val="24"/>
          <w:highlight w:val="none"/>
        </w:rPr>
        <w:t>人可</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rPr>
        <w:t>上饶市阳光采购服务平台</w:t>
      </w:r>
      <w:r>
        <w:rPr>
          <w:rFonts w:hint="eastAsia" w:ascii="宋体" w:hAnsi="宋体" w:eastAsia="宋体" w:cs="宋体"/>
          <w:color w:val="auto"/>
          <w:kern w:val="0"/>
          <w:sz w:val="24"/>
          <w:szCs w:val="24"/>
          <w:highlight w:val="none"/>
          <w:lang w:val="en-US" w:eastAsia="zh-CN"/>
        </w:rPr>
        <w:t>金融服务系统（网址：</w:t>
      </w:r>
      <w:r>
        <w:rPr>
          <w:rFonts w:hint="eastAsia" w:ascii="宋体" w:hAnsi="宋体" w:eastAsia="宋体" w:cs="宋体"/>
          <w:color w:val="auto"/>
          <w:spacing w:val="3"/>
          <w:sz w:val="24"/>
          <w:szCs w:val="24"/>
          <w:highlight w:val="none"/>
          <w:lang w:val="en-US" w:eastAsia="zh-CN"/>
        </w:rPr>
        <w:t>https</w:t>
      </w:r>
      <w:r>
        <w:rPr>
          <w:rFonts w:hint="eastAsia" w:ascii="宋体" w:hAnsi="宋体" w:eastAsia="宋体" w:cs="宋体"/>
          <w:color w:val="auto"/>
          <w:kern w:val="0"/>
          <w:sz w:val="24"/>
          <w:szCs w:val="24"/>
          <w:highlight w:val="none"/>
          <w:lang w:val="en-US" w:eastAsia="zh-CN"/>
        </w:rPr>
        <w:t>://www.ygcgfwpt.com/epoint-financeplatform-web/finance/index ）内开具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投标文件中提供</w:t>
      </w:r>
      <w:r>
        <w:rPr>
          <w:rFonts w:hint="eastAsia" w:ascii="宋体" w:hAnsi="宋体" w:eastAsia="宋体" w:cs="宋体"/>
          <w:bCs/>
          <w:color w:val="auto"/>
          <w:kern w:val="0"/>
          <w:sz w:val="24"/>
          <w:szCs w:val="24"/>
          <w:highlight w:val="none"/>
          <w:lang w:val="en-US" w:eastAsia="zh-CN"/>
        </w:rPr>
        <w:t>保函</w:t>
      </w:r>
      <w:r>
        <w:rPr>
          <w:rFonts w:hint="eastAsia" w:ascii="宋体" w:hAnsi="宋体" w:eastAsia="宋体" w:cs="宋体"/>
          <w:color w:val="auto"/>
          <w:kern w:val="0"/>
          <w:sz w:val="24"/>
          <w:szCs w:val="24"/>
          <w:highlight w:val="none"/>
          <w:lang w:val="en-US" w:eastAsia="zh-CN"/>
        </w:rPr>
        <w:t>材料</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2"/>
          <w:szCs w:val="22"/>
          <w:highlight w:val="none"/>
          <w:lang w:eastAsia="zh-CN"/>
        </w:rPr>
        <w:t>（</w:t>
      </w:r>
      <w:r>
        <w:rPr>
          <w:rFonts w:hint="eastAsia" w:ascii="宋体" w:hAnsi="宋体" w:eastAsia="宋体" w:cs="宋体"/>
          <w:b/>
          <w:bCs/>
          <w:color w:val="auto"/>
          <w:kern w:val="0"/>
          <w:sz w:val="21"/>
          <w:szCs w:val="21"/>
          <w:highlight w:val="none"/>
          <w:lang w:val="en-US" w:eastAsia="zh-CN"/>
        </w:rPr>
        <w:t>注：开具投标保函的保费应从投标人对公账户交纳。不同投标人委托同一单位或个人缴纳保费等依法按视为串通投标处理。（告知项无须提供材料）</w:t>
      </w:r>
      <w:r>
        <w:rPr>
          <w:rFonts w:hint="eastAsia" w:ascii="宋体" w:hAnsi="宋体" w:eastAsia="宋体" w:cs="宋体"/>
          <w:b/>
          <w:bCs/>
          <w:color w:val="auto"/>
          <w:kern w:val="0"/>
          <w:sz w:val="21"/>
          <w:szCs w:val="21"/>
          <w:highlight w:val="none"/>
          <w:lang w:eastAsia="zh-CN"/>
        </w:rPr>
        <w:t>）</w:t>
      </w:r>
    </w:p>
    <w:p w14:paraId="2E72CE75">
      <w:pPr>
        <w:widowControl w:val="0"/>
        <w:kinsoku/>
        <w:autoSpaceDE/>
        <w:autoSpaceDN/>
        <w:adjustRightInd/>
        <w:snapToGrid/>
        <w:spacing w:line="360" w:lineRule="auto"/>
        <w:jc w:val="both"/>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3、采用支票、</w:t>
      </w:r>
      <w:r>
        <w:rPr>
          <w:rFonts w:hint="eastAsia" w:ascii="宋体" w:hAnsi="宋体" w:eastAsia="宋体" w:cs="宋体"/>
          <w:b/>
          <w:bCs/>
          <w:color w:val="auto"/>
          <w:sz w:val="24"/>
          <w:szCs w:val="24"/>
          <w:highlight w:val="none"/>
          <w:lang w:val="en-US" w:eastAsia="zh-CN"/>
        </w:rPr>
        <w:t>汇票</w:t>
      </w:r>
      <w:r>
        <w:rPr>
          <w:rFonts w:hint="eastAsia" w:ascii="宋体" w:hAnsi="宋体" w:eastAsia="宋体" w:cs="宋体"/>
          <w:b/>
          <w:bCs/>
          <w:color w:val="auto"/>
          <w:kern w:val="0"/>
          <w:sz w:val="24"/>
          <w:szCs w:val="24"/>
          <w:highlight w:val="none"/>
          <w:lang w:val="en-US" w:eastAsia="zh-CN"/>
        </w:rPr>
        <w:t>、本票等形式：</w:t>
      </w:r>
    </w:p>
    <w:p w14:paraId="08CE8153">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文件中提供符合国家规定的相应凭证佐证，原件须在投标截止时间后20分钟内由法定授权委托代理人递交至开标现场（需携带授权委托书及身份证原件佐证，且现场递交人员须与投标文件中委托代理人一致），逾时不予接收，视为未提供。</w:t>
      </w:r>
      <w:r>
        <w:rPr>
          <w:rFonts w:hint="eastAsia" w:ascii="宋体" w:hAnsi="宋体" w:eastAsia="宋体" w:cs="宋体"/>
          <w:color w:val="auto"/>
          <w:kern w:val="0"/>
          <w:sz w:val="24"/>
          <w:szCs w:val="24"/>
          <w:highlight w:val="none"/>
          <w:lang w:val="en-US" w:eastAsia="zh-CN"/>
        </w:rPr>
        <w:br w:type="page"/>
      </w:r>
    </w:p>
    <w:p w14:paraId="10D8B458">
      <w:pPr>
        <w:pageBreakBefore w:val="0"/>
        <w:widowControl w:val="0"/>
        <w:wordWrap/>
        <w:overflowPunct/>
        <w:topLinePunct w:val="0"/>
        <w:bidi w:val="0"/>
        <w:spacing w:before="101" w:line="219" w:lineRule="auto"/>
        <w:jc w:val="center"/>
        <w:outlineLvl w:val="1"/>
        <w:rPr>
          <w:rFonts w:hint="eastAsia" w:ascii="宋体" w:hAnsi="宋体" w:eastAsia="宋体" w:cs="宋体"/>
          <w:color w:val="auto"/>
          <w:sz w:val="24"/>
          <w:szCs w:val="24"/>
          <w:highlight w:val="none"/>
          <w:lang w:eastAsia="zh-CN"/>
        </w:rPr>
      </w:pPr>
      <w:bookmarkStart w:id="275" w:name="_Toc28030"/>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30"/>
          <w:sz w:val="24"/>
          <w:szCs w:val="24"/>
          <w:highlight w:val="none"/>
          <w:lang w:eastAsia="zh-CN"/>
        </w:rPr>
        <w:t xml:space="preserve"> </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制造商出具的授权函（适用于</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服务项目含有</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进口产品参加</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bookmarkEnd w:id="273"/>
      <w:bookmarkEnd w:id="274"/>
      <w:bookmarkEnd w:id="275"/>
    </w:p>
    <w:p w14:paraId="62C4D6FF">
      <w:pPr>
        <w:pageBreakBefore w:val="0"/>
        <w:widowControl w:val="0"/>
        <w:wordWrap/>
        <w:overflowPunct/>
        <w:topLinePunct w:val="0"/>
        <w:bidi w:val="0"/>
        <w:spacing w:line="362" w:lineRule="auto"/>
        <w:rPr>
          <w:rFonts w:hint="eastAsia" w:ascii="宋体" w:hAnsi="宋体" w:eastAsia="宋体" w:cs="宋体"/>
          <w:color w:val="auto"/>
          <w:highlight w:val="none"/>
          <w:lang w:eastAsia="zh-CN"/>
        </w:rPr>
      </w:pPr>
    </w:p>
    <w:p w14:paraId="185B2121">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本格式仅作为“制造商出具的授权函”格式，如</w:t>
      </w:r>
      <w:r>
        <w:rPr>
          <w:rFonts w:hint="eastAsia" w:ascii="宋体" w:hAnsi="宋体" w:eastAsia="宋体" w:cs="宋体"/>
          <w:color w:val="auto"/>
          <w:sz w:val="24"/>
          <w:szCs w:val="24"/>
          <w:highlight w:val="none"/>
          <w:lang w:eastAsia="zh-CN"/>
        </w:rPr>
        <w:t>是“制造商的授权代理商出具的授权函”请参照本格式另行制定，磋商文件另有规定的从其规定）</w:t>
      </w:r>
    </w:p>
    <w:p w14:paraId="43BFD76D">
      <w:pPr>
        <w:keepNext w:val="0"/>
        <w:keepLines w:val="0"/>
        <w:pageBreakBefore w:val="0"/>
        <w:widowControl w:val="0"/>
        <w:kinsoku w:val="0"/>
        <w:wordWrap/>
        <w:overflowPunct/>
        <w:topLinePunct w:val="0"/>
        <w:autoSpaceDE w:val="0"/>
        <w:autoSpaceDN w:val="0"/>
        <w:bidi w:val="0"/>
        <w:adjustRightInd w:val="0"/>
        <w:snapToGrid w:val="0"/>
        <w:spacing w:line="500" w:lineRule="atLeast"/>
        <w:jc w:val="both"/>
        <w:textAlignment w:val="baseline"/>
        <w:rPr>
          <w:rFonts w:hint="eastAsia" w:ascii="宋体" w:hAnsi="宋体" w:eastAsia="宋体" w:cs="宋体"/>
          <w:color w:val="auto"/>
          <w:highlight w:val="none"/>
          <w:lang w:eastAsia="zh-CN"/>
        </w:rPr>
      </w:pPr>
    </w:p>
    <w:p w14:paraId="2AC8A70D">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2"/>
          <w:sz w:val="24"/>
          <w:szCs w:val="24"/>
          <w:highlight w:val="none"/>
          <w:lang w:eastAsia="zh-CN"/>
        </w:rPr>
        <w:t>致：采购代理机构</w:t>
      </w:r>
    </w:p>
    <w:p w14:paraId="27CFED43">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right="80" w:firstLine="476"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我们</w:t>
      </w:r>
      <w:r>
        <w:rPr>
          <w:rFonts w:hint="eastAsia" w:ascii="宋体" w:hAnsi="宋体" w:eastAsia="宋体" w:cs="宋体"/>
          <w:color w:val="auto"/>
          <w:spacing w:val="-1"/>
          <w:sz w:val="24"/>
          <w:szCs w:val="24"/>
          <w:highlight w:val="none"/>
          <w:u w:val="single"/>
          <w:lang w:eastAsia="zh-CN"/>
        </w:rPr>
        <w:t>(制造商名称)</w:t>
      </w:r>
      <w:r>
        <w:rPr>
          <w:rFonts w:hint="eastAsia" w:ascii="宋体" w:hAnsi="宋体" w:eastAsia="宋体" w:cs="宋体"/>
          <w:color w:val="auto"/>
          <w:spacing w:val="-1"/>
          <w:sz w:val="24"/>
          <w:szCs w:val="24"/>
          <w:highlight w:val="none"/>
          <w:lang w:eastAsia="zh-CN"/>
        </w:rPr>
        <w:t>，主要营业地点设在(</w:t>
      </w:r>
      <w:r>
        <w:rPr>
          <w:rFonts w:hint="eastAsia" w:ascii="宋体" w:hAnsi="宋体" w:eastAsia="宋体" w:cs="宋体"/>
          <w:color w:val="auto"/>
          <w:spacing w:val="-1"/>
          <w:sz w:val="24"/>
          <w:szCs w:val="24"/>
          <w:highlight w:val="none"/>
          <w:u w:val="single"/>
          <w:lang w:eastAsia="zh-CN"/>
        </w:rPr>
        <w:t>制造商地址)</w:t>
      </w:r>
      <w:r>
        <w:rPr>
          <w:rFonts w:hint="eastAsia" w:ascii="宋体" w:hAnsi="宋体" w:eastAsia="宋体" w:cs="宋体"/>
          <w:color w:val="auto"/>
          <w:spacing w:val="-2"/>
          <w:sz w:val="24"/>
          <w:szCs w:val="24"/>
          <w:highlight w:val="none"/>
          <w:lang w:eastAsia="zh-CN"/>
        </w:rPr>
        <w:t>。我们获悉按中华人民共和</w:t>
      </w:r>
      <w:r>
        <w:rPr>
          <w:rFonts w:hint="eastAsia" w:ascii="宋体" w:hAnsi="宋体" w:eastAsia="宋体" w:cs="宋体"/>
          <w:color w:val="auto"/>
          <w:sz w:val="24"/>
          <w:szCs w:val="24"/>
          <w:highlight w:val="none"/>
          <w:lang w:eastAsia="zh-CN"/>
        </w:rPr>
        <w:t>国法律成立的,主要营业地点设在</w:t>
      </w:r>
      <w:r>
        <w:rPr>
          <w:rFonts w:hint="eastAsia" w:ascii="宋体" w:hAnsi="宋体" w:eastAsia="宋体" w:cs="宋体"/>
          <w:color w:val="auto"/>
          <w:sz w:val="24"/>
          <w:szCs w:val="24"/>
          <w:highlight w:val="none"/>
          <w:u w:val="single"/>
          <w:lang w:eastAsia="zh-CN"/>
        </w:rPr>
        <w:t>(供应商地址)</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pacing w:val="-66"/>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(供应商名称)</w:t>
      </w:r>
      <w:r>
        <w:rPr>
          <w:rFonts w:hint="eastAsia" w:ascii="宋体" w:hAnsi="宋体" w:eastAsia="宋体" w:cs="宋体"/>
          <w:color w:val="auto"/>
          <w:sz w:val="24"/>
          <w:szCs w:val="24"/>
          <w:highlight w:val="none"/>
          <w:lang w:eastAsia="zh-CN"/>
        </w:rPr>
        <w:t>将以我</w:t>
      </w:r>
      <w:r>
        <w:rPr>
          <w:rFonts w:hint="eastAsia" w:ascii="宋体" w:hAnsi="宋体" w:eastAsia="宋体" w:cs="宋体"/>
          <w:color w:val="auto"/>
          <w:spacing w:val="-1"/>
          <w:sz w:val="24"/>
          <w:szCs w:val="24"/>
          <w:highlight w:val="none"/>
          <w:lang w:eastAsia="zh-CN"/>
        </w:rPr>
        <w:t>方的产品</w:t>
      </w:r>
    </w:p>
    <w:p w14:paraId="54B1D4DE">
      <w:pPr>
        <w:keepNext w:val="0"/>
        <w:keepLines w:val="0"/>
        <w:pageBreakBefore w:val="0"/>
        <w:widowControl w:val="0"/>
        <w:kinsoku w:val="0"/>
        <w:wordWrap/>
        <w:overflowPunct/>
        <w:topLinePunct w:val="0"/>
        <w:autoSpaceDE w:val="0"/>
        <w:autoSpaceDN w:val="0"/>
        <w:bidi w:val="0"/>
        <w:adjustRightInd w:val="0"/>
        <w:snapToGrid w:val="0"/>
        <w:spacing w:line="500" w:lineRule="atLeast"/>
        <w:ind w:left="36"/>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对贵公司的</w:t>
      </w:r>
      <w:r>
        <w:rPr>
          <w:rFonts w:hint="eastAsia" w:ascii="宋体" w:hAnsi="宋体" w:eastAsia="宋体" w:cs="宋体"/>
          <w:color w:val="auto"/>
          <w:spacing w:val="-1"/>
          <w:sz w:val="24"/>
          <w:szCs w:val="24"/>
          <w:highlight w:val="none"/>
          <w:lang w:val="en-US" w:eastAsia="zh-CN"/>
        </w:rPr>
        <w:t>磋商</w:t>
      </w:r>
      <w:r>
        <w:rPr>
          <w:rFonts w:hint="eastAsia" w:ascii="宋体" w:hAnsi="宋体" w:eastAsia="宋体" w:cs="宋体"/>
          <w:color w:val="auto"/>
          <w:spacing w:val="-1"/>
          <w:sz w:val="24"/>
          <w:szCs w:val="24"/>
          <w:highlight w:val="none"/>
          <w:lang w:eastAsia="zh-CN"/>
        </w:rPr>
        <w:t>项目进行</w:t>
      </w:r>
      <w:r>
        <w:rPr>
          <w:rFonts w:hint="eastAsia" w:ascii="宋体" w:hAnsi="宋体" w:eastAsia="宋体" w:cs="宋体"/>
          <w:color w:val="auto"/>
          <w:spacing w:val="-1"/>
          <w:sz w:val="24"/>
          <w:szCs w:val="24"/>
          <w:highlight w:val="none"/>
          <w:lang w:val="en-US" w:eastAsia="zh-CN"/>
        </w:rPr>
        <w:t>响应</w:t>
      </w:r>
      <w:r>
        <w:rPr>
          <w:rFonts w:hint="eastAsia" w:ascii="宋体" w:hAnsi="宋体" w:eastAsia="宋体" w:cs="宋体"/>
          <w:color w:val="auto"/>
          <w:spacing w:val="-1"/>
          <w:sz w:val="24"/>
          <w:szCs w:val="24"/>
          <w:highlight w:val="none"/>
          <w:lang w:eastAsia="zh-CN"/>
        </w:rPr>
        <w:t>，我们特作如下说明：</w:t>
      </w:r>
    </w:p>
    <w:p w14:paraId="329DB604">
      <w:pPr>
        <w:keepNext w:val="0"/>
        <w:keepLines w:val="0"/>
        <w:pageBreakBefore w:val="0"/>
        <w:widowControl w:val="0"/>
        <w:kinsoku w:val="0"/>
        <w:wordWrap/>
        <w:overflowPunct/>
        <w:topLinePunct w:val="0"/>
        <w:autoSpaceDE w:val="0"/>
        <w:autoSpaceDN w:val="0"/>
        <w:bidi w:val="0"/>
        <w:adjustRightInd w:val="0"/>
        <w:snapToGrid w:val="0"/>
        <w:spacing w:before="183" w:line="500" w:lineRule="atLeast"/>
        <w:ind w:left="45" w:firstLine="484"/>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（1）同意</w:t>
      </w:r>
      <w:r>
        <w:rPr>
          <w:rFonts w:hint="eastAsia" w:ascii="宋体" w:hAnsi="宋体" w:eastAsia="宋体" w:cs="宋体"/>
          <w:color w:val="auto"/>
          <w:spacing w:val="-3"/>
          <w:sz w:val="24"/>
          <w:szCs w:val="24"/>
          <w:highlight w:val="none"/>
          <w:u w:val="single"/>
          <w:lang w:eastAsia="zh-CN"/>
        </w:rPr>
        <w:t>(</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pacing w:val="-3"/>
          <w:sz w:val="24"/>
          <w:szCs w:val="24"/>
          <w:highlight w:val="none"/>
          <w:u w:val="single"/>
          <w:lang w:eastAsia="zh-CN"/>
        </w:rPr>
        <w:t>名称)</w:t>
      </w:r>
      <w:r>
        <w:rPr>
          <w:rFonts w:hint="eastAsia" w:ascii="宋体" w:hAnsi="宋体" w:eastAsia="宋体" w:cs="宋体"/>
          <w:color w:val="auto"/>
          <w:spacing w:val="-3"/>
          <w:sz w:val="24"/>
          <w:szCs w:val="24"/>
          <w:highlight w:val="none"/>
          <w:lang w:eastAsia="zh-CN"/>
        </w:rPr>
        <w:t>在中华人民共和国境内以</w:t>
      </w:r>
      <w:r>
        <w:rPr>
          <w:rFonts w:hint="eastAsia" w:ascii="宋体" w:hAnsi="宋体" w:eastAsia="宋体" w:cs="宋体"/>
          <w:color w:val="auto"/>
          <w:spacing w:val="-3"/>
          <w:sz w:val="24"/>
          <w:szCs w:val="24"/>
          <w:highlight w:val="none"/>
          <w:u w:val="single"/>
          <w:lang w:eastAsia="zh-CN"/>
        </w:rPr>
        <w:t>(制造商名称)</w:t>
      </w:r>
      <w:r>
        <w:rPr>
          <w:rFonts w:hint="eastAsia" w:ascii="宋体" w:hAnsi="宋体" w:eastAsia="宋体" w:cs="宋体"/>
          <w:color w:val="auto"/>
          <w:spacing w:val="-3"/>
          <w:sz w:val="24"/>
          <w:szCs w:val="24"/>
          <w:highlight w:val="none"/>
          <w:lang w:eastAsia="zh-CN"/>
        </w:rPr>
        <w:t>的（</w:t>
      </w:r>
      <w:r>
        <w:rPr>
          <w:rFonts w:hint="eastAsia" w:ascii="宋体" w:hAnsi="宋体" w:eastAsia="宋体" w:cs="宋体"/>
          <w:color w:val="auto"/>
          <w:spacing w:val="-3"/>
          <w:sz w:val="24"/>
          <w:szCs w:val="24"/>
          <w:highlight w:val="none"/>
          <w:u w:val="single"/>
          <w:lang w:eastAsia="zh-CN"/>
        </w:rPr>
        <w:t>产品名称、</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u w:val="single"/>
          <w:lang w:eastAsia="zh-CN"/>
        </w:rPr>
        <w:t>型号）</w:t>
      </w:r>
      <w:r>
        <w:rPr>
          <w:rFonts w:hint="eastAsia" w:ascii="宋体" w:hAnsi="宋体" w:eastAsia="宋体" w:cs="宋体"/>
          <w:color w:val="auto"/>
          <w:spacing w:val="-1"/>
          <w:sz w:val="24"/>
          <w:szCs w:val="24"/>
          <w:highlight w:val="none"/>
          <w:lang w:eastAsia="zh-CN"/>
        </w:rPr>
        <w:t>参加贵公司有关</w:t>
      </w:r>
      <w:r>
        <w:rPr>
          <w:rFonts w:hint="eastAsia" w:ascii="宋体" w:hAnsi="宋体" w:eastAsia="宋体" w:cs="宋体"/>
          <w:color w:val="auto"/>
          <w:spacing w:val="-1"/>
          <w:sz w:val="24"/>
          <w:szCs w:val="24"/>
          <w:highlight w:val="none"/>
          <w:u w:val="single"/>
          <w:lang w:eastAsia="zh-CN"/>
        </w:rPr>
        <w:t>（项目名称、项目编号</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lang w:val="en-US" w:eastAsia="zh-CN"/>
        </w:rPr>
        <w:t>磋商</w:t>
      </w:r>
      <w:r>
        <w:rPr>
          <w:rFonts w:hint="eastAsia" w:ascii="宋体" w:hAnsi="宋体" w:eastAsia="宋体" w:cs="宋体"/>
          <w:color w:val="auto"/>
          <w:spacing w:val="-2"/>
          <w:sz w:val="24"/>
          <w:szCs w:val="24"/>
          <w:highlight w:val="none"/>
          <w:lang w:eastAsia="zh-CN"/>
        </w:rPr>
        <w:t>，并在</w:t>
      </w:r>
      <w:r>
        <w:rPr>
          <w:rFonts w:hint="eastAsia" w:ascii="宋体" w:hAnsi="宋体" w:eastAsia="宋体" w:cs="宋体"/>
          <w:color w:val="auto"/>
          <w:spacing w:val="-2"/>
          <w:sz w:val="24"/>
          <w:szCs w:val="24"/>
          <w:highlight w:val="none"/>
          <w:lang w:val="en-US" w:eastAsia="zh-CN"/>
        </w:rPr>
        <w:t>成交</w:t>
      </w:r>
      <w:r>
        <w:rPr>
          <w:rFonts w:hint="eastAsia" w:ascii="宋体" w:hAnsi="宋体" w:eastAsia="宋体" w:cs="宋体"/>
          <w:color w:val="auto"/>
          <w:spacing w:val="-2"/>
          <w:sz w:val="24"/>
          <w:szCs w:val="24"/>
          <w:highlight w:val="none"/>
          <w:lang w:eastAsia="zh-CN"/>
        </w:rPr>
        <w:t>后向我方购买相关产</w:t>
      </w:r>
      <w:r>
        <w:rPr>
          <w:rFonts w:hint="eastAsia" w:ascii="宋体" w:hAnsi="宋体" w:eastAsia="宋体" w:cs="宋体"/>
          <w:color w:val="auto"/>
          <w:spacing w:val="-15"/>
          <w:sz w:val="24"/>
          <w:szCs w:val="24"/>
          <w:highlight w:val="none"/>
          <w:lang w:eastAsia="zh-CN"/>
        </w:rPr>
        <w:t>品。</w:t>
      </w:r>
    </w:p>
    <w:p w14:paraId="7EBDC1AC">
      <w:pPr>
        <w:keepNext w:val="0"/>
        <w:keepLines w:val="0"/>
        <w:pageBreakBefore w:val="0"/>
        <w:widowControl w:val="0"/>
        <w:kinsoku w:val="0"/>
        <w:wordWrap/>
        <w:overflowPunct/>
        <w:topLinePunct w:val="0"/>
        <w:autoSpaceDE w:val="0"/>
        <w:autoSpaceDN w:val="0"/>
        <w:bidi w:val="0"/>
        <w:adjustRightInd w:val="0"/>
        <w:snapToGrid w:val="0"/>
        <w:spacing w:before="177" w:line="500" w:lineRule="atLeast"/>
        <w:ind w:left="474"/>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u w:val="single"/>
          <w:lang w:eastAsia="zh-CN"/>
        </w:rPr>
        <w:t>（</w:t>
      </w:r>
      <w:r>
        <w:rPr>
          <w:rFonts w:hint="eastAsia" w:ascii="宋体" w:hAnsi="宋体" w:eastAsia="宋体" w:cs="宋体"/>
          <w:color w:val="auto"/>
          <w:sz w:val="24"/>
          <w:szCs w:val="24"/>
          <w:highlight w:val="none"/>
          <w:u w:val="single"/>
          <w:lang w:eastAsia="zh-CN"/>
        </w:rPr>
        <w:t>供应商名称）</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后，将按照与采购人签订的合同承担责任。</w:t>
      </w:r>
    </w:p>
    <w:p w14:paraId="7B9F7EE9">
      <w:pPr>
        <w:keepNext w:val="0"/>
        <w:keepLines w:val="0"/>
        <w:pageBreakBefore w:val="0"/>
        <w:widowControl w:val="0"/>
        <w:kinsoku w:val="0"/>
        <w:wordWrap/>
        <w:overflowPunct/>
        <w:topLinePunct w:val="0"/>
        <w:autoSpaceDE w:val="0"/>
        <w:autoSpaceDN w:val="0"/>
        <w:bidi w:val="0"/>
        <w:adjustRightInd w:val="0"/>
        <w:snapToGrid w:val="0"/>
        <w:spacing w:before="1" w:line="500" w:lineRule="atLeast"/>
        <w:ind w:left="474"/>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（3）我们将依法承担制造商的责任。</w:t>
      </w:r>
    </w:p>
    <w:p w14:paraId="73F89E79">
      <w:pPr>
        <w:keepNext w:val="0"/>
        <w:keepLines w:val="0"/>
        <w:pageBreakBefore w:val="0"/>
        <w:widowControl w:val="0"/>
        <w:kinsoku w:val="0"/>
        <w:wordWrap/>
        <w:overflowPunct/>
        <w:topLinePunct w:val="0"/>
        <w:autoSpaceDE w:val="0"/>
        <w:autoSpaceDN w:val="0"/>
        <w:bidi w:val="0"/>
        <w:adjustRightInd w:val="0"/>
        <w:snapToGrid w:val="0"/>
        <w:spacing w:line="500" w:lineRule="atLeast"/>
        <w:jc w:val="both"/>
        <w:textAlignment w:val="baseline"/>
        <w:rPr>
          <w:rFonts w:hint="eastAsia" w:ascii="宋体" w:hAnsi="宋体" w:eastAsia="宋体" w:cs="宋体"/>
          <w:color w:val="auto"/>
          <w:highlight w:val="none"/>
          <w:lang w:eastAsia="zh-CN"/>
        </w:rPr>
      </w:pPr>
    </w:p>
    <w:p w14:paraId="2D775332">
      <w:pPr>
        <w:keepNext w:val="0"/>
        <w:keepLines w:val="0"/>
        <w:pageBreakBefore w:val="0"/>
        <w:widowControl w:val="0"/>
        <w:kinsoku w:val="0"/>
        <w:wordWrap/>
        <w:overflowPunct/>
        <w:topLinePunct w:val="0"/>
        <w:autoSpaceDE w:val="0"/>
        <w:autoSpaceDN w:val="0"/>
        <w:bidi w:val="0"/>
        <w:adjustRightInd w:val="0"/>
        <w:snapToGrid w:val="0"/>
        <w:spacing w:before="79" w:line="500" w:lineRule="atLeast"/>
        <w:ind w:left="46" w:leftChars="22" w:firstLine="472"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我方于</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eastAsia="zh-CN"/>
        </w:rPr>
        <w:t>年</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eastAsia="zh-CN"/>
        </w:rPr>
        <w:t>月</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eastAsia="zh-CN"/>
        </w:rPr>
        <w:t>日签署本文件，</w:t>
      </w:r>
      <w:r>
        <w:rPr>
          <w:rFonts w:hint="eastAsia" w:ascii="宋体" w:hAnsi="宋体" w:eastAsia="宋体" w:cs="宋体"/>
          <w:color w:val="auto"/>
          <w:spacing w:val="-63"/>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pacing w:val="-2"/>
          <w:sz w:val="24"/>
          <w:szCs w:val="24"/>
          <w:highlight w:val="none"/>
          <w:u w:val="single"/>
          <w:lang w:eastAsia="zh-CN"/>
        </w:rPr>
        <w:t>名称</w:t>
      </w:r>
      <w:r>
        <w:rPr>
          <w:rFonts w:hint="eastAsia" w:ascii="宋体" w:hAnsi="宋体" w:eastAsia="宋体" w:cs="宋体"/>
          <w:color w:val="auto"/>
          <w:spacing w:val="-2"/>
          <w:sz w:val="24"/>
          <w:szCs w:val="24"/>
          <w:highlight w:val="none"/>
          <w:lang w:eastAsia="zh-CN"/>
        </w:rPr>
        <w:t>于</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eastAsia="zh-CN"/>
        </w:rPr>
        <w:t>年</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eastAsia="zh-CN"/>
        </w:rPr>
        <w:t>月</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eastAsia="zh-CN"/>
        </w:rPr>
        <w:t>日接受此件，以此为证。</w:t>
      </w:r>
    </w:p>
    <w:p w14:paraId="75A9BBF7">
      <w:pPr>
        <w:keepNext w:val="0"/>
        <w:keepLines w:val="0"/>
        <w:pageBreakBefore w:val="0"/>
        <w:widowControl w:val="0"/>
        <w:kinsoku w:val="0"/>
        <w:wordWrap/>
        <w:overflowPunct/>
        <w:topLinePunct w:val="0"/>
        <w:autoSpaceDE w:val="0"/>
        <w:autoSpaceDN w:val="0"/>
        <w:bidi w:val="0"/>
        <w:adjustRightInd w:val="0"/>
        <w:snapToGrid w:val="0"/>
        <w:spacing w:before="16" w:line="500" w:lineRule="atLeast"/>
        <w:jc w:val="both"/>
        <w:textAlignment w:val="baseline"/>
        <w:rPr>
          <w:rFonts w:hint="eastAsia" w:ascii="宋体" w:hAnsi="宋体" w:eastAsia="宋体" w:cs="宋体"/>
          <w:color w:val="auto"/>
          <w:highlight w:val="none"/>
          <w:lang w:eastAsia="zh-CN"/>
        </w:rPr>
      </w:pPr>
    </w:p>
    <w:p w14:paraId="62F2551E">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rFonts w:hint="eastAsia" w:ascii="宋体" w:hAnsi="宋体" w:eastAsia="宋体" w:cs="宋体"/>
          <w:color w:val="auto"/>
          <w:highlight w:val="none"/>
          <w:lang w:eastAsia="zh-CN"/>
        </w:rPr>
      </w:pPr>
    </w:p>
    <w:p w14:paraId="31735974">
      <w:pPr>
        <w:pStyle w:val="7"/>
        <w:rPr>
          <w:rFonts w:hint="eastAsia" w:ascii="宋体" w:hAnsi="宋体" w:eastAsia="宋体" w:cs="宋体"/>
          <w:color w:val="auto"/>
          <w:highlight w:val="none"/>
          <w:lang w:eastAsia="zh-CN"/>
        </w:rPr>
        <w:sectPr>
          <w:footerReference r:id="rId12" w:type="default"/>
          <w:pgSz w:w="11906" w:h="16839"/>
          <w:pgMar w:top="1134" w:right="1134" w:bottom="1134" w:left="1134" w:header="0" w:footer="994" w:gutter="0"/>
          <w:pgBorders>
            <w:top w:val="none" w:sz="0" w:space="0"/>
            <w:left w:val="none" w:sz="0" w:space="0"/>
            <w:bottom w:val="none" w:sz="0" w:space="0"/>
            <w:right w:val="none" w:sz="0" w:space="0"/>
          </w:pgBorders>
          <w:pgNumType w:fmt="decimal"/>
          <w:cols w:equalWidth="0" w:num="1">
            <w:col w:w="8953"/>
          </w:cols>
        </w:sectPr>
      </w:pPr>
    </w:p>
    <w:p w14:paraId="3A2453A0">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z w:val="24"/>
          <w:szCs w:val="24"/>
          <w:highlight w:val="none"/>
          <w:u w:val="none"/>
          <w:lang w:eastAsia="zh-CN"/>
        </w:rPr>
        <w:t>供应商名称</w:t>
      </w:r>
      <w:r>
        <w:rPr>
          <w:rFonts w:hint="eastAsia" w:ascii="宋体" w:hAnsi="宋体" w:eastAsia="宋体" w:cs="宋体"/>
          <w:color w:val="auto"/>
          <w:spacing w:val="0"/>
          <w:sz w:val="24"/>
          <w:szCs w:val="24"/>
          <w:highlight w:val="none"/>
          <w:u w:val="none"/>
          <w:lang w:eastAsia="zh-CN"/>
        </w:rPr>
        <w:t>：</w:t>
      </w:r>
    </w:p>
    <w:p w14:paraId="62D93884">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签字人职务：</w:t>
      </w:r>
    </w:p>
    <w:p w14:paraId="48E1EBD9">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2"/>
          <w:sz w:val="24"/>
          <w:szCs w:val="24"/>
          <w:highlight w:val="none"/>
          <w:lang w:eastAsia="zh-CN"/>
        </w:rPr>
        <w:t>签字人姓名：</w:t>
      </w:r>
    </w:p>
    <w:p w14:paraId="34A52390">
      <w:pPr>
        <w:keepNext w:val="0"/>
        <w:keepLines w:val="0"/>
        <w:pageBreakBefore w:val="0"/>
        <w:widowControl w:val="0"/>
        <w:kinsoku w:val="0"/>
        <w:wordWrap/>
        <w:overflowPunct/>
        <w:topLinePunct w:val="0"/>
        <w:autoSpaceDE w:val="0"/>
        <w:autoSpaceDN w:val="0"/>
        <w:bidi w:val="0"/>
        <w:adjustRightInd w:val="0"/>
        <w:snapToGrid w:val="0"/>
        <w:spacing w:line="500" w:lineRule="atLeast"/>
        <w:ind w:left="-199" w:leftChars="-95" w:firstLine="0" w:firstLineChars="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签字人签名或签章：</w:t>
      </w:r>
    </w:p>
    <w:p w14:paraId="0108254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0" w:leftChars="0" w:firstLine="0" w:firstLineChars="0"/>
        <w:textAlignment w:val="baseline"/>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z w:val="2"/>
          <w:szCs w:val="2"/>
          <w:highlight w:val="none"/>
          <w:lang w:eastAsia="zh-CN"/>
        </w:rPr>
        <w:br w:type="column"/>
      </w:r>
      <w:r>
        <w:rPr>
          <w:rFonts w:hint="eastAsia" w:ascii="宋体" w:hAnsi="宋体" w:eastAsia="宋体" w:cs="宋体"/>
          <w:color w:val="auto"/>
          <w:spacing w:val="-2"/>
          <w:sz w:val="24"/>
          <w:szCs w:val="24"/>
          <w:highlight w:val="none"/>
          <w:lang w:eastAsia="zh-CN"/>
        </w:rPr>
        <w:t>制造商名称：</w:t>
      </w:r>
    </w:p>
    <w:p w14:paraId="756C33F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0" w:leftChars="0" w:firstLine="0" w:firstLineChars="0"/>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2"/>
          <w:sz w:val="24"/>
          <w:szCs w:val="24"/>
          <w:highlight w:val="none"/>
          <w:lang w:eastAsia="zh-CN"/>
        </w:rPr>
        <w:t>签字人职务：</w:t>
      </w:r>
    </w:p>
    <w:p w14:paraId="4DB12D86">
      <w:pPr>
        <w:keepNext w:val="0"/>
        <w:keepLines w:val="0"/>
        <w:pageBreakBefore w:val="0"/>
        <w:widowControl w:val="0"/>
        <w:kinsoku w:val="0"/>
        <w:wordWrap/>
        <w:overflowPunct/>
        <w:topLinePunct w:val="0"/>
        <w:autoSpaceDE w:val="0"/>
        <w:autoSpaceDN w:val="0"/>
        <w:bidi w:val="0"/>
        <w:adjustRightInd w:val="0"/>
        <w:snapToGrid w:val="0"/>
        <w:spacing w:beforeAutospacing="0" w:after="0" w:afterLines="32" w:afterAutospacing="0" w:line="500" w:lineRule="atLeast"/>
        <w:ind w:left="0" w:leftChars="0" w:firstLine="0" w:firstLineChars="0"/>
        <w:textAlignment w:val="baseline"/>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签字人姓名：</w:t>
      </w:r>
    </w:p>
    <w:p w14:paraId="0D0663A9">
      <w:pPr>
        <w:keepNext w:val="0"/>
        <w:keepLines w:val="0"/>
        <w:pageBreakBefore w:val="0"/>
        <w:widowControl w:val="0"/>
        <w:kinsoku w:val="0"/>
        <w:wordWrap/>
        <w:overflowPunct/>
        <w:topLinePunct w:val="0"/>
        <w:autoSpaceDE w:val="0"/>
        <w:autoSpaceDN w:val="0"/>
        <w:bidi w:val="0"/>
        <w:adjustRightInd w:val="0"/>
        <w:snapToGrid w:val="0"/>
        <w:spacing w:beforeAutospacing="0" w:after="0" w:afterLines="50" w:afterAutospacing="0" w:line="500" w:lineRule="atLeast"/>
        <w:ind w:left="0" w:leftChars="0" w:firstLine="0" w:firstLineChars="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签字人签名或签章：</w:t>
      </w:r>
    </w:p>
    <w:p w14:paraId="09B2B967">
      <w:pPr>
        <w:pStyle w:val="7"/>
        <w:spacing w:beforeAutospacing="0"/>
        <w:rPr>
          <w:rFonts w:hint="eastAsia" w:ascii="宋体" w:hAnsi="宋体" w:eastAsia="宋体" w:cs="宋体"/>
          <w:color w:val="auto"/>
          <w:highlight w:val="none"/>
          <w:lang w:eastAsia="zh-CN"/>
        </w:rPr>
      </w:pPr>
    </w:p>
    <w:p w14:paraId="3C25124C">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rFonts w:hint="eastAsia" w:ascii="宋体" w:hAnsi="宋体" w:eastAsia="宋体" w:cs="宋体"/>
          <w:color w:val="auto"/>
          <w:sz w:val="24"/>
          <w:szCs w:val="24"/>
          <w:highlight w:val="none"/>
          <w:lang w:eastAsia="zh-CN"/>
        </w:rPr>
        <w:sectPr>
          <w:type w:val="continuous"/>
          <w:pgSz w:w="11906" w:h="16839"/>
          <w:pgMar w:top="1134" w:right="1134" w:bottom="1134" w:left="1134" w:header="0" w:footer="994" w:gutter="0"/>
          <w:pgBorders>
            <w:top w:val="none" w:sz="0" w:space="0"/>
            <w:left w:val="none" w:sz="0" w:space="0"/>
            <w:bottom w:val="none" w:sz="0" w:space="0"/>
            <w:right w:val="none" w:sz="0" w:space="0"/>
          </w:pgBorders>
          <w:pgNumType w:fmt="decimal"/>
          <w:cols w:equalWidth="0" w:num="2">
            <w:col w:w="5714" w:space="100"/>
            <w:col w:w="3823"/>
          </w:cols>
        </w:sectPr>
      </w:pPr>
    </w:p>
    <w:p w14:paraId="74F18FCF">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276" w:name="bookmark70"/>
      <w:bookmarkEnd w:id="276"/>
      <w:bookmarkStart w:id="277" w:name="bookmark75"/>
      <w:bookmarkEnd w:id="277"/>
      <w:bookmarkStart w:id="278" w:name="_Toc16587"/>
      <w:bookmarkStart w:id="279" w:name="_Toc21433"/>
      <w:bookmarkStart w:id="280" w:name="_Toc6936"/>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 xml:space="preserve">格式 </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6</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 xml:space="preserve"> 联合体协议（适用于联合体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响应</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bookmarkEnd w:id="278"/>
      <w:bookmarkEnd w:id="279"/>
      <w:bookmarkEnd w:id="280"/>
    </w:p>
    <w:p w14:paraId="58FBD942">
      <w:pPr>
        <w:pageBreakBefore w:val="0"/>
        <w:widowControl w:val="0"/>
        <w:wordWrap/>
        <w:overflowPunct/>
        <w:topLinePunct w:val="0"/>
        <w:bidi w:val="0"/>
        <w:spacing w:before="78" w:line="219" w:lineRule="auto"/>
        <w:jc w:val="both"/>
        <w:rPr>
          <w:rFonts w:hint="eastAsia" w:ascii="宋体" w:hAnsi="宋体" w:eastAsia="宋体" w:cs="宋体"/>
          <w:color w:val="auto"/>
          <w:spacing w:val="-2"/>
          <w:sz w:val="24"/>
          <w:szCs w:val="24"/>
          <w:highlight w:val="none"/>
          <w:lang w:eastAsia="zh-CN"/>
        </w:rPr>
      </w:pPr>
    </w:p>
    <w:p w14:paraId="417AB33D">
      <w:pPr>
        <w:pageBreakBefore w:val="0"/>
        <w:widowControl w:val="0"/>
        <w:wordWrap/>
        <w:overflowPunct/>
        <w:topLinePunct w:val="0"/>
        <w:bidi w:val="0"/>
        <w:spacing w:before="78" w:line="219"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联合协议应当载明联合体各方承担的工作和义务，联合体协议各方均应当签章。</w:t>
      </w:r>
    </w:p>
    <w:p w14:paraId="6B98016F">
      <w:pPr>
        <w:pageBreakBefore w:val="0"/>
        <w:widowControl w:val="0"/>
        <w:wordWrap/>
        <w:overflowPunct/>
        <w:topLinePunct w:val="0"/>
        <w:bidi w:val="0"/>
        <w:spacing w:line="219" w:lineRule="auto"/>
        <w:rPr>
          <w:rFonts w:hint="eastAsia" w:ascii="宋体" w:hAnsi="宋体" w:eastAsia="宋体" w:cs="宋体"/>
          <w:color w:val="auto"/>
          <w:sz w:val="24"/>
          <w:szCs w:val="24"/>
          <w:highlight w:val="none"/>
          <w:lang w:eastAsia="zh-CN"/>
        </w:rPr>
        <w:sectPr>
          <w:footerReference r:id="rId13" w:type="default"/>
          <w:pgSz w:w="11906" w:h="16839"/>
          <w:pgMar w:top="1134" w:right="1134" w:bottom="1134" w:left="1134" w:header="0" w:footer="994" w:gutter="0"/>
          <w:pgBorders>
            <w:top w:val="none" w:sz="0" w:space="0"/>
            <w:left w:val="none" w:sz="0" w:space="0"/>
            <w:bottom w:val="none" w:sz="0" w:space="0"/>
            <w:right w:val="none" w:sz="0" w:space="0"/>
          </w:pgBorders>
          <w:pgNumType w:fmt="decimal"/>
          <w:cols w:space="720" w:num="1"/>
        </w:sectPr>
      </w:pPr>
    </w:p>
    <w:p w14:paraId="5E134FF7">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281" w:name="bookmark76"/>
      <w:bookmarkEnd w:id="281"/>
      <w:bookmarkStart w:id="282" w:name="bookmark71"/>
      <w:bookmarkEnd w:id="282"/>
      <w:bookmarkStart w:id="283" w:name="_Toc15271"/>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 xml:space="preserve">格式 </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7 本项目的其它特定资格证明材料</w:t>
      </w:r>
      <w:bookmarkEnd w:id="283"/>
    </w:p>
    <w:p w14:paraId="10453B82">
      <w:pPr>
        <w:pageBreakBefore w:val="0"/>
        <w:widowControl w:val="0"/>
        <w:wordWrap/>
        <w:overflowPunct/>
        <w:topLinePunct w:val="0"/>
        <w:bidi w:val="0"/>
        <w:jc w:val="both"/>
        <w:rPr>
          <w:rFonts w:hint="eastAsia" w:ascii="宋体" w:hAnsi="宋体" w:eastAsia="宋体" w:cs="宋体"/>
          <w:color w:val="auto"/>
          <w:kern w:val="0"/>
          <w:highlight w:val="none"/>
          <w:shd w:val="clear" w:color="auto" w:fill="FFFFFF"/>
        </w:rPr>
      </w:pPr>
    </w:p>
    <w:p w14:paraId="5F783EE2">
      <w:pPr>
        <w:pageBreakBefore w:val="0"/>
        <w:widowControl w:val="0"/>
        <w:wordWrap/>
        <w:overflowPunct/>
        <w:topLinePunct w:val="0"/>
        <w:bidi w:val="0"/>
        <w:jc w:val="center"/>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（如属于特定行业项目,供应商应当具备特定行业法定准入要求。)</w:t>
      </w:r>
    </w:p>
    <w:p w14:paraId="3F84DF13">
      <w:pPr>
        <w:pageBreakBefore w:val="0"/>
        <w:widowControl w:val="0"/>
        <w:wordWrap/>
        <w:overflowPunct/>
        <w:topLinePunct w:val="0"/>
        <w:autoSpaceDE w:val="0"/>
        <w:autoSpaceDN w:val="0"/>
        <w:bidi w:val="0"/>
        <w:adjustRightInd w:val="0"/>
        <w:jc w:val="both"/>
        <w:textAlignment w:val="baseline"/>
        <w:rPr>
          <w:rFonts w:hint="eastAsia" w:ascii="宋体" w:hAnsi="宋体" w:eastAsia="宋体" w:cs="宋体"/>
          <w:b/>
          <w:color w:val="auto"/>
          <w:kern w:val="0"/>
          <w:highlight w:val="none"/>
        </w:rPr>
      </w:pPr>
    </w:p>
    <w:p w14:paraId="69776127">
      <w:pPr>
        <w:pageBreakBefore w:val="0"/>
        <w:widowControl w:val="0"/>
        <w:wordWrap/>
        <w:overflowPunct/>
        <w:topLinePunct w:val="0"/>
        <w:bidi w:val="0"/>
        <w:jc w:val="both"/>
        <w:rPr>
          <w:rFonts w:hint="eastAsia" w:ascii="宋体" w:hAnsi="宋体" w:eastAsia="宋体" w:cs="宋体"/>
          <w:color w:val="auto"/>
          <w:kern w:val="0"/>
          <w:highlight w:val="none"/>
          <w:shd w:val="clear" w:color="auto" w:fill="FFFFFF"/>
        </w:rPr>
      </w:pPr>
    </w:p>
    <w:p w14:paraId="0AA99890">
      <w:pPr>
        <w:pageBreakBefore w:val="0"/>
        <w:widowControl w:val="0"/>
        <w:wordWrap/>
        <w:overflowPunct/>
        <w:topLinePunct w:val="0"/>
        <w:bidi w:val="0"/>
        <w:jc w:val="both"/>
        <w:rPr>
          <w:rFonts w:hint="eastAsia" w:ascii="宋体" w:hAnsi="宋体" w:eastAsia="宋体" w:cs="宋体"/>
          <w:color w:val="auto"/>
          <w:kern w:val="0"/>
          <w:highlight w:val="none"/>
          <w:shd w:val="clear" w:color="auto" w:fill="FFFFFF"/>
        </w:rPr>
      </w:pPr>
    </w:p>
    <w:p w14:paraId="677679E2">
      <w:pPr>
        <w:pageBreakBefore w:val="0"/>
        <w:widowControl w:val="0"/>
        <w:wordWrap/>
        <w:overflowPunct/>
        <w:topLinePunct w:val="0"/>
        <w:bidi w:val="0"/>
        <w:jc w:val="both"/>
        <w:rPr>
          <w:rFonts w:hint="eastAsia" w:ascii="宋体" w:hAnsi="宋体" w:eastAsia="宋体" w:cs="宋体"/>
          <w:color w:val="auto"/>
          <w:kern w:val="0"/>
          <w:highlight w:val="none"/>
          <w:shd w:val="clear" w:color="auto" w:fill="FFFFFF"/>
        </w:rPr>
      </w:pPr>
    </w:p>
    <w:p w14:paraId="4AE27152">
      <w:pPr>
        <w:pageBreakBefore w:val="0"/>
        <w:widowControl w:val="0"/>
        <w:wordWrap/>
        <w:overflowPunct/>
        <w:topLinePunct w:val="0"/>
        <w:bidi w:val="0"/>
        <w:jc w:val="both"/>
        <w:rPr>
          <w:rFonts w:hint="eastAsia" w:ascii="宋体" w:hAnsi="宋体" w:eastAsia="宋体" w:cs="宋体"/>
          <w:color w:val="auto"/>
          <w:kern w:val="0"/>
          <w:highlight w:val="none"/>
          <w:shd w:val="clear" w:color="auto" w:fill="FFFFFF"/>
        </w:rPr>
      </w:pPr>
    </w:p>
    <w:p w14:paraId="3C406204">
      <w:pPr>
        <w:pageBreakBefore w:val="0"/>
        <w:widowControl w:val="0"/>
        <w:wordWrap/>
        <w:overflowPunct/>
        <w:topLinePunct w:val="0"/>
        <w:bidi w:val="0"/>
        <w:jc w:val="both"/>
        <w:rPr>
          <w:rFonts w:hint="eastAsia" w:ascii="宋体" w:hAnsi="宋体" w:eastAsia="宋体" w:cs="宋体"/>
          <w:color w:val="auto"/>
          <w:kern w:val="0"/>
          <w:highlight w:val="none"/>
          <w:shd w:val="clear" w:color="auto" w:fill="FFFFFF"/>
        </w:rPr>
      </w:pPr>
    </w:p>
    <w:p w14:paraId="229FA7FB">
      <w:pPr>
        <w:pageBreakBefore w:val="0"/>
        <w:widowControl w:val="0"/>
        <w:wordWrap/>
        <w:overflowPunct/>
        <w:topLinePunct w:val="0"/>
        <w:bidi w:val="0"/>
        <w:jc w:val="both"/>
        <w:rPr>
          <w:rFonts w:hint="eastAsia" w:ascii="宋体" w:hAnsi="宋体" w:eastAsia="宋体" w:cs="宋体"/>
          <w:color w:val="auto"/>
          <w:kern w:val="0"/>
          <w:highlight w:val="none"/>
          <w:shd w:val="clear" w:color="auto" w:fill="FFFFFF"/>
        </w:rPr>
      </w:pPr>
    </w:p>
    <w:p w14:paraId="7EA68A9D">
      <w:pPr>
        <w:pageBreakBefore w:val="0"/>
        <w:widowControl w:val="0"/>
        <w:wordWrap/>
        <w:overflowPunct/>
        <w:topLinePunct w:val="0"/>
        <w:bidi w:val="0"/>
        <w:jc w:val="both"/>
        <w:rPr>
          <w:rFonts w:hint="eastAsia" w:ascii="宋体" w:hAnsi="宋体" w:eastAsia="宋体" w:cs="宋体"/>
          <w:color w:val="auto"/>
          <w:kern w:val="0"/>
          <w:highlight w:val="none"/>
          <w:shd w:val="clear" w:color="auto" w:fill="FFFFFF"/>
        </w:rPr>
      </w:pPr>
    </w:p>
    <w:p w14:paraId="442D63B8">
      <w:pPr>
        <w:pageBreakBefore w:val="0"/>
        <w:widowControl w:val="0"/>
        <w:wordWrap/>
        <w:overflowPunct/>
        <w:topLinePunct w:val="0"/>
        <w:bidi w:val="0"/>
        <w:jc w:val="both"/>
        <w:rPr>
          <w:rFonts w:hint="eastAsia" w:ascii="宋体" w:hAnsi="宋体" w:eastAsia="宋体" w:cs="宋体"/>
          <w:color w:val="auto"/>
          <w:kern w:val="0"/>
          <w:highlight w:val="none"/>
          <w:shd w:val="clear" w:color="auto" w:fill="FFFFFF"/>
        </w:rPr>
      </w:pPr>
    </w:p>
    <w:p w14:paraId="20AB78C0">
      <w:pP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284" w:name="bookmark78"/>
      <w:bookmarkEnd w:id="284"/>
      <w:bookmarkStart w:id="285" w:name="bookmark77"/>
      <w:bookmarkEnd w:id="285"/>
      <w:bookmarkStart w:id="286" w:name="_Toc12316"/>
      <w:bookmarkStart w:id="287" w:name="_Toc31849"/>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br w:type="page"/>
      </w:r>
    </w:p>
    <w:p w14:paraId="290E8C56">
      <w:pPr>
        <w:pageBreakBefore w:val="0"/>
        <w:widowControl w:val="0"/>
        <w:wordWrap/>
        <w:overflowPunct/>
        <w:topLinePunct w:val="0"/>
        <w:bidi w:val="0"/>
        <w:spacing w:before="78" w:after="0" w:afterLines="100" w:afterAutospacing="0" w:line="220" w:lineRule="auto"/>
        <w:jc w:val="center"/>
        <w:outlineLvl w:val="1"/>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sectPr>
          <w:footerReference r:id="rId14" w:type="default"/>
          <w:pgSz w:w="11906" w:h="16839"/>
          <w:pgMar w:top="1134" w:right="1134" w:bottom="1134" w:left="1134" w:header="0" w:footer="994" w:gutter="0"/>
          <w:pgBorders>
            <w:top w:val="none" w:sz="0" w:space="0"/>
            <w:left w:val="none" w:sz="0" w:space="0"/>
            <w:bottom w:val="none" w:sz="0" w:space="0"/>
            <w:right w:val="none" w:sz="0" w:space="0"/>
          </w:pgBorders>
          <w:pgNumType w:fmt="decimal"/>
          <w:cols w:space="720" w:num="1"/>
        </w:sectPr>
      </w:pPr>
      <w:bookmarkStart w:id="288" w:name="_Toc26001"/>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6</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.与</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服务</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、商务等评审计分有关的资料</w:t>
      </w:r>
      <w:bookmarkEnd w:id="286"/>
      <w:bookmarkEnd w:id="287"/>
      <w:bookmarkEnd w:id="288"/>
    </w:p>
    <w:p w14:paraId="45A2A103">
      <w:pPr>
        <w:pageBreakBefore w:val="0"/>
        <w:widowControl w:val="0"/>
        <w:wordWrap/>
        <w:overflowPunct/>
        <w:topLinePunct w:val="0"/>
        <w:bidi w:val="0"/>
        <w:spacing w:before="63" w:line="224" w:lineRule="auto"/>
        <w:ind w:left="5052" w:leftChars="0" w:hanging="5052" w:hangingChars="1599"/>
        <w:jc w:val="center"/>
        <w:outlineLvl w:val="0"/>
        <w:rPr>
          <w:rFonts w:hint="eastAsia" w:ascii="宋体" w:hAnsi="宋体" w:eastAsia="宋体" w:cs="宋体"/>
          <w:color w:val="auto"/>
          <w:spacing w:val="8"/>
          <w:sz w:val="30"/>
          <w:szCs w:val="30"/>
          <w:highlight w:val="none"/>
          <w:lang w:val="en-US" w:eastAsia="zh-CN"/>
          <w14:textOutline w14:w="5791" w14:cap="sq" w14:cmpd="sng" w14:algn="ctr">
            <w14:solidFill>
              <w14:srgbClr w14:val="000000"/>
            </w14:solidFill>
            <w14:prstDash w14:val="solid"/>
            <w14:bevel/>
          </w14:textOutline>
        </w:rPr>
      </w:pPr>
      <w:bookmarkStart w:id="289" w:name="bookmark79"/>
      <w:bookmarkEnd w:id="289"/>
      <w:bookmarkStart w:id="290" w:name="bookmark80"/>
      <w:bookmarkEnd w:id="290"/>
      <w:bookmarkStart w:id="291" w:name="_Toc28163"/>
      <w:r>
        <w:rPr>
          <w:rFonts w:hint="eastAsia" w:ascii="宋体" w:hAnsi="宋体" w:eastAsia="宋体" w:cs="宋体"/>
          <w:color w:val="auto"/>
          <w:spacing w:val="8"/>
          <w:sz w:val="30"/>
          <w:szCs w:val="30"/>
          <w:highlight w:val="none"/>
          <w:lang w:val="en-US" w:eastAsia="zh-CN"/>
          <w14:textOutline w14:w="5791" w14:cap="sq" w14:cmpd="sng" w14:algn="ctr">
            <w14:solidFill>
              <w14:srgbClr w14:val="000000"/>
            </w14:solidFill>
            <w14:prstDash w14:val="solid"/>
            <w14:bevel/>
          </w14:textOutline>
        </w:rPr>
        <w:t>第五章</w:t>
      </w:r>
      <w:r>
        <w:rPr>
          <w:rFonts w:hint="eastAsia" w:ascii="宋体" w:hAnsi="宋体" w:eastAsia="宋体" w:cs="宋体"/>
          <w:color w:val="auto"/>
          <w:spacing w:val="8"/>
          <w:sz w:val="30"/>
          <w:szCs w:val="30"/>
          <w:highlight w:val="none"/>
        </w:rPr>
        <w:t xml:space="preserve">  </w:t>
      </w:r>
      <w:r>
        <w:rPr>
          <w:rFonts w:hint="eastAsia" w:ascii="宋体" w:hAnsi="宋体" w:eastAsia="宋体" w:cs="宋体"/>
          <w:color w:val="auto"/>
          <w:spacing w:val="8"/>
          <w:sz w:val="30"/>
          <w:szCs w:val="30"/>
          <w:highlight w:val="none"/>
          <w:lang w:val="en-US" w:eastAsia="zh-CN"/>
          <w14:textOutline w14:w="5791" w14:cap="sq" w14:cmpd="sng" w14:algn="ctr">
            <w14:solidFill>
              <w14:srgbClr w14:val="000000"/>
            </w14:solidFill>
            <w14:prstDash w14:val="solid"/>
            <w14:bevel/>
          </w14:textOutline>
        </w:rPr>
        <w:t>采购需求</w:t>
      </w:r>
      <w:bookmarkEnd w:id="291"/>
    </w:p>
    <w:p w14:paraId="30C0D51C">
      <w:pPr>
        <w:pageBreakBefore w:val="0"/>
        <w:widowControl w:val="0"/>
        <w:wordWrap/>
        <w:overflowPunct/>
        <w:topLinePunct w:val="0"/>
        <w:bidi w:val="0"/>
        <w:spacing w:line="309" w:lineRule="auto"/>
        <w:jc w:val="center"/>
        <w:rPr>
          <w:rFonts w:hint="eastAsia" w:ascii="宋体" w:hAnsi="宋体" w:eastAsia="宋体" w:cs="宋体"/>
          <w:color w:val="auto"/>
          <w:highlight w:val="none"/>
          <w:lang w:eastAsia="zh-CN"/>
        </w:rPr>
      </w:pPr>
    </w:p>
    <w:p w14:paraId="1DBC304A">
      <w:pPr>
        <w:widowControl w:val="0"/>
        <w:spacing w:before="78" w:line="220" w:lineRule="auto"/>
        <w:ind w:firstLine="317" w:firstLineChars="100"/>
        <w:jc w:val="both"/>
        <w:outlineLvl w:val="1"/>
        <w:rPr>
          <w:rFonts w:hint="eastAsia" w:ascii="宋体" w:hAnsi="宋体" w:eastAsia="宋体" w:cs="宋体"/>
          <w:b/>
          <w:bCs/>
          <w:color w:val="auto"/>
          <w:spacing w:val="-2"/>
          <w:sz w:val="32"/>
          <w:szCs w:val="32"/>
          <w:highlight w:val="none"/>
          <w:lang w:eastAsia="zh-CN"/>
        </w:rPr>
      </w:pPr>
      <w:bookmarkStart w:id="292" w:name="_Toc9581"/>
      <w:bookmarkStart w:id="293" w:name="_Toc1870"/>
      <w:bookmarkStart w:id="294" w:name="_Toc10927"/>
      <w:r>
        <w:rPr>
          <w:rFonts w:hint="eastAsia" w:ascii="宋体" w:hAnsi="宋体" w:eastAsia="宋体" w:cs="宋体"/>
          <w:b/>
          <w:bCs/>
          <w:color w:val="auto"/>
          <w:spacing w:val="-2"/>
          <w:sz w:val="32"/>
          <w:szCs w:val="32"/>
          <w:highlight w:val="none"/>
          <w:lang w:eastAsia="zh-CN"/>
        </w:rPr>
        <w:t>（</w:t>
      </w:r>
      <w:r>
        <w:rPr>
          <w:rFonts w:hint="eastAsia" w:ascii="宋体" w:hAnsi="宋体" w:eastAsia="宋体" w:cs="宋体"/>
          <w:b/>
          <w:bCs/>
          <w:color w:val="auto"/>
          <w:spacing w:val="-2"/>
          <w:sz w:val="32"/>
          <w:szCs w:val="32"/>
          <w:highlight w:val="none"/>
          <w:lang w:val="en-US" w:eastAsia="zh-CN"/>
        </w:rPr>
        <w:t>一</w:t>
      </w:r>
      <w:r>
        <w:rPr>
          <w:rFonts w:hint="eastAsia" w:ascii="宋体" w:hAnsi="宋体" w:eastAsia="宋体" w:cs="宋体"/>
          <w:b/>
          <w:bCs/>
          <w:color w:val="auto"/>
          <w:spacing w:val="-2"/>
          <w:sz w:val="32"/>
          <w:szCs w:val="32"/>
          <w:highlight w:val="none"/>
          <w:lang w:eastAsia="zh-CN"/>
        </w:rPr>
        <w:t>）</w:t>
      </w:r>
      <w:r>
        <w:rPr>
          <w:rFonts w:hint="eastAsia" w:ascii="宋体" w:hAnsi="宋体" w:eastAsia="宋体" w:cs="宋体"/>
          <w:b/>
          <w:bCs/>
          <w:color w:val="auto"/>
          <w:spacing w:val="-2"/>
          <w:sz w:val="32"/>
          <w:szCs w:val="32"/>
          <w:highlight w:val="none"/>
          <w:lang w:val="en-US" w:eastAsia="zh-CN"/>
        </w:rPr>
        <w:t>采购</w:t>
      </w:r>
      <w:r>
        <w:rPr>
          <w:rFonts w:hint="eastAsia" w:ascii="宋体" w:hAnsi="宋体" w:eastAsia="宋体" w:cs="宋体"/>
          <w:b/>
          <w:bCs/>
          <w:color w:val="auto"/>
          <w:spacing w:val="-2"/>
          <w:sz w:val="32"/>
          <w:szCs w:val="32"/>
          <w:highlight w:val="none"/>
          <w:lang w:eastAsia="zh-CN"/>
        </w:rPr>
        <w:t>需求</w:t>
      </w:r>
      <w:bookmarkEnd w:id="292"/>
      <w:bookmarkEnd w:id="293"/>
      <w:bookmarkEnd w:id="294"/>
    </w:p>
    <w:p w14:paraId="3ADA9792">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pPr>
      <w:bookmarkStart w:id="295" w:name="bookmark81"/>
      <w:bookmarkEnd w:id="295"/>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①项目概况</w:t>
      </w:r>
    </w:p>
    <w:p w14:paraId="186D69FE">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上饶市和济水务有限公司用餐人数约</w:t>
      </w:r>
      <w:r>
        <w:rPr>
          <w:rFonts w:hint="eastAsia"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85</w:t>
      </w:r>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人</w:t>
      </w:r>
      <w:r>
        <w:rPr>
          <w:rFonts w:hint="eastAsia"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（一厂：约15人，二厂约75人）</w:t>
      </w:r>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，食堂所有事务性工作均包含在内（烹饪、配洗菜、室内外卫生、洗、消毒、制止餐饮浪费现象等等）；</w:t>
      </w:r>
      <w:r>
        <w:rPr>
          <w:rFonts w:hint="eastAsia"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一厂</w:t>
      </w:r>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应配有</w:t>
      </w:r>
      <w:r>
        <w:rPr>
          <w:rFonts w:hint="eastAsia"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1名厨师，二厂应配有1名厨师，1名配菜员</w:t>
      </w:r>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w:t>
      </w:r>
      <w:r>
        <w:rPr>
          <w:rFonts w:hint="eastAsia"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周一至周日</w:t>
      </w:r>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早餐7:30-9:00；中餐1</w:t>
      </w:r>
      <w:r>
        <w:rPr>
          <w:rFonts w:hint="eastAsia"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1</w:t>
      </w:r>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w:t>
      </w:r>
      <w:r>
        <w:rPr>
          <w:rFonts w:hint="eastAsia"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40</w:t>
      </w:r>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-13：00；晚餐17:</w:t>
      </w:r>
      <w:r>
        <w:rPr>
          <w:rFonts w:hint="eastAsia"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4</w:t>
      </w:r>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0-19:00</w:t>
      </w:r>
      <w:r>
        <w:rPr>
          <w:rFonts w:hint="eastAsia" w:ascii="宋体" w:hAnsi="宋体" w:cs="宋体"/>
          <w:b w:val="0"/>
          <w:bCs w:val="0"/>
          <w:snapToGrid/>
          <w:color w:val="000000" w:themeColor="text1"/>
          <w:kern w:val="2"/>
          <w:sz w:val="24"/>
          <w:szCs w:val="24"/>
          <w:highlight w:val="yellow"/>
          <w:lang w:val="en-US" w:eastAsia="zh-CN" w:bidi="ar-SA"/>
          <w14:textFill>
            <w14:solidFill>
              <w14:schemeClr w14:val="tx1"/>
            </w14:solidFill>
          </w14:textFill>
        </w:rPr>
        <w:t>；</w:t>
      </w:r>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特殊情况需根据采购人要求延长工作时间或双休日加班工作；若配备人员不符合采购人要求，可随时更换。</w:t>
      </w:r>
    </w:p>
    <w:p w14:paraId="0868F0C2">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b w:val="0"/>
          <w:bCs w:val="0"/>
          <w:snapToGrid/>
          <w:color w:val="auto"/>
          <w:kern w:val="2"/>
          <w:sz w:val="24"/>
          <w:szCs w:val="24"/>
          <w:highlight w:val="yellow"/>
          <w:lang w:val="en-US" w:eastAsia="zh-CN" w:bidi="ar-SA"/>
        </w:rPr>
      </w:pPr>
      <w:r>
        <w:rPr>
          <w:rFonts w:hint="eastAsia" w:ascii="宋体" w:hAnsi="宋体" w:eastAsia="宋体" w:cs="宋体"/>
          <w:b w:val="0"/>
          <w:bCs w:val="0"/>
          <w:snapToGrid/>
          <w:color w:val="auto"/>
          <w:kern w:val="2"/>
          <w:sz w:val="24"/>
          <w:szCs w:val="24"/>
          <w:highlight w:val="yellow"/>
          <w:lang w:val="en-US" w:eastAsia="zh-CN" w:bidi="ar-SA"/>
        </w:rPr>
        <w:t>②人员清单及要求</w:t>
      </w:r>
    </w:p>
    <w:tbl>
      <w:tblPr>
        <w:tblStyle w:val="30"/>
        <w:tblW w:w="85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0"/>
        <w:gridCol w:w="701"/>
        <w:gridCol w:w="6505"/>
      </w:tblGrid>
      <w:tr w14:paraId="3B1C3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jc w:val="center"/>
        </w:trPr>
        <w:tc>
          <w:tcPr>
            <w:tcW w:w="1380" w:type="dxa"/>
            <w:vAlign w:val="center"/>
          </w:tcPr>
          <w:p w14:paraId="293A8684">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val="0"/>
                <w:bCs w:val="0"/>
                <w:snapToGrid/>
                <w:color w:val="auto"/>
                <w:kern w:val="2"/>
                <w:sz w:val="24"/>
                <w:szCs w:val="24"/>
                <w:highlight w:val="yellow"/>
                <w:lang w:val="en-US" w:eastAsia="zh-CN" w:bidi="ar-SA"/>
              </w:rPr>
            </w:pPr>
            <w:r>
              <w:rPr>
                <w:rFonts w:hint="eastAsia" w:ascii="宋体" w:hAnsi="宋体" w:eastAsia="宋体" w:cs="宋体"/>
                <w:b w:val="0"/>
                <w:bCs w:val="0"/>
                <w:snapToGrid/>
                <w:color w:val="auto"/>
                <w:kern w:val="2"/>
                <w:sz w:val="24"/>
                <w:szCs w:val="24"/>
                <w:highlight w:val="yellow"/>
                <w:lang w:val="en-US" w:eastAsia="zh-CN" w:bidi="ar-SA"/>
              </w:rPr>
              <w:t>岗位名称</w:t>
            </w:r>
          </w:p>
        </w:tc>
        <w:tc>
          <w:tcPr>
            <w:tcW w:w="701" w:type="dxa"/>
            <w:vAlign w:val="center"/>
          </w:tcPr>
          <w:p w14:paraId="6E214E0C">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val="0"/>
                <w:bCs w:val="0"/>
                <w:snapToGrid/>
                <w:color w:val="auto"/>
                <w:kern w:val="2"/>
                <w:sz w:val="24"/>
                <w:szCs w:val="24"/>
                <w:highlight w:val="yellow"/>
                <w:lang w:val="en-US" w:eastAsia="zh-CN" w:bidi="ar-SA"/>
              </w:rPr>
            </w:pPr>
            <w:r>
              <w:rPr>
                <w:rFonts w:hint="eastAsia" w:ascii="宋体" w:hAnsi="宋体" w:eastAsia="宋体" w:cs="宋体"/>
                <w:b w:val="0"/>
                <w:bCs w:val="0"/>
                <w:snapToGrid/>
                <w:color w:val="auto"/>
                <w:kern w:val="2"/>
                <w:sz w:val="24"/>
                <w:szCs w:val="24"/>
                <w:highlight w:val="yellow"/>
                <w:lang w:val="en-US" w:eastAsia="zh-CN" w:bidi="ar-SA"/>
              </w:rPr>
              <w:t>人数</w:t>
            </w:r>
          </w:p>
        </w:tc>
        <w:tc>
          <w:tcPr>
            <w:tcW w:w="6505" w:type="dxa"/>
            <w:vAlign w:val="center"/>
          </w:tcPr>
          <w:p w14:paraId="19E25BB4">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val="0"/>
                <w:bCs w:val="0"/>
                <w:snapToGrid/>
                <w:color w:val="auto"/>
                <w:kern w:val="2"/>
                <w:sz w:val="24"/>
                <w:szCs w:val="24"/>
                <w:highlight w:val="yellow"/>
                <w:lang w:val="en-US" w:eastAsia="zh-CN" w:bidi="ar-SA"/>
              </w:rPr>
            </w:pPr>
            <w:r>
              <w:rPr>
                <w:rFonts w:hint="eastAsia" w:ascii="宋体" w:hAnsi="宋体" w:eastAsia="宋体" w:cs="宋体"/>
                <w:b w:val="0"/>
                <w:bCs w:val="0"/>
                <w:snapToGrid/>
                <w:color w:val="auto"/>
                <w:kern w:val="2"/>
                <w:sz w:val="24"/>
                <w:szCs w:val="24"/>
                <w:highlight w:val="yellow"/>
                <w:lang w:val="en-US" w:eastAsia="zh-CN" w:bidi="ar-SA"/>
              </w:rPr>
              <w:t>工作职责与要求</w:t>
            </w:r>
          </w:p>
        </w:tc>
      </w:tr>
      <w:tr w14:paraId="439EC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jc w:val="center"/>
        </w:trPr>
        <w:tc>
          <w:tcPr>
            <w:tcW w:w="1380" w:type="dxa"/>
            <w:vAlign w:val="center"/>
          </w:tcPr>
          <w:p w14:paraId="0F57513E">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val="0"/>
                <w:bCs w:val="0"/>
                <w:snapToGrid/>
                <w:color w:val="auto"/>
                <w:kern w:val="2"/>
                <w:sz w:val="24"/>
                <w:szCs w:val="24"/>
                <w:highlight w:val="yellow"/>
                <w:lang w:val="en-US" w:eastAsia="zh-CN" w:bidi="ar-SA"/>
              </w:rPr>
            </w:pPr>
            <w:r>
              <w:rPr>
                <w:rFonts w:hint="eastAsia"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1厂厨师</w:t>
            </w:r>
          </w:p>
        </w:tc>
        <w:tc>
          <w:tcPr>
            <w:tcW w:w="701" w:type="dxa"/>
            <w:vAlign w:val="center"/>
          </w:tcPr>
          <w:p w14:paraId="124F7F84">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宋体" w:hAnsi="宋体" w:eastAsia="宋体" w:cs="宋体"/>
                <w:b w:val="0"/>
                <w:bCs w:val="0"/>
                <w:snapToGrid/>
                <w:color w:val="auto"/>
                <w:kern w:val="2"/>
                <w:sz w:val="24"/>
                <w:szCs w:val="24"/>
                <w:highlight w:val="yellow"/>
                <w:lang w:val="en-US" w:eastAsia="zh-CN" w:bidi="ar-SA"/>
              </w:rPr>
            </w:pPr>
            <w:r>
              <w:rPr>
                <w:rFonts w:hint="eastAsia" w:hAnsi="宋体" w:eastAsia="宋体" w:cs="宋体"/>
                <w:b w:val="0"/>
                <w:bCs w:val="0"/>
                <w:snapToGrid/>
                <w:color w:val="auto"/>
                <w:kern w:val="2"/>
                <w:sz w:val="24"/>
                <w:szCs w:val="24"/>
                <w:highlight w:val="yellow"/>
                <w:lang w:val="en-US" w:eastAsia="zh-CN" w:bidi="ar-SA"/>
              </w:rPr>
              <w:t>1</w:t>
            </w:r>
          </w:p>
        </w:tc>
        <w:tc>
          <w:tcPr>
            <w:tcW w:w="6505" w:type="dxa"/>
            <w:vAlign w:val="center"/>
          </w:tcPr>
          <w:p w14:paraId="0CCACE6B">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outlineLvl w:val="9"/>
              <w:rPr>
                <w:rFonts w:hint="eastAsia" w:ascii="宋体" w:hAnsi="宋体" w:eastAsia="宋体" w:cs="宋体"/>
                <w:b w:val="0"/>
                <w:bCs w:val="0"/>
                <w:snapToGrid/>
                <w:color w:val="auto"/>
                <w:kern w:val="2"/>
                <w:sz w:val="24"/>
                <w:szCs w:val="24"/>
                <w:highlight w:val="yellow"/>
                <w:lang w:val="en-US" w:eastAsia="zh-CN" w:bidi="ar-SA"/>
              </w:rPr>
            </w:pPr>
            <w:r>
              <w:rPr>
                <w:rFonts w:hint="eastAsia" w:ascii="宋体" w:hAnsi="宋体" w:eastAsia="宋体" w:cs="宋体"/>
                <w:b w:val="0"/>
                <w:bCs w:val="0"/>
                <w:snapToGrid/>
                <w:color w:val="auto"/>
                <w:kern w:val="2"/>
                <w:sz w:val="24"/>
                <w:szCs w:val="24"/>
                <w:highlight w:val="yellow"/>
                <w:lang w:val="en-US" w:eastAsia="zh-CN" w:bidi="ar-SA"/>
              </w:rPr>
              <w:t>负责制定</w:t>
            </w:r>
            <w:r>
              <w:rPr>
                <w:rFonts w:hint="eastAsia" w:hAnsi="宋体" w:eastAsia="宋体" w:cs="宋体"/>
                <w:b w:val="0"/>
                <w:bCs w:val="0"/>
                <w:snapToGrid/>
                <w:color w:val="auto"/>
                <w:kern w:val="2"/>
                <w:sz w:val="24"/>
                <w:szCs w:val="24"/>
                <w:highlight w:val="yellow"/>
                <w:lang w:val="en-US" w:eastAsia="zh-CN" w:bidi="ar-SA"/>
              </w:rPr>
              <w:t>15人</w:t>
            </w:r>
            <w:r>
              <w:rPr>
                <w:rFonts w:hint="eastAsia" w:ascii="宋体" w:hAnsi="宋体" w:eastAsia="宋体" w:cs="宋体"/>
                <w:b w:val="0"/>
                <w:bCs w:val="0"/>
                <w:snapToGrid/>
                <w:color w:val="auto"/>
                <w:kern w:val="2"/>
                <w:sz w:val="24"/>
                <w:szCs w:val="24"/>
                <w:highlight w:val="yellow"/>
                <w:lang w:val="en-US" w:eastAsia="zh-CN" w:bidi="ar-SA"/>
              </w:rPr>
              <w:t>每餐菜谱，列出采购计划单，负责烹饪制作</w:t>
            </w:r>
            <w:r>
              <w:rPr>
                <w:rFonts w:hint="eastAsia" w:ascii="宋体" w:hAnsi="宋体" w:cs="宋体"/>
                <w:b w:val="0"/>
                <w:bCs w:val="0"/>
                <w:snapToGrid/>
                <w:color w:val="auto"/>
                <w:kern w:val="2"/>
                <w:sz w:val="24"/>
                <w:szCs w:val="24"/>
                <w:highlight w:val="yellow"/>
                <w:lang w:val="en-US" w:eastAsia="zh-CN" w:bidi="ar-SA"/>
              </w:rPr>
              <w:t>早、</w:t>
            </w:r>
            <w:r>
              <w:rPr>
                <w:rFonts w:hint="eastAsia" w:ascii="宋体" w:hAnsi="宋体" w:eastAsia="宋体" w:cs="宋体"/>
                <w:b w:val="0"/>
                <w:bCs w:val="0"/>
                <w:snapToGrid/>
                <w:color w:val="auto"/>
                <w:kern w:val="2"/>
                <w:sz w:val="24"/>
                <w:szCs w:val="24"/>
                <w:highlight w:val="yellow"/>
                <w:lang w:val="en-US" w:eastAsia="zh-CN" w:bidi="ar-SA"/>
              </w:rPr>
              <w:t>中、晚餐</w:t>
            </w:r>
            <w:r>
              <w:rPr>
                <w:rFonts w:hint="eastAsia" w:hAnsi="宋体" w:eastAsia="宋体" w:cs="宋体"/>
                <w:b w:val="0"/>
                <w:bCs w:val="0"/>
                <w:snapToGrid/>
                <w:color w:val="auto"/>
                <w:kern w:val="2"/>
                <w:sz w:val="24"/>
                <w:szCs w:val="24"/>
                <w:highlight w:val="yellow"/>
                <w:lang w:val="en-US" w:eastAsia="zh-CN" w:bidi="ar-SA"/>
              </w:rPr>
              <w:t>，</w:t>
            </w:r>
            <w:r>
              <w:rPr>
                <w:rFonts w:hint="eastAsia" w:ascii="宋体" w:hAnsi="宋体" w:eastAsia="宋体" w:cs="宋体"/>
                <w:b w:val="0"/>
                <w:bCs w:val="0"/>
                <w:snapToGrid/>
                <w:color w:val="auto"/>
                <w:kern w:val="2"/>
                <w:sz w:val="24"/>
                <w:szCs w:val="24"/>
                <w:highlight w:val="yellow"/>
                <w:lang w:val="en-US" w:eastAsia="zh-CN" w:bidi="ar-SA"/>
              </w:rPr>
              <w:t>做好烹饪前的切配及制作期间的配合工作。有3年以上专业厨师工作经验，持有厨师职业</w:t>
            </w:r>
            <w:r>
              <w:rPr>
                <w:rFonts w:hint="eastAsia" w:hAnsi="宋体" w:eastAsia="宋体" w:cs="宋体"/>
                <w:b w:val="0"/>
                <w:bCs w:val="0"/>
                <w:snapToGrid/>
                <w:color w:val="auto"/>
                <w:kern w:val="2"/>
                <w:sz w:val="24"/>
                <w:szCs w:val="24"/>
                <w:highlight w:val="yellow"/>
                <w:lang w:val="en-US" w:eastAsia="zh-CN" w:bidi="ar-SA"/>
              </w:rPr>
              <w:t>技能</w:t>
            </w:r>
            <w:r>
              <w:rPr>
                <w:rFonts w:hint="eastAsia" w:ascii="宋体" w:hAnsi="宋体" w:eastAsia="宋体" w:cs="宋体"/>
                <w:b w:val="0"/>
                <w:bCs w:val="0"/>
                <w:snapToGrid/>
                <w:color w:val="auto"/>
                <w:kern w:val="2"/>
                <w:sz w:val="24"/>
                <w:szCs w:val="24"/>
                <w:highlight w:val="yellow"/>
                <w:lang w:val="en-US" w:eastAsia="zh-CN" w:bidi="ar-SA"/>
              </w:rPr>
              <w:t>的优先。</w:t>
            </w:r>
          </w:p>
        </w:tc>
      </w:tr>
      <w:tr w14:paraId="1B796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jc w:val="center"/>
        </w:trPr>
        <w:tc>
          <w:tcPr>
            <w:tcW w:w="1380" w:type="dxa"/>
            <w:vAlign w:val="center"/>
          </w:tcPr>
          <w:p w14:paraId="2EE3A912">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pPr>
            <w:r>
              <w:rPr>
                <w:rFonts w:hint="eastAsia"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2厂厨师</w:t>
            </w:r>
          </w:p>
        </w:tc>
        <w:tc>
          <w:tcPr>
            <w:tcW w:w="701" w:type="dxa"/>
            <w:vAlign w:val="center"/>
          </w:tcPr>
          <w:p w14:paraId="3DB6D922">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hAnsi="宋体" w:eastAsia="宋体" w:cs="宋体"/>
                <w:b w:val="0"/>
                <w:bCs w:val="0"/>
                <w:snapToGrid/>
                <w:color w:val="auto"/>
                <w:kern w:val="2"/>
                <w:sz w:val="24"/>
                <w:szCs w:val="24"/>
                <w:highlight w:val="yellow"/>
                <w:lang w:val="en-US" w:eastAsia="zh-CN" w:bidi="ar-SA"/>
              </w:rPr>
            </w:pPr>
            <w:r>
              <w:rPr>
                <w:rFonts w:hint="eastAsia" w:hAnsi="宋体" w:eastAsia="宋体" w:cs="宋体"/>
                <w:b w:val="0"/>
                <w:bCs w:val="0"/>
                <w:snapToGrid/>
                <w:color w:val="auto"/>
                <w:kern w:val="2"/>
                <w:sz w:val="24"/>
                <w:szCs w:val="24"/>
                <w:highlight w:val="yellow"/>
                <w:lang w:val="en-US" w:eastAsia="zh-CN" w:bidi="ar-SA"/>
              </w:rPr>
              <w:t>1</w:t>
            </w:r>
          </w:p>
        </w:tc>
        <w:tc>
          <w:tcPr>
            <w:tcW w:w="6505" w:type="dxa"/>
            <w:vAlign w:val="center"/>
          </w:tcPr>
          <w:p w14:paraId="08A1EED0">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outlineLvl w:val="9"/>
              <w:rPr>
                <w:rFonts w:hint="eastAsia" w:ascii="宋体" w:hAnsi="宋体" w:eastAsia="宋体" w:cs="宋体"/>
                <w:b w:val="0"/>
                <w:bCs w:val="0"/>
                <w:snapToGrid/>
                <w:color w:val="auto"/>
                <w:kern w:val="2"/>
                <w:sz w:val="24"/>
                <w:szCs w:val="24"/>
                <w:highlight w:val="yellow"/>
                <w:lang w:val="en-US" w:eastAsia="zh-CN" w:bidi="ar-SA"/>
              </w:rPr>
            </w:pPr>
            <w:r>
              <w:rPr>
                <w:rFonts w:hint="eastAsia" w:ascii="宋体" w:hAnsi="宋体" w:eastAsia="宋体" w:cs="宋体"/>
                <w:b w:val="0"/>
                <w:bCs w:val="0"/>
                <w:snapToGrid/>
                <w:color w:val="auto"/>
                <w:kern w:val="2"/>
                <w:sz w:val="24"/>
                <w:szCs w:val="24"/>
                <w:highlight w:val="yellow"/>
                <w:lang w:val="en-US" w:eastAsia="zh-CN" w:bidi="ar-SA"/>
              </w:rPr>
              <w:t>负责制定</w:t>
            </w:r>
            <w:r>
              <w:rPr>
                <w:rFonts w:hint="eastAsia" w:hAnsi="宋体" w:eastAsia="宋体" w:cs="宋体"/>
                <w:b w:val="0"/>
                <w:bCs w:val="0"/>
                <w:snapToGrid/>
                <w:color w:val="auto"/>
                <w:kern w:val="2"/>
                <w:sz w:val="24"/>
                <w:szCs w:val="24"/>
                <w:highlight w:val="yellow"/>
                <w:lang w:val="en-US" w:eastAsia="zh-CN" w:bidi="ar-SA"/>
              </w:rPr>
              <w:t>75人</w:t>
            </w:r>
            <w:r>
              <w:rPr>
                <w:rFonts w:hint="eastAsia" w:ascii="宋体" w:hAnsi="宋体" w:eastAsia="宋体" w:cs="宋体"/>
                <w:b w:val="0"/>
                <w:bCs w:val="0"/>
                <w:snapToGrid/>
                <w:color w:val="auto"/>
                <w:kern w:val="2"/>
                <w:sz w:val="24"/>
                <w:szCs w:val="24"/>
                <w:highlight w:val="yellow"/>
                <w:lang w:val="en-US" w:eastAsia="zh-CN" w:bidi="ar-SA"/>
              </w:rPr>
              <w:t>每餐菜谱，列出采购计划单，负责烹饪制作</w:t>
            </w:r>
            <w:r>
              <w:rPr>
                <w:rFonts w:hint="eastAsia" w:ascii="宋体" w:hAnsi="宋体" w:cs="宋体"/>
                <w:b w:val="0"/>
                <w:bCs w:val="0"/>
                <w:snapToGrid/>
                <w:color w:val="auto"/>
                <w:kern w:val="2"/>
                <w:sz w:val="24"/>
                <w:szCs w:val="24"/>
                <w:highlight w:val="yellow"/>
                <w:lang w:val="en-US" w:eastAsia="zh-CN" w:bidi="ar-SA"/>
              </w:rPr>
              <w:t>早、</w:t>
            </w:r>
            <w:r>
              <w:rPr>
                <w:rFonts w:hint="eastAsia" w:ascii="宋体" w:hAnsi="宋体" w:eastAsia="宋体" w:cs="宋体"/>
                <w:b w:val="0"/>
                <w:bCs w:val="0"/>
                <w:snapToGrid/>
                <w:color w:val="auto"/>
                <w:kern w:val="2"/>
                <w:sz w:val="24"/>
                <w:szCs w:val="24"/>
                <w:highlight w:val="yellow"/>
                <w:lang w:val="en-US" w:eastAsia="zh-CN" w:bidi="ar-SA"/>
              </w:rPr>
              <w:t>中、晚餐</w:t>
            </w:r>
            <w:r>
              <w:rPr>
                <w:rFonts w:hint="eastAsia" w:hAnsi="宋体" w:eastAsia="宋体" w:cs="宋体"/>
                <w:b w:val="0"/>
                <w:bCs w:val="0"/>
                <w:snapToGrid/>
                <w:color w:val="auto"/>
                <w:kern w:val="2"/>
                <w:sz w:val="24"/>
                <w:szCs w:val="24"/>
                <w:highlight w:val="yellow"/>
                <w:lang w:val="en-US" w:eastAsia="zh-CN" w:bidi="ar-SA"/>
              </w:rPr>
              <w:t>，</w:t>
            </w:r>
            <w:r>
              <w:rPr>
                <w:rFonts w:hint="eastAsia" w:ascii="宋体" w:hAnsi="宋体" w:eastAsia="宋体" w:cs="宋体"/>
                <w:b w:val="0"/>
                <w:bCs w:val="0"/>
                <w:snapToGrid/>
                <w:color w:val="auto"/>
                <w:kern w:val="2"/>
                <w:sz w:val="24"/>
                <w:szCs w:val="24"/>
                <w:highlight w:val="yellow"/>
                <w:lang w:val="en-US" w:eastAsia="zh-CN" w:bidi="ar-SA"/>
              </w:rPr>
              <w:t>做好烹饪前的切配及制作期间的配合工作。有3年以上专业厨师工作经验，持有厨师职业</w:t>
            </w:r>
            <w:r>
              <w:rPr>
                <w:rFonts w:hint="eastAsia" w:hAnsi="宋体" w:eastAsia="宋体" w:cs="宋体"/>
                <w:b w:val="0"/>
                <w:bCs w:val="0"/>
                <w:snapToGrid/>
                <w:color w:val="auto"/>
                <w:kern w:val="2"/>
                <w:sz w:val="24"/>
                <w:szCs w:val="24"/>
                <w:highlight w:val="yellow"/>
                <w:lang w:val="en-US" w:eastAsia="zh-CN" w:bidi="ar-SA"/>
              </w:rPr>
              <w:t>技能</w:t>
            </w:r>
            <w:r>
              <w:rPr>
                <w:rFonts w:hint="eastAsia" w:ascii="宋体" w:hAnsi="宋体" w:eastAsia="宋体" w:cs="宋体"/>
                <w:b w:val="0"/>
                <w:bCs w:val="0"/>
                <w:snapToGrid/>
                <w:color w:val="auto"/>
                <w:kern w:val="2"/>
                <w:sz w:val="24"/>
                <w:szCs w:val="24"/>
                <w:highlight w:val="yellow"/>
                <w:lang w:val="en-US" w:eastAsia="zh-CN" w:bidi="ar-SA"/>
              </w:rPr>
              <w:t>的优先。</w:t>
            </w:r>
          </w:p>
        </w:tc>
      </w:tr>
      <w:tr w14:paraId="45560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jc w:val="center"/>
        </w:trPr>
        <w:tc>
          <w:tcPr>
            <w:tcW w:w="1380" w:type="dxa"/>
            <w:vAlign w:val="center"/>
          </w:tcPr>
          <w:p w14:paraId="0FC819F6">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宋体" w:hAnsi="宋体" w:eastAsia="宋体" w:cs="宋体"/>
                <w:b w:val="0"/>
                <w:bCs w:val="0"/>
                <w:snapToGrid/>
                <w:color w:val="auto"/>
                <w:kern w:val="2"/>
                <w:sz w:val="24"/>
                <w:szCs w:val="24"/>
                <w:highlight w:val="yellow"/>
                <w:lang w:val="en-US" w:eastAsia="zh-CN" w:bidi="ar-SA"/>
              </w:rPr>
            </w:pPr>
            <w:r>
              <w:rPr>
                <w:rFonts w:hint="eastAsia"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配菜员</w:t>
            </w:r>
          </w:p>
        </w:tc>
        <w:tc>
          <w:tcPr>
            <w:tcW w:w="701" w:type="dxa"/>
            <w:vAlign w:val="center"/>
          </w:tcPr>
          <w:p w14:paraId="258CBBE4">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宋体" w:hAnsi="宋体" w:eastAsia="宋体" w:cs="宋体"/>
                <w:b w:val="0"/>
                <w:bCs w:val="0"/>
                <w:snapToGrid/>
                <w:color w:val="auto"/>
                <w:kern w:val="2"/>
                <w:sz w:val="24"/>
                <w:szCs w:val="24"/>
                <w:highlight w:val="yellow"/>
                <w:lang w:val="en-US" w:eastAsia="zh-CN" w:bidi="ar-SA"/>
              </w:rPr>
            </w:pPr>
            <w:r>
              <w:rPr>
                <w:rFonts w:hint="eastAsia" w:hAnsi="宋体" w:eastAsia="宋体" w:cs="宋体"/>
                <w:b w:val="0"/>
                <w:bCs w:val="0"/>
                <w:snapToGrid/>
                <w:color w:val="auto"/>
                <w:kern w:val="2"/>
                <w:sz w:val="24"/>
                <w:szCs w:val="24"/>
                <w:highlight w:val="yellow"/>
                <w:lang w:val="en-US" w:eastAsia="zh-CN" w:bidi="ar-SA"/>
              </w:rPr>
              <w:t>1</w:t>
            </w:r>
          </w:p>
        </w:tc>
        <w:tc>
          <w:tcPr>
            <w:tcW w:w="6505" w:type="dxa"/>
            <w:vAlign w:val="center"/>
          </w:tcPr>
          <w:p w14:paraId="417464F6">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outlineLvl w:val="9"/>
              <w:rPr>
                <w:rFonts w:hint="eastAsia" w:ascii="宋体" w:hAnsi="宋体" w:eastAsia="宋体" w:cs="宋体"/>
                <w:b w:val="0"/>
                <w:bCs w:val="0"/>
                <w:snapToGrid/>
                <w:color w:val="auto"/>
                <w:kern w:val="2"/>
                <w:sz w:val="24"/>
                <w:szCs w:val="24"/>
                <w:highlight w:val="yellow"/>
                <w:lang w:val="en-US" w:eastAsia="zh-CN" w:bidi="ar-SA"/>
              </w:rPr>
            </w:pPr>
            <w:r>
              <w:rPr>
                <w:rFonts w:hint="eastAsia" w:ascii="宋体" w:hAnsi="宋体" w:eastAsia="宋体" w:cs="宋体"/>
                <w:b w:val="0"/>
                <w:bCs w:val="0"/>
                <w:snapToGrid/>
                <w:color w:val="auto"/>
                <w:kern w:val="2"/>
                <w:sz w:val="24"/>
                <w:szCs w:val="24"/>
                <w:highlight w:val="yellow"/>
                <w:lang w:val="en-US" w:eastAsia="zh-CN" w:bidi="ar-SA"/>
              </w:rPr>
              <w:t>负责对所有菜品</w:t>
            </w:r>
            <w:r>
              <w:rPr>
                <w:rFonts w:hint="eastAsia" w:ascii="宋体" w:hAnsi="宋体" w:cs="宋体"/>
                <w:b w:val="0"/>
                <w:bCs w:val="0"/>
                <w:snapToGrid/>
                <w:color w:val="auto"/>
                <w:kern w:val="2"/>
                <w:sz w:val="24"/>
                <w:szCs w:val="24"/>
                <w:highlight w:val="yellow"/>
                <w:lang w:val="en-US" w:eastAsia="zh-CN" w:bidi="ar-SA"/>
              </w:rPr>
              <w:t>、</w:t>
            </w:r>
            <w:r>
              <w:rPr>
                <w:rFonts w:hint="eastAsia" w:ascii="宋体" w:hAnsi="宋体" w:eastAsia="宋体" w:cs="宋体"/>
                <w:b w:val="0"/>
                <w:bCs w:val="0"/>
                <w:snapToGrid/>
                <w:color w:val="auto"/>
                <w:kern w:val="2"/>
                <w:sz w:val="24"/>
                <w:szCs w:val="24"/>
                <w:highlight w:val="yellow"/>
                <w:lang w:val="en-US" w:eastAsia="zh-CN" w:bidi="ar-SA"/>
              </w:rPr>
              <w:t>餐具清洗及食堂相关卫生和消杀工作，</w:t>
            </w:r>
            <w:r>
              <w:rPr>
                <w:rFonts w:hint="eastAsia" w:ascii="宋体" w:hAnsi="宋体" w:cs="宋体"/>
                <w:b w:val="0"/>
                <w:bCs w:val="0"/>
                <w:snapToGrid/>
                <w:color w:val="auto"/>
                <w:kern w:val="2"/>
                <w:sz w:val="24"/>
                <w:szCs w:val="24"/>
                <w:highlight w:val="yellow"/>
                <w:lang w:val="en-US" w:eastAsia="zh-CN" w:bidi="ar-SA"/>
              </w:rPr>
              <w:t>服</w:t>
            </w:r>
            <w:r>
              <w:rPr>
                <w:rFonts w:hint="eastAsia" w:ascii="宋体" w:hAnsi="宋体" w:eastAsia="宋体" w:cs="宋体"/>
                <w:b w:val="0"/>
                <w:bCs w:val="0"/>
                <w:snapToGrid/>
                <w:color w:val="auto"/>
                <w:kern w:val="2"/>
                <w:sz w:val="24"/>
                <w:szCs w:val="24"/>
                <w:highlight w:val="yellow"/>
                <w:lang w:val="en-US" w:eastAsia="zh-CN" w:bidi="ar-SA"/>
              </w:rPr>
              <w:t>从</w:t>
            </w:r>
            <w:r>
              <w:rPr>
                <w:rFonts w:hint="eastAsia" w:ascii="宋体" w:hAnsi="宋体" w:cs="宋体"/>
                <w:b w:val="0"/>
                <w:bCs w:val="0"/>
                <w:snapToGrid/>
                <w:color w:val="auto"/>
                <w:kern w:val="2"/>
                <w:sz w:val="24"/>
                <w:szCs w:val="24"/>
                <w:highlight w:val="yellow"/>
                <w:lang w:val="en-US" w:eastAsia="zh-CN" w:bidi="ar-SA"/>
              </w:rPr>
              <w:t>主厨工作</w:t>
            </w:r>
            <w:r>
              <w:rPr>
                <w:rFonts w:hint="eastAsia" w:ascii="宋体" w:hAnsi="宋体" w:eastAsia="宋体" w:cs="宋体"/>
                <w:b w:val="0"/>
                <w:bCs w:val="0"/>
                <w:snapToGrid/>
                <w:color w:val="auto"/>
                <w:kern w:val="2"/>
                <w:sz w:val="24"/>
                <w:szCs w:val="24"/>
                <w:highlight w:val="yellow"/>
                <w:lang w:val="en-US" w:eastAsia="zh-CN" w:bidi="ar-SA"/>
              </w:rPr>
              <w:t>安排。</w:t>
            </w:r>
          </w:p>
        </w:tc>
      </w:tr>
    </w:tbl>
    <w:p w14:paraId="207D291C">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③服务要求</w:t>
      </w:r>
    </w:p>
    <w:p w14:paraId="7D7649C5">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依据《中华人民共和国食品安全法》和政府有关食品安全规定合法经营管理，严格遵守采购人管理规章制度和作息制度；供应商须严守采购人重要机密，维护采购人权益，服从采购人调度安排。</w:t>
      </w:r>
    </w:p>
    <w:p w14:paraId="74D4862F">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应加强文明生产，负责对员工职业道德和技术的学习培训，提高员工整体素质及服务意识；按合同约定的服务质量标准严格进行管理服务。成交供应商工作人员不得以任何形式将食堂物品及饭菜带出食堂，一经发现</w:t>
      </w:r>
      <w:r>
        <w:rPr>
          <w:rFonts w:hint="eastAsia" w:ascii="宋体" w:hAnsi="宋体" w:eastAsia="宋体" w:cs="宋体"/>
          <w:b/>
          <w:bCs/>
          <w:i w:val="0"/>
          <w:iCs w:val="0"/>
          <w:color w:val="000000"/>
          <w:kern w:val="0"/>
          <w:sz w:val="24"/>
          <w:szCs w:val="24"/>
          <w:highlight w:val="none"/>
          <w:u w:val="none"/>
          <w:lang w:val="en-US" w:eastAsia="zh-CN" w:bidi="ar"/>
        </w:rPr>
        <w:t>占用公家财物的处150元/次罚款</w:t>
      </w: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w:t>
      </w:r>
    </w:p>
    <w:p w14:paraId="30F4961A">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严格按照《食品卫生法》和《食品安全法》要求，为采购人提供优质的供餐服务。</w:t>
      </w:r>
    </w:p>
    <w:p w14:paraId="6F861FEC">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用餐时间：</w:t>
      </w:r>
      <w:r>
        <w:rPr>
          <w:rFonts w:hint="eastAsia" w:hAnsi="宋体" w:eastAsia="宋体" w:cs="宋体"/>
          <w:b w:val="0"/>
          <w:bCs w:val="0"/>
          <w:snapToGrid/>
          <w:color w:val="auto"/>
          <w:kern w:val="2"/>
          <w:sz w:val="24"/>
          <w:szCs w:val="24"/>
          <w:highlight w:val="none"/>
          <w:lang w:val="en-US" w:eastAsia="zh-CN" w:bidi="ar-SA"/>
        </w:rPr>
        <w:t>周一至周日</w:t>
      </w:r>
      <w:r>
        <w:rPr>
          <w:rFonts w:hint="eastAsia" w:ascii="宋体" w:hAnsi="宋体" w:eastAsia="宋体" w:cs="宋体"/>
          <w:b w:val="0"/>
          <w:bCs w:val="0"/>
          <w:snapToGrid/>
          <w:color w:val="auto"/>
          <w:kern w:val="2"/>
          <w:sz w:val="24"/>
          <w:szCs w:val="24"/>
          <w:highlight w:val="none"/>
          <w:lang w:val="en-US" w:eastAsia="zh-CN" w:bidi="ar-SA"/>
        </w:rPr>
        <w:t>早餐7:30-</w:t>
      </w:r>
      <w:r>
        <w:rPr>
          <w:rFonts w:hint="eastAsia" w:hAnsi="宋体" w:eastAsia="宋体" w:cs="宋体"/>
          <w:b w:val="0"/>
          <w:bCs w:val="0"/>
          <w:snapToGrid/>
          <w:color w:val="auto"/>
          <w:kern w:val="2"/>
          <w:sz w:val="24"/>
          <w:szCs w:val="24"/>
          <w:highlight w:val="none"/>
          <w:lang w:val="en-US" w:eastAsia="zh-CN" w:bidi="ar-SA"/>
        </w:rPr>
        <w:t>9</w:t>
      </w:r>
      <w:r>
        <w:rPr>
          <w:rFonts w:hint="eastAsia" w:ascii="宋体" w:hAnsi="宋体" w:eastAsia="宋体" w:cs="宋体"/>
          <w:b w:val="0"/>
          <w:bCs w:val="0"/>
          <w:snapToGrid/>
          <w:color w:val="auto"/>
          <w:kern w:val="2"/>
          <w:sz w:val="24"/>
          <w:szCs w:val="24"/>
          <w:highlight w:val="none"/>
          <w:lang w:val="en-US" w:eastAsia="zh-CN" w:bidi="ar-SA"/>
        </w:rPr>
        <w:t>:00；中餐12:00-13:00；晚餐17:30-19:00</w:t>
      </w:r>
      <w:r>
        <w:rPr>
          <w:rFonts w:hint="eastAsia" w:ascii="宋体" w:hAnsi="宋体" w:cs="宋体"/>
          <w:b w:val="0"/>
          <w:bCs w:val="0"/>
          <w:snapToGrid/>
          <w:color w:val="auto"/>
          <w:kern w:val="2"/>
          <w:sz w:val="24"/>
          <w:szCs w:val="24"/>
          <w:highlight w:val="none"/>
          <w:lang w:val="en-US" w:eastAsia="zh-CN" w:bidi="ar-SA"/>
        </w:rPr>
        <w:t>，</w:t>
      </w:r>
      <w:r>
        <w:rPr>
          <w:rFonts w:hint="eastAsia" w:ascii="宋体" w:hAnsi="宋体" w:eastAsia="宋体" w:cs="宋体"/>
          <w:b w:val="0"/>
          <w:bCs w:val="0"/>
          <w:snapToGrid/>
          <w:color w:val="auto"/>
          <w:kern w:val="2"/>
          <w:sz w:val="24"/>
          <w:szCs w:val="24"/>
          <w:highlight w:val="none"/>
          <w:lang w:val="en-US" w:eastAsia="zh-CN" w:bidi="ar-SA"/>
        </w:rPr>
        <w:t>根据采购人要求无条件</w:t>
      </w:r>
      <w:r>
        <w:rPr>
          <w:rFonts w:hint="eastAsia" w:ascii="宋体" w:hAnsi="宋体" w:cs="宋体"/>
          <w:b w:val="0"/>
          <w:bCs w:val="0"/>
          <w:snapToGrid/>
          <w:color w:val="auto"/>
          <w:kern w:val="2"/>
          <w:sz w:val="24"/>
          <w:szCs w:val="24"/>
          <w:highlight w:val="none"/>
          <w:lang w:val="en-US" w:eastAsia="zh-CN" w:bidi="ar-SA"/>
        </w:rPr>
        <w:t>制作</w:t>
      </w:r>
      <w:r>
        <w:rPr>
          <w:rFonts w:hint="eastAsia" w:ascii="宋体" w:hAnsi="宋体" w:eastAsia="宋体" w:cs="宋体"/>
          <w:b w:val="0"/>
          <w:bCs w:val="0"/>
          <w:snapToGrid/>
          <w:color w:val="auto"/>
          <w:kern w:val="2"/>
          <w:sz w:val="24"/>
          <w:szCs w:val="24"/>
          <w:highlight w:val="none"/>
          <w:lang w:val="en-US" w:eastAsia="zh-CN" w:bidi="ar-SA"/>
        </w:rPr>
        <w:t>加班餐。</w:t>
      </w:r>
    </w:p>
    <w:p w14:paraId="61A6154C">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接待用餐时间：根据接待实际情况而定。</w:t>
      </w:r>
    </w:p>
    <w:p w14:paraId="5AB1D778">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随时响应采购人节假日加班用餐需求。</w:t>
      </w:r>
    </w:p>
    <w:p w14:paraId="77908924">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须无条件为采购人提供公务、商务等接待用餐服务。</w:t>
      </w:r>
    </w:p>
    <w:p w14:paraId="0702BA61">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工作期间发生的工作纠纷，由成交供应商负责；员工必须礼貌待人，文明服务，优质服务；不得以任何理由与职工顶撞、吵闹或打架，一经发现除罚款外，情节严重的立即辞退。</w:t>
      </w:r>
    </w:p>
    <w:p w14:paraId="35078A6C">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须严</w:t>
      </w:r>
      <w:r>
        <w:rPr>
          <w:rFonts w:hint="eastAsia" w:ascii="宋体" w:hAnsi="宋体" w:cs="宋体"/>
          <w:b w:val="0"/>
          <w:bCs w:val="0"/>
          <w:snapToGrid/>
          <w:color w:val="000000" w:themeColor="text1"/>
          <w:kern w:val="2"/>
          <w:sz w:val="24"/>
          <w:szCs w:val="24"/>
          <w:highlight w:val="none"/>
          <w:lang w:val="en-US" w:eastAsia="zh-CN" w:bidi="ar-SA"/>
          <w14:textFill>
            <w14:solidFill>
              <w14:schemeClr w14:val="tx1"/>
            </w14:solidFill>
          </w14:textFill>
        </w:rPr>
        <w:t>格</w:t>
      </w: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把</w:t>
      </w:r>
      <w:r>
        <w:rPr>
          <w:rFonts w:hint="eastAsia" w:ascii="宋体" w:hAnsi="宋体" w:cs="宋体"/>
          <w:b w:val="0"/>
          <w:bCs w:val="0"/>
          <w:snapToGrid/>
          <w:color w:val="000000" w:themeColor="text1"/>
          <w:kern w:val="2"/>
          <w:sz w:val="24"/>
          <w:szCs w:val="24"/>
          <w:highlight w:val="none"/>
          <w:lang w:val="en-US" w:eastAsia="zh-CN" w:bidi="ar-SA"/>
          <w14:textFill>
            <w14:solidFill>
              <w14:schemeClr w14:val="tx1"/>
            </w14:solidFill>
          </w14:textFill>
        </w:rPr>
        <w:t>关</w:t>
      </w: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人员进入，对有犯罪前科、犯罪倾向及可能严重危及双方权益的人员坚决不予录用，如录用后如发现有上述情形存在的人员，必须立即辞退，由此产生的一起后果由成交供应商承担。</w:t>
      </w:r>
    </w:p>
    <w:p w14:paraId="55DF017B">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必须接受和配合采购人监管工作人员对经营活动的检查和监督，听取采购人的意见和建议并加以改进。</w:t>
      </w:r>
    </w:p>
    <w:p w14:paraId="36DAA245">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成交供应商必须根据《</w:t>
      </w:r>
      <w:r>
        <w:rPr>
          <w:rFonts w:hint="eastAsia" w:ascii="宋体" w:hAnsi="宋体" w:cs="宋体"/>
          <w:b w:val="0"/>
          <w:bCs w:val="0"/>
          <w:snapToGrid/>
          <w:color w:val="000000" w:themeColor="text1"/>
          <w:kern w:val="2"/>
          <w:sz w:val="24"/>
          <w:szCs w:val="24"/>
          <w:highlight w:val="none"/>
          <w:lang w:val="en-US" w:eastAsia="zh-CN" w:bidi="ar-SA"/>
          <w14:textFill>
            <w14:solidFill>
              <w14:schemeClr w14:val="tx1"/>
            </w14:solidFill>
          </w14:textFill>
        </w:rPr>
        <w:t>中华人民共和国民法典</w:t>
      </w: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相关规定与员工签订正式的劳动合同，并办理养老、医疗、工伤保险等五险,并给予工作人员缴纳人身意外伤害保险，相应的劳动合同及保险凭证供应商应交复印件给采购人备案，成交供应商工作人员工作时应遵守相关操作规范，注意人身安全，成交供应商工作人员在工作期间发生的意外事故及人身伤亡，均由成交供应商负全责。</w:t>
      </w:r>
    </w:p>
    <w:p w14:paraId="3781514E">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根据采购人实际用餐管理规定提供相应的服务，人员管理及工作安排由成交供应商负责。</w:t>
      </w:r>
    </w:p>
    <w:p w14:paraId="2CB46D42">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必须遵守国家规定的卫生管理条例，严格执行《食品卫生法》，保持餐具、用餐区、厨房的卫生；餐具要勤擦洗、勤消毒，做到无毒无菌，餐碗洗净后必须放进消毒柜高温消毒，冰箱、碗柜要经常清洗。用餐区和厨房要勤打扫、勤清洗，无“四害”、无垃圾死角。</w:t>
      </w:r>
    </w:p>
    <w:p w14:paraId="108AD4E9">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成交供应商人员须持从业人员健康证上岗，上岗前必须进行健康体检(参照公务员录取人员体检标准)，健康证及体检结果交采购人备案。食堂工作人员每年要进行一次健康检查，凡患有传染病或其它有碍食品卫生疾病的人员不得继续从事食堂工作，当日患有重感冒、剧烈咳嗽等易传染病症的不得上岗，工作人员还要做好个人卫生，勤洗手、剪指甲，不用手直接拿熟食。工作期间需穿戴整洁的工作服、工作帽并将头发置于帽内，挂牌上岗，注意个人仪容仪表，操作时禁止吸烟、挖鼻孔等不卫生行为。</w:t>
      </w:r>
    </w:p>
    <w:p w14:paraId="2732C368">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应加强食品安全意识，负责对采购人采购食品进行合格验收，做好出入库台账。杜绝使用三无食品、过期变质食品和有毒食品，所加工的食品和原材料保证品质和新鲜。对所采购的不合格食品，应及时发现并禁止使用。如因未及时发现并使用不合格食品造成的食物中毒事故，由成交供应商负全责。</w:t>
      </w:r>
    </w:p>
    <w:p w14:paraId="4229F0CB">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保证按时开餐，做到色、香、味俱全之菜式供应，平均分配及就餐全过程各种服务；若因成交供应商未按时开餐而影响正常工作而造成的损失由成交供应商负责(采购人保障水电供应)。</w:t>
      </w:r>
    </w:p>
    <w:p w14:paraId="62B3494B">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必须严格操作规程，爱护使用采购人设备，如因成交供应商人员操作不当导致的设备损坏，由成交供应商自行承担维修费及更换费。</w:t>
      </w:r>
    </w:p>
    <w:p w14:paraId="23BE44A4">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严格落实成本费用的监督与考核制度，努力控制好成本，严禁浪费现象。每月安排研究新品，定期上架新品菜色。</w:t>
      </w:r>
    </w:p>
    <w:p w14:paraId="6CBEFBA1">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须做好每餐所有菜肴的留样工作，留样份量每样不少于100克，时间应不少于48小时，并做好留样记录。</w:t>
      </w:r>
    </w:p>
    <w:p w14:paraId="628AE7AD">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成交供应商管理人员应根据采购人要求，在前一天晚上17:00之前把第二天所需的菜品品种和数量报给采购人采购员。如当日点单，成交供应商管理人员应及时报单请购。</w:t>
      </w:r>
    </w:p>
    <w:p w14:paraId="6D194809">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采购人有对成交供应商的管理提出建议或改进意见，对服务质量进行监督的权利。</w:t>
      </w:r>
    </w:p>
    <w:p w14:paraId="05BE998E">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采购人协助支持成交供应商的管理服务工作，并指派专员进行工作协调，并协助成交供应商维持食堂治安秩序。</w:t>
      </w:r>
    </w:p>
    <w:p w14:paraId="39AA4F1F">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采购人对成交供应商厨房卫生、食品质量、份量、供应时间以及浪费情况进行监督。</w:t>
      </w:r>
    </w:p>
    <w:p w14:paraId="20B176BE">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采购人向成交供应商提供现有厨房场地、厨具用品等设施设备，成交供应商可根据实际需求建议对厨具、厨房及餐厅设备设施等固定资产进行增补。合同终止后，成交供应商应将采购人提供的厨具、厨房及餐厅设备设施等固定资产交付给采购人，如有损坏由成交供应商负责修复，不能修复的折价赔偿(正常损耗除外)。</w:t>
      </w:r>
    </w:p>
    <w:p w14:paraId="60EEB06E">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采购人承担食堂正常运转使用的燃料、水、电费；成交供应商必须严格遵守节能降耗的各项规定。</w:t>
      </w:r>
    </w:p>
    <w:p w14:paraId="78664436">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采购人负责提供厨房场地，并负责提供厨房的卫生许可证；成交供应商可根据自我设计提供建议给采购人完善其功能及设备。</w:t>
      </w:r>
    </w:p>
    <w:p w14:paraId="3CCD12DC">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采购人负责对下水道维护与修补，并负责厨具设备的维修及维护，水电维修；因成交供应商人员操作不当导致的设备损坏，由成交供应商自行承担维修费及更换费。</w:t>
      </w:r>
    </w:p>
    <w:p w14:paraId="74FA2E5F">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食堂原材料由采购人负责采购，采购员根据成交供应商给的品种和数量进行采购，货到食堂，需双方派人称重入库，若存在质量和数量问题需在未入库之前及时解决，入库后食品出现问题由成交供应商自行承担。</w:t>
      </w:r>
    </w:p>
    <w:p w14:paraId="65F7E416">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default"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采购人对菜品口味不满意，有权要求供应商随时更换厨师。</w:t>
      </w:r>
    </w:p>
    <w:p w14:paraId="371F2F53">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④伙食质量要求</w:t>
      </w:r>
    </w:p>
    <w:p w14:paraId="4A81328B">
      <w:pPr>
        <w:pStyle w:val="11"/>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早餐品种：面点、粥类、蛋类</w:t>
      </w:r>
      <w:r>
        <w:rPr>
          <w:rFonts w:hint="eastAsia" w:ascii="宋体" w:hAnsi="宋体" w:cs="宋体"/>
          <w:b w:val="0"/>
          <w:bCs w:val="0"/>
          <w:snapToGrid/>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饮品、粉面类2种、主食1种</w:t>
      </w:r>
      <w:r>
        <w:rPr>
          <w:rFonts w:hint="eastAsia" w:ascii="宋体" w:hAnsi="宋体" w:cs="宋体"/>
          <w:b w:val="0"/>
          <w:bCs w:val="0"/>
          <w:snapToGrid/>
          <w:color w:val="000000" w:themeColor="text1"/>
          <w:kern w:val="2"/>
          <w:sz w:val="24"/>
          <w:szCs w:val="24"/>
          <w:highlight w:val="none"/>
          <w:lang w:val="en-US" w:eastAsia="zh-CN" w:bidi="ar-SA"/>
          <w14:textFill>
            <w14:solidFill>
              <w14:schemeClr w14:val="tx1"/>
            </w14:solidFill>
          </w14:textFill>
        </w:rPr>
        <w:t>等，根据实际情况进行安排</w:t>
      </w: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w:t>
      </w:r>
    </w:p>
    <w:p w14:paraId="60DF135B">
      <w:pPr>
        <w:pStyle w:val="11"/>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午</w:t>
      </w:r>
      <w:r>
        <w:rPr>
          <w:rFonts w:hint="eastAsia" w:ascii="宋体" w:hAnsi="宋体" w:cs="宋体"/>
          <w:b w:val="0"/>
          <w:bCs w:val="0"/>
          <w:snapToGrid/>
          <w:color w:val="auto"/>
          <w:kern w:val="2"/>
          <w:sz w:val="24"/>
          <w:szCs w:val="24"/>
          <w:highlight w:val="none"/>
          <w:lang w:val="en-US" w:eastAsia="zh-CN" w:bidi="ar-SA"/>
        </w:rPr>
        <w:t>、</w:t>
      </w: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搭配要求不低于</w:t>
      </w:r>
      <w:r>
        <w:rPr>
          <w:rFonts w:hint="eastAsia" w:hAnsi="宋体" w:cs="宋体"/>
          <w:b w:val="0"/>
          <w:bCs w:val="0"/>
          <w:snapToGrid/>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个品种，其中荤菜</w:t>
      </w:r>
      <w:r>
        <w:rPr>
          <w:rFonts w:hint="eastAsia" w:hAnsi="宋体" w:cs="宋体"/>
          <w:b w:val="0"/>
          <w:bCs w:val="0"/>
          <w:snapToGrid/>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个、花荤2个、蔬菜</w:t>
      </w:r>
      <w:r>
        <w:rPr>
          <w:rFonts w:hint="eastAsia" w:hAnsi="宋体" w:cs="宋体"/>
          <w:b w:val="0"/>
          <w:bCs w:val="0"/>
          <w:snapToGrid/>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个、例汤1个</w:t>
      </w:r>
      <w:r>
        <w:rPr>
          <w:rFonts w:hint="eastAsia"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b w:val="0"/>
          <w:bCs w:val="0"/>
          <w:snapToGrid/>
          <w:color w:val="auto"/>
          <w:kern w:val="2"/>
          <w:sz w:val="24"/>
          <w:szCs w:val="24"/>
          <w:highlight w:val="none"/>
          <w:lang w:val="en-US" w:eastAsia="zh-CN" w:bidi="ar-SA"/>
        </w:rPr>
        <w:t>晚</w:t>
      </w: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餐：餐饮搭配要求不低于</w:t>
      </w:r>
      <w:r>
        <w:rPr>
          <w:rFonts w:hint="eastAsia" w:ascii="宋体" w:hAnsi="宋体" w:cs="宋体"/>
          <w:b w:val="0"/>
          <w:bCs w:val="0"/>
          <w:snapToGrid/>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个品种，其中荤菜</w:t>
      </w:r>
      <w:r>
        <w:rPr>
          <w:rFonts w:hint="eastAsia" w:ascii="宋体" w:hAnsi="宋体" w:cs="宋体"/>
          <w:b w:val="0"/>
          <w:bCs w:val="0"/>
          <w:snapToGrid/>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个、花荤2个、蔬菜</w:t>
      </w:r>
      <w:r>
        <w:rPr>
          <w:rFonts w:hint="eastAsia" w:ascii="宋体" w:hAnsi="宋体" w:cs="宋体"/>
          <w:b w:val="0"/>
          <w:bCs w:val="0"/>
          <w:snapToGrid/>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个、例汤1个。</w:t>
      </w:r>
    </w:p>
    <w:p w14:paraId="687E9327">
      <w:pPr>
        <w:pStyle w:val="11"/>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食堂每周要制作和公布当周菜谱，食物品种多样化搭配，花样翻新，要兼顾营养和可口，每周五要制作面点和卤菜供采购人员工食用，菜品2周内不得重样，每月最少推出1-2个新式菜品。</w:t>
      </w:r>
    </w:p>
    <w:p w14:paraId="79582587">
      <w:pPr>
        <w:pStyle w:val="11"/>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接待餐要做好多套菜谱，色香味俱全，能提供多种加工方式，符合各种口味需求。</w:t>
      </w:r>
    </w:p>
    <w:p w14:paraId="7A1D8556">
      <w:pPr>
        <w:pStyle w:val="11"/>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烹调菜肴时，肉鱼豆类菜肴做到烧熟煮透；食物不油腻，食盐等调料尽量降低使用量。</w:t>
      </w:r>
    </w:p>
    <w:p w14:paraId="205DE4DA">
      <w:pPr>
        <w:pStyle w:val="11"/>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认真做好各类接待服务工作，确保接待服务的高水平。</w:t>
      </w:r>
    </w:p>
    <w:p w14:paraId="265ADA66">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⑤管理要求</w:t>
      </w:r>
    </w:p>
    <w:p w14:paraId="17197E73">
      <w:pPr>
        <w:pStyle w:val="11"/>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食品卫生安全</w:t>
      </w:r>
    </w:p>
    <w:p w14:paraId="6053B02F">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(1)遵守国家、行业关于食品卫生安全的相关法律、法规，确保饮食安全；因食品安全问题造成的一切后果由承包商负责，并根据相关法律法规进行处罚及赔偿。</w:t>
      </w:r>
    </w:p>
    <w:p w14:paraId="776205C4">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(2)食品加工和销售：食品加工设备、布局和工艺流程须符合卫生要求，有与产品品种、数量相适应的食品原料处理、加工、包装、贮存等厂房或场所。</w:t>
      </w:r>
    </w:p>
    <w:p w14:paraId="49E06492">
      <w:pPr>
        <w:pStyle w:val="11"/>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生产安全</w:t>
      </w:r>
    </w:p>
    <w:p w14:paraId="45EF97AA">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(1)安全无隐患，操作规范，确保安全生产无事故。</w:t>
      </w:r>
    </w:p>
    <w:p w14:paraId="4BCDA497">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(2)加强食堂设备管理，无设备带病运转现象。加强食堂防火、防盗、防毒防范工作；做好食堂电器、设备、液化汽、蒸汽等的使用管理。保证安全生产。因餐饮承包商管理不善造成的一切后果及相应赔偿由承包商自行负责。</w:t>
      </w:r>
    </w:p>
    <w:p w14:paraId="6FE3463F">
      <w:pPr>
        <w:pStyle w:val="11"/>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人员服务规范</w:t>
      </w:r>
    </w:p>
    <w:p w14:paraId="474AD6D5">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言语文明，行为规范，搞好个人卫生，按规定穿戴工作服帽、口罩，服务时不与任何人员发生争执，不带情绪上班，严禁私自动用别人财物。节约水电燃料，不随意浪费。感谢职工提出的意见，如需要改进或上报的，及时改进或上报。</w:t>
      </w:r>
    </w:p>
    <w:p w14:paraId="64384ED6">
      <w:pPr>
        <w:pStyle w:val="11"/>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就餐环境、餐具清洁、卫生餐厅应整洁无积尘、蛛网、无积水杂物，无蚊蝇、老鼠、蟑螂孳生地；餐桌椅清洁卫生、及时清理垃圾；餐具一餐一消毒等；餐厅卫生做到周小清月大清。根据采购人要求餐具不定期送检，不合格造成的一切后果均由承包商负责，并进行处罚及相应赔偿。</w:t>
      </w:r>
    </w:p>
    <w:p w14:paraId="23F8BD75">
      <w:pPr>
        <w:pStyle w:val="11"/>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营养：荤素、主副食搭配合理、营养均衡，倡导健康饮食。</w:t>
      </w:r>
    </w:p>
    <w:p w14:paraId="68D67833">
      <w:pPr>
        <w:pStyle w:val="11"/>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供餐品种齐全，供餐及时，注重花色调剂。</w:t>
      </w:r>
    </w:p>
    <w:p w14:paraId="471A523D">
      <w:pPr>
        <w:pStyle w:val="11"/>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质量优良，均衡无差异。科学合理、妥善使用餐厅，爱护餐厅设备及器具，节约能源。</w:t>
      </w:r>
    </w:p>
    <w:p w14:paraId="33E4233A">
      <w:pPr>
        <w:widowControl w:val="0"/>
        <w:spacing w:before="78" w:line="219" w:lineRule="auto"/>
        <w:rPr>
          <w:rFonts w:hint="eastAsia" w:ascii="宋体" w:hAnsi="宋体" w:eastAsia="宋体" w:cs="宋体"/>
          <w:b/>
          <w:bCs/>
          <w:color w:val="auto"/>
          <w:spacing w:val="-5"/>
          <w:sz w:val="32"/>
          <w:szCs w:val="32"/>
          <w:highlight w:val="none"/>
          <w:lang w:val="en-US" w:eastAsia="zh-CN"/>
        </w:rPr>
      </w:pPr>
    </w:p>
    <w:p w14:paraId="167D1A5B">
      <w:pPr>
        <w:widowControl w:val="0"/>
        <w:spacing w:before="78" w:line="219" w:lineRule="auto"/>
        <w:rPr>
          <w:rFonts w:hint="eastAsia" w:ascii="宋体" w:hAnsi="宋体" w:eastAsia="宋体" w:cs="宋体"/>
          <w:b/>
          <w:bCs/>
          <w:color w:val="auto"/>
          <w:spacing w:val="-5"/>
          <w:sz w:val="32"/>
          <w:szCs w:val="32"/>
          <w:highlight w:val="none"/>
          <w:lang w:val="en-US" w:eastAsia="zh-CN"/>
        </w:rPr>
      </w:pPr>
    </w:p>
    <w:p w14:paraId="7376271D">
      <w:pPr>
        <w:widowControl w:val="0"/>
        <w:spacing w:before="78" w:line="219" w:lineRule="auto"/>
        <w:rPr>
          <w:rFonts w:hint="eastAsia" w:ascii="宋体" w:hAnsi="宋体" w:eastAsia="宋体" w:cs="宋体"/>
          <w:b/>
          <w:bCs/>
          <w:color w:val="auto"/>
          <w:spacing w:val="-5"/>
          <w:sz w:val="32"/>
          <w:szCs w:val="32"/>
          <w:highlight w:val="none"/>
          <w:lang w:val="en-US" w:eastAsia="zh-CN"/>
        </w:rPr>
      </w:pPr>
    </w:p>
    <w:p w14:paraId="38FD6464">
      <w:pPr>
        <w:widowControl w:val="0"/>
        <w:spacing w:before="78" w:line="219" w:lineRule="auto"/>
        <w:rPr>
          <w:rFonts w:hint="eastAsia" w:ascii="宋体" w:hAnsi="宋体" w:eastAsia="宋体" w:cs="宋体"/>
          <w:b/>
          <w:bCs/>
          <w:color w:val="auto"/>
          <w:spacing w:val="-5"/>
          <w:sz w:val="32"/>
          <w:szCs w:val="32"/>
          <w:highlight w:val="none"/>
          <w:lang w:val="en-US" w:eastAsia="zh-CN"/>
        </w:rPr>
      </w:pPr>
    </w:p>
    <w:p w14:paraId="65F3E07D">
      <w:pPr>
        <w:widowControl w:val="0"/>
        <w:spacing w:before="78" w:line="219" w:lineRule="auto"/>
        <w:rPr>
          <w:rFonts w:hint="eastAsia" w:ascii="宋体" w:hAnsi="宋体" w:eastAsia="宋体" w:cs="宋体"/>
          <w:b/>
          <w:bCs/>
          <w:color w:val="auto"/>
          <w:spacing w:val="-5"/>
          <w:sz w:val="32"/>
          <w:szCs w:val="32"/>
          <w:highlight w:val="none"/>
          <w:lang w:val="en-US" w:eastAsia="zh-CN"/>
        </w:rPr>
      </w:pPr>
    </w:p>
    <w:p w14:paraId="4E73EEB9">
      <w:pPr>
        <w:widowControl w:val="0"/>
        <w:spacing w:before="78" w:line="219" w:lineRule="auto"/>
        <w:rPr>
          <w:rFonts w:hint="eastAsia" w:ascii="宋体" w:hAnsi="宋体" w:eastAsia="宋体" w:cs="宋体"/>
          <w:b/>
          <w:bCs/>
          <w:color w:val="auto"/>
          <w:spacing w:val="-5"/>
          <w:sz w:val="32"/>
          <w:szCs w:val="32"/>
          <w:highlight w:val="none"/>
          <w:lang w:val="en-US" w:eastAsia="zh-CN"/>
        </w:rPr>
      </w:pPr>
    </w:p>
    <w:p w14:paraId="23063B96">
      <w:pPr>
        <w:widowControl w:val="0"/>
        <w:spacing w:before="78" w:line="219" w:lineRule="auto"/>
        <w:rPr>
          <w:rFonts w:hint="eastAsia" w:ascii="宋体" w:hAnsi="宋体" w:eastAsia="宋体" w:cs="宋体"/>
          <w:b/>
          <w:bCs/>
          <w:color w:val="auto"/>
          <w:spacing w:val="-5"/>
          <w:sz w:val="32"/>
          <w:szCs w:val="32"/>
          <w:highlight w:val="none"/>
          <w:lang w:val="en-US" w:eastAsia="zh-CN"/>
        </w:rPr>
      </w:pPr>
    </w:p>
    <w:p w14:paraId="43270021">
      <w:pPr>
        <w:widowControl w:val="0"/>
        <w:spacing w:before="78" w:line="219" w:lineRule="auto"/>
        <w:rPr>
          <w:rFonts w:hint="eastAsia" w:ascii="宋体" w:hAnsi="宋体" w:eastAsia="宋体" w:cs="宋体"/>
          <w:b/>
          <w:bCs/>
          <w:color w:val="auto"/>
          <w:spacing w:val="-5"/>
          <w:sz w:val="32"/>
          <w:szCs w:val="32"/>
          <w:highlight w:val="none"/>
          <w:lang w:val="en-US" w:eastAsia="zh-CN"/>
        </w:rPr>
      </w:pPr>
    </w:p>
    <w:p w14:paraId="1A0508FC">
      <w:pPr>
        <w:widowControl w:val="0"/>
        <w:spacing w:before="78" w:line="219" w:lineRule="auto"/>
        <w:rPr>
          <w:rFonts w:hint="eastAsia" w:ascii="宋体" w:hAnsi="宋体" w:eastAsia="宋体" w:cs="宋体"/>
          <w:b/>
          <w:bCs/>
          <w:color w:val="auto"/>
          <w:spacing w:val="-5"/>
          <w:sz w:val="32"/>
          <w:szCs w:val="32"/>
          <w:highlight w:val="none"/>
          <w:lang w:val="en-US" w:eastAsia="zh-CN"/>
        </w:rPr>
      </w:pPr>
    </w:p>
    <w:p w14:paraId="7B002CE0">
      <w:pPr>
        <w:widowControl w:val="0"/>
        <w:spacing w:before="78" w:line="219" w:lineRule="auto"/>
        <w:rPr>
          <w:rFonts w:hint="eastAsia" w:ascii="宋体" w:hAnsi="宋体" w:eastAsia="宋体" w:cs="宋体"/>
          <w:b/>
          <w:bCs/>
          <w:color w:val="auto"/>
          <w:spacing w:val="-5"/>
          <w:sz w:val="32"/>
          <w:szCs w:val="32"/>
          <w:highlight w:val="none"/>
          <w:lang w:val="en-US" w:eastAsia="zh-CN"/>
        </w:rPr>
      </w:pPr>
    </w:p>
    <w:p w14:paraId="23DD3561">
      <w:pPr>
        <w:widowControl w:val="0"/>
        <w:spacing w:before="78" w:line="219" w:lineRule="auto"/>
        <w:rPr>
          <w:rFonts w:hint="eastAsia" w:ascii="宋体" w:hAnsi="宋体" w:eastAsia="宋体" w:cs="宋体"/>
          <w:b/>
          <w:bCs/>
          <w:color w:val="auto"/>
          <w:spacing w:val="-5"/>
          <w:sz w:val="32"/>
          <w:szCs w:val="32"/>
          <w:highlight w:val="none"/>
          <w:lang w:val="en-US" w:eastAsia="zh-CN"/>
        </w:rPr>
      </w:pPr>
    </w:p>
    <w:p w14:paraId="17E45D06">
      <w:pPr>
        <w:widowControl w:val="0"/>
        <w:spacing w:before="78" w:line="219" w:lineRule="auto"/>
        <w:rPr>
          <w:rFonts w:hint="eastAsia" w:ascii="宋体" w:hAnsi="宋体" w:eastAsia="宋体" w:cs="宋体"/>
          <w:b/>
          <w:bCs/>
          <w:color w:val="auto"/>
          <w:spacing w:val="-5"/>
          <w:sz w:val="32"/>
          <w:szCs w:val="32"/>
          <w:highlight w:val="none"/>
          <w:lang w:val="en-US" w:eastAsia="zh-CN"/>
        </w:rPr>
      </w:pPr>
    </w:p>
    <w:p w14:paraId="508B402D">
      <w:pPr>
        <w:widowControl w:val="0"/>
        <w:spacing w:before="78" w:line="219" w:lineRule="auto"/>
        <w:rPr>
          <w:rFonts w:hint="eastAsia" w:ascii="宋体" w:hAnsi="宋体" w:eastAsia="宋体" w:cs="宋体"/>
          <w:b/>
          <w:bCs/>
          <w:color w:val="auto"/>
          <w:spacing w:val="-5"/>
          <w:sz w:val="32"/>
          <w:szCs w:val="32"/>
          <w:highlight w:val="none"/>
          <w:lang w:val="en-US" w:eastAsia="zh-CN"/>
        </w:rPr>
      </w:pPr>
    </w:p>
    <w:p w14:paraId="14A19265">
      <w:pPr>
        <w:widowControl w:val="0"/>
        <w:spacing w:before="78" w:line="219" w:lineRule="auto"/>
        <w:rPr>
          <w:rFonts w:hint="eastAsia" w:ascii="宋体" w:hAnsi="宋体" w:eastAsia="宋体" w:cs="宋体"/>
          <w:b/>
          <w:bCs/>
          <w:color w:val="auto"/>
          <w:spacing w:val="-5"/>
          <w:sz w:val="32"/>
          <w:szCs w:val="32"/>
          <w:highlight w:val="none"/>
          <w:lang w:val="en-US" w:eastAsia="zh-CN"/>
        </w:rPr>
      </w:pPr>
    </w:p>
    <w:p w14:paraId="591B3ABD">
      <w:pPr>
        <w:widowControl w:val="0"/>
        <w:spacing w:before="78" w:line="219" w:lineRule="auto"/>
        <w:rPr>
          <w:rFonts w:hint="eastAsia" w:ascii="宋体" w:hAnsi="宋体" w:eastAsia="宋体" w:cs="宋体"/>
          <w:b/>
          <w:bCs/>
          <w:color w:val="auto"/>
          <w:spacing w:val="-5"/>
          <w:sz w:val="32"/>
          <w:szCs w:val="32"/>
          <w:highlight w:val="none"/>
          <w:lang w:val="en-US" w:eastAsia="zh-CN"/>
        </w:rPr>
      </w:pPr>
    </w:p>
    <w:p w14:paraId="5F1A43E0">
      <w:pPr>
        <w:widowControl w:val="0"/>
        <w:spacing w:before="78" w:line="219" w:lineRule="auto"/>
        <w:rPr>
          <w:rFonts w:hint="eastAsia" w:ascii="宋体" w:hAnsi="宋体" w:eastAsia="宋体" w:cs="宋体"/>
          <w:b/>
          <w:bCs/>
          <w:color w:val="auto"/>
          <w:spacing w:val="-5"/>
          <w:sz w:val="32"/>
          <w:szCs w:val="32"/>
          <w:highlight w:val="none"/>
          <w:lang w:val="en-US" w:eastAsia="zh-CN"/>
        </w:rPr>
      </w:pPr>
    </w:p>
    <w:p w14:paraId="45C3C0E6">
      <w:pPr>
        <w:widowControl w:val="0"/>
        <w:spacing w:before="78" w:line="219" w:lineRule="auto"/>
        <w:rPr>
          <w:rFonts w:hint="eastAsia" w:ascii="宋体" w:hAnsi="宋体" w:eastAsia="宋体" w:cs="宋体"/>
          <w:b/>
          <w:bCs/>
          <w:color w:val="auto"/>
          <w:spacing w:val="-5"/>
          <w:sz w:val="32"/>
          <w:szCs w:val="32"/>
          <w:highlight w:val="none"/>
          <w:lang w:val="en-US" w:eastAsia="zh-CN"/>
        </w:rPr>
      </w:pPr>
    </w:p>
    <w:p w14:paraId="327949C7">
      <w:pPr>
        <w:widowControl w:val="0"/>
        <w:numPr>
          <w:ilvl w:val="0"/>
          <w:numId w:val="4"/>
        </w:numPr>
        <w:spacing w:before="78" w:line="219" w:lineRule="auto"/>
        <w:rPr>
          <w:rFonts w:hint="default" w:ascii="宋体" w:hAnsi="宋体" w:eastAsia="宋体" w:cs="宋体"/>
          <w:b/>
          <w:bCs/>
          <w:color w:val="auto"/>
          <w:spacing w:val="-5"/>
          <w:sz w:val="32"/>
          <w:szCs w:val="32"/>
          <w:highlight w:val="none"/>
          <w:lang w:val="en-US" w:eastAsia="zh-CN"/>
        </w:rPr>
      </w:pPr>
      <w:r>
        <w:rPr>
          <w:rFonts w:hint="eastAsia" w:ascii="宋体" w:hAnsi="宋体" w:eastAsia="宋体" w:cs="宋体"/>
          <w:b/>
          <w:bCs/>
          <w:color w:val="auto"/>
          <w:spacing w:val="-5"/>
          <w:sz w:val="32"/>
          <w:szCs w:val="32"/>
          <w:highlight w:val="none"/>
          <w:lang w:val="en-US" w:eastAsia="zh-CN"/>
        </w:rPr>
        <w:t>商务条款</w:t>
      </w:r>
    </w:p>
    <w:p w14:paraId="0DC928D7">
      <w:pPr>
        <w:pStyle w:val="11"/>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bookmarkStart w:id="296" w:name="_Toc21252"/>
      <w:bookmarkStart w:id="297" w:name="_Toc505955294"/>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付款方式：</w:t>
      </w:r>
    </w:p>
    <w:p w14:paraId="4DD40F00">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(1)签订合同后，采购人将按月支付劳务外包服务费给供应商，原则上根据成交供应商实际签订的合同价为结算标准，如采购人所使用劳务人员人数有变动，则按实际人数和劳务费用结算(不能超过采购总价)。</w:t>
      </w:r>
    </w:p>
    <w:p w14:paraId="79B184E0">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(2)上述费用成交供应商在每月15日前向采购人提供符合采购人要求的上月劳务外包服务费的有效发票，采购人审核无误后，在收到发票后10个工作日内完成审核，并按双方最终确认的结算金额支付给成交供应商。</w:t>
      </w:r>
    </w:p>
    <w:p w14:paraId="31F413E1">
      <w:pPr>
        <w:pStyle w:val="11"/>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服务地点：上饶市和济水务有限公司</w:t>
      </w:r>
    </w:p>
    <w:p w14:paraId="3ADB0247">
      <w:pPr>
        <w:pStyle w:val="11"/>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服务期限：本次采购劳务服务采购期限一年(本项目实施</w:t>
      </w:r>
      <w:r>
        <w:rPr>
          <w:rFonts w:hint="eastAsia"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二</w:t>
      </w:r>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个月的试用期，试用期内若不合格，采购人有权终止合同)。服务期间，如遇公司整体搬迁，合同自然终止，成交供应商无条件撤出，以采购人书面通知为准</w:t>
      </w:r>
      <w:r>
        <w:rPr>
          <w:rFonts w:hint="eastAsia" w:ascii="宋体" w:hAnsi="宋体" w:cs="宋体"/>
          <w:b w:val="0"/>
          <w:bCs w:val="0"/>
          <w:snapToGrid/>
          <w:color w:val="000000" w:themeColor="text1"/>
          <w:kern w:val="2"/>
          <w:sz w:val="24"/>
          <w:szCs w:val="24"/>
          <w:highlight w:val="yellow"/>
          <w:lang w:val="en-US" w:eastAsia="zh-CN" w:bidi="ar-SA"/>
          <w14:textFill>
            <w14:solidFill>
              <w14:schemeClr w14:val="tx1"/>
            </w14:solidFill>
          </w14:textFill>
        </w:rPr>
        <w:t>。</w:t>
      </w:r>
    </w:p>
    <w:p w14:paraId="64027DEC">
      <w:pPr>
        <w:pStyle w:val="11"/>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00" w:firstLineChars="0"/>
        <w:jc w:val="both"/>
        <w:textAlignment w:val="auto"/>
        <w:outlineLvl w:val="9"/>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价格要求</w:t>
      </w:r>
    </w:p>
    <w:p w14:paraId="16E5E35C">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2"/>
          <w:sz w:val="24"/>
          <w:szCs w:val="24"/>
          <w:highlight w:val="yellow"/>
          <w:lang w:val="en-US" w:eastAsia="zh-CN" w:bidi="ar-SA"/>
          <w14:textFill>
            <w14:solidFill>
              <w14:schemeClr w14:val="tx1"/>
            </w14:solidFill>
          </w14:textFill>
        </w:rPr>
        <w:t>本项目劳务服务外包(包含员工工资、社会保险费用、福利基金、工会经费、残联基金、管理费、法定税金)等所有费用。</w:t>
      </w:r>
    </w:p>
    <w:p w14:paraId="285E79FC">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00" w:leftChars="0"/>
        <w:jc w:val="both"/>
        <w:textAlignment w:val="auto"/>
        <w:outlineLvl w:val="9"/>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pPr>
      <w:r>
        <w:rPr>
          <w:rFonts w:hint="eastAsia"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违约责任</w:t>
      </w:r>
    </w:p>
    <w:p w14:paraId="7981DDF2">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ascii="SUAOEA+Î¢ÈíÑÅºÚ,Bold" w:hAnsi="SUAOEA+Î¢ÈíÑÅºÚ,Bold" w:cs="SUAOEA+Î¢ÈíÑÅºÚ,Bold"/>
          <w:b/>
          <w:szCs w:val="22"/>
          <w:highlight w:val="none"/>
        </w:rPr>
      </w:pPr>
      <w:r>
        <w:rPr>
          <w:rFonts w:hint="eastAsia" w:ascii="宋体" w:hAnsi="宋体" w:eastAsia="宋体" w:cs="宋体"/>
          <w:b w:val="0"/>
          <w:bCs w:val="0"/>
          <w:snapToGrid/>
          <w:color w:val="000000" w:themeColor="text1"/>
          <w:kern w:val="2"/>
          <w:sz w:val="24"/>
          <w:szCs w:val="24"/>
          <w:highlight w:val="none"/>
          <w:lang w:val="en-US" w:eastAsia="zh-CN" w:bidi="ar-SA"/>
          <w14:textFill>
            <w14:solidFill>
              <w14:schemeClr w14:val="tx1"/>
            </w14:solidFill>
          </w14:textFill>
        </w:rPr>
        <w:t>成交供应商不得以任何名义和理由进行转包，如有发现，采购人有权单方面终止合同，视为成交供应商违约，成交供应商承担采购人由此发生的费用和损失。</w:t>
      </w:r>
    </w:p>
    <w:p w14:paraId="6E8FC8C1">
      <w:pPr>
        <w:pStyle w:val="12"/>
        <w:rPr>
          <w:rFonts w:hint="eastAsia" w:ascii="宋体" w:hAnsi="宋体" w:eastAsia="宋体" w:cs="宋体"/>
          <w:b/>
          <w:bCs/>
          <w:i w:val="0"/>
          <w:iCs w:val="0"/>
          <w:color w:val="000000"/>
          <w:kern w:val="0"/>
          <w:sz w:val="24"/>
          <w:szCs w:val="24"/>
          <w:highlight w:val="none"/>
          <w:u w:val="none"/>
          <w:lang w:val="en-US" w:eastAsia="zh-CN" w:bidi="ar"/>
        </w:rPr>
      </w:pPr>
    </w:p>
    <w:p w14:paraId="26EA16B2">
      <w:pPr>
        <w:pStyle w:val="12"/>
        <w:rPr>
          <w:rFonts w:hint="eastAsia" w:ascii="宋体" w:hAnsi="宋体" w:eastAsia="宋体" w:cs="宋体"/>
          <w:b/>
          <w:bCs/>
          <w:i w:val="0"/>
          <w:iCs w:val="0"/>
          <w:color w:val="000000"/>
          <w:kern w:val="0"/>
          <w:sz w:val="24"/>
          <w:szCs w:val="24"/>
          <w:highlight w:val="none"/>
          <w:u w:val="none"/>
          <w:lang w:val="en-US" w:eastAsia="zh-CN" w:bidi="ar"/>
        </w:rPr>
      </w:pPr>
    </w:p>
    <w:p w14:paraId="7E4F7E77">
      <w:pPr>
        <w:keepNext w:val="0"/>
        <w:keepLines w:val="0"/>
        <w:pageBreakBefore w:val="0"/>
        <w:widowControl w:val="0"/>
        <w:kinsoku/>
        <w:wordWrap/>
        <w:overflowPunct/>
        <w:topLinePunct w:val="0"/>
        <w:autoSpaceDE/>
        <w:autoSpaceDN/>
        <w:bidi w:val="0"/>
        <w:adjustRightInd/>
        <w:snapToGrid/>
        <w:spacing w:before="175" w:line="440" w:lineRule="exact"/>
        <w:textAlignment w:val="auto"/>
        <w:outlineLvl w:val="9"/>
        <w:rPr>
          <w:rFonts w:hint="eastAsia" w:ascii="宋体" w:hAnsi="宋体" w:cs="宋体"/>
          <w:b/>
          <w:kern w:val="0"/>
          <w:sz w:val="28"/>
          <w:szCs w:val="28"/>
          <w:highlight w:val="none"/>
          <w:lang w:bidi="ar"/>
        </w:rPr>
      </w:pPr>
    </w:p>
    <w:p w14:paraId="283F20CF">
      <w:pPr>
        <w:widowControl/>
        <w:spacing w:line="360" w:lineRule="auto"/>
        <w:jc w:val="both"/>
        <w:rPr>
          <w:rFonts w:hint="eastAsia" w:ascii="宋体" w:hAnsi="宋体" w:eastAsia="宋体" w:cs="宋体"/>
          <w:b w:val="0"/>
          <w:bCs w:val="0"/>
          <w:color w:val="000000"/>
          <w:kern w:val="0"/>
          <w:sz w:val="24"/>
          <w:szCs w:val="24"/>
          <w:highlight w:val="yellow"/>
          <w:lang w:val="en-US" w:eastAsia="zh-CN" w:bidi="ar"/>
        </w:rPr>
      </w:pPr>
      <w:r>
        <w:rPr>
          <w:rFonts w:hint="eastAsia" w:ascii="宋体" w:hAnsi="宋体" w:eastAsia="宋体" w:cs="宋体"/>
          <w:b/>
          <w:bCs w:val="0"/>
          <w:color w:val="auto"/>
          <w:sz w:val="24"/>
          <w:szCs w:val="24"/>
        </w:rPr>
        <w:t>以上</w:t>
      </w:r>
      <w:r>
        <w:rPr>
          <w:rFonts w:hint="eastAsia" w:ascii="宋体" w:hAnsi="宋体" w:eastAsia="宋体" w:cs="宋体"/>
          <w:b/>
          <w:bCs w:val="0"/>
          <w:color w:val="auto"/>
          <w:sz w:val="24"/>
          <w:szCs w:val="24"/>
          <w:lang w:eastAsia="zh-CN"/>
        </w:rPr>
        <w:t>服务</w:t>
      </w:r>
      <w:r>
        <w:rPr>
          <w:rFonts w:hint="eastAsia" w:ascii="宋体" w:hAnsi="宋体" w:eastAsia="宋体" w:cs="宋体"/>
          <w:b/>
          <w:bCs w:val="0"/>
          <w:color w:val="auto"/>
          <w:sz w:val="24"/>
          <w:szCs w:val="24"/>
          <w:lang w:val="en-US" w:eastAsia="zh-CN"/>
        </w:rPr>
        <w:t>要求和</w:t>
      </w:r>
      <w:r>
        <w:rPr>
          <w:rFonts w:hint="eastAsia" w:ascii="宋体" w:hAnsi="宋体" w:eastAsia="宋体" w:cs="宋体"/>
          <w:b/>
          <w:bCs w:val="0"/>
          <w:color w:val="auto"/>
          <w:sz w:val="24"/>
          <w:szCs w:val="24"/>
        </w:rPr>
        <w:t>商务</w:t>
      </w:r>
      <w:r>
        <w:rPr>
          <w:rFonts w:hint="eastAsia" w:ascii="宋体" w:hAnsi="宋体" w:eastAsia="宋体" w:cs="宋体"/>
          <w:b/>
          <w:bCs w:val="0"/>
          <w:color w:val="auto"/>
          <w:sz w:val="24"/>
          <w:szCs w:val="24"/>
          <w:lang w:val="en-US" w:eastAsia="zh-CN"/>
        </w:rPr>
        <w:t>条款</w:t>
      </w:r>
      <w:r>
        <w:rPr>
          <w:rFonts w:hint="eastAsia" w:ascii="宋体" w:hAnsi="宋体" w:eastAsia="宋体" w:cs="宋体"/>
          <w:b/>
          <w:bCs w:val="0"/>
          <w:color w:val="auto"/>
          <w:sz w:val="24"/>
          <w:szCs w:val="24"/>
        </w:rPr>
        <w:t>供应商</w:t>
      </w:r>
      <w:r>
        <w:rPr>
          <w:rFonts w:hint="eastAsia" w:ascii="宋体" w:hAnsi="宋体" w:eastAsia="宋体" w:cs="宋体"/>
          <w:b/>
          <w:bCs w:val="0"/>
          <w:color w:val="auto"/>
          <w:sz w:val="24"/>
          <w:szCs w:val="24"/>
          <w:lang w:val="en-US" w:eastAsia="zh-CN"/>
        </w:rPr>
        <w:t>须</w:t>
      </w:r>
      <w:r>
        <w:rPr>
          <w:rFonts w:hint="eastAsia" w:ascii="宋体" w:hAnsi="宋体" w:eastAsia="宋体" w:cs="宋体"/>
          <w:b/>
          <w:bCs w:val="0"/>
          <w:color w:val="auto"/>
          <w:sz w:val="24"/>
          <w:szCs w:val="24"/>
        </w:rPr>
        <w:t>全部响应</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否则视为无效响应，</w:t>
      </w:r>
      <w:r>
        <w:rPr>
          <w:rFonts w:hint="eastAsia" w:ascii="宋体" w:hAnsi="宋体" w:eastAsia="宋体" w:cs="宋体"/>
          <w:b/>
          <w:bCs w:val="0"/>
          <w:color w:val="auto"/>
          <w:sz w:val="24"/>
          <w:szCs w:val="24"/>
          <w:highlight w:val="yellow"/>
          <w:lang w:val="en-US" w:eastAsia="zh-CN"/>
        </w:rPr>
        <w:t>上述人员要求中标后配备，开标时响应即可无须提供相关证明材料。</w:t>
      </w:r>
    </w:p>
    <w:p w14:paraId="0A462F10">
      <w:pPr>
        <w:keepNext w:val="0"/>
        <w:keepLines w:val="0"/>
        <w:pageBreakBefore w:val="0"/>
        <w:widowControl w:val="0"/>
        <w:kinsoku/>
        <w:wordWrap/>
        <w:overflowPunct/>
        <w:topLinePunct w:val="0"/>
        <w:autoSpaceDE/>
        <w:autoSpaceDN/>
        <w:bidi w:val="0"/>
        <w:adjustRightInd/>
        <w:snapToGrid/>
        <w:spacing w:before="175" w:line="440" w:lineRule="exact"/>
        <w:textAlignment w:val="auto"/>
        <w:outlineLvl w:val="9"/>
        <w:rPr>
          <w:rFonts w:hint="eastAsia" w:ascii="宋体" w:hAnsi="宋体" w:cs="宋体"/>
          <w:b/>
          <w:kern w:val="0"/>
          <w:sz w:val="28"/>
          <w:szCs w:val="28"/>
          <w:highlight w:val="none"/>
          <w:lang w:bidi="ar"/>
        </w:rPr>
        <w:sectPr>
          <w:pgSz w:w="11911" w:h="16849"/>
          <w:pgMar w:top="1440" w:right="1800" w:bottom="1440" w:left="1800" w:header="567" w:footer="720" w:gutter="0"/>
          <w:pgNumType w:fmt="decimal"/>
          <w:cols w:space="0" w:num="1"/>
          <w:docGrid w:linePitch="314" w:charSpace="0"/>
        </w:sectPr>
      </w:pPr>
    </w:p>
    <w:bookmarkEnd w:id="296"/>
    <w:bookmarkEnd w:id="297"/>
    <w:p w14:paraId="2CDE0B9C">
      <w:pPr>
        <w:pageBreakBefore w:val="0"/>
        <w:widowControl w:val="0"/>
        <w:tabs>
          <w:tab w:val="left" w:pos="200"/>
        </w:tabs>
        <w:wordWrap/>
        <w:overflowPunct/>
        <w:topLinePunct w:val="0"/>
        <w:bidi w:val="0"/>
        <w:spacing w:before="63" w:line="224" w:lineRule="auto"/>
        <w:ind w:left="3743" w:leftChars="1309" w:hanging="994" w:hangingChars="296"/>
        <w:jc w:val="both"/>
        <w:outlineLvl w:val="0"/>
        <w:rPr>
          <w:rFonts w:hint="eastAsia" w:ascii="宋体" w:hAnsi="宋体" w:eastAsia="宋体" w:cs="宋体"/>
          <w:color w:val="auto"/>
          <w:spacing w:val="8"/>
          <w:sz w:val="32"/>
          <w:szCs w:val="32"/>
          <w:highlight w:val="none"/>
          <w:lang w:val="en-US" w:eastAsia="zh-CN"/>
          <w14:textOutline w14:w="5791" w14:cap="sq" w14:cmpd="sng" w14:algn="ctr">
            <w14:solidFill>
              <w14:srgbClr w14:val="000000"/>
            </w14:solidFill>
            <w14:prstDash w14:val="solid"/>
            <w14:bevel/>
          </w14:textOutline>
        </w:rPr>
      </w:pPr>
      <w:r>
        <w:rPr>
          <w:rFonts w:hint="eastAsia" w:ascii="宋体" w:hAnsi="宋体" w:eastAsia="宋体" w:cs="宋体"/>
          <w:color w:val="auto"/>
          <w:spacing w:val="8"/>
          <w:sz w:val="32"/>
          <w:szCs w:val="32"/>
          <w:highlight w:val="none"/>
          <w:lang w:val="en-US" w:eastAsia="zh-CN"/>
          <w14:textOutline w14:w="5791" w14:cap="sq" w14:cmpd="sng" w14:algn="ctr">
            <w14:solidFill>
              <w14:srgbClr w14:val="000000"/>
            </w14:solidFill>
            <w14:prstDash w14:val="solid"/>
            <w14:bevel/>
          </w14:textOutline>
        </w:rPr>
        <w:t>第六章</w:t>
      </w:r>
      <w:r>
        <w:rPr>
          <w:rFonts w:hint="eastAsia" w:ascii="宋体" w:hAnsi="宋体" w:eastAsia="宋体" w:cs="宋体"/>
          <w:color w:val="auto"/>
          <w:spacing w:val="8"/>
          <w:sz w:val="32"/>
          <w:szCs w:val="32"/>
          <w:highlight w:val="none"/>
        </w:rPr>
        <w:t xml:space="preserve">  </w:t>
      </w:r>
      <w:r>
        <w:rPr>
          <w:rFonts w:hint="eastAsia" w:ascii="宋体" w:hAnsi="宋体" w:eastAsia="宋体" w:cs="宋体"/>
          <w:color w:val="auto"/>
          <w:spacing w:val="8"/>
          <w:sz w:val="32"/>
          <w:szCs w:val="32"/>
          <w:highlight w:val="none"/>
          <w:lang w:val="en-US" w:eastAsia="zh-CN"/>
          <w14:textOutline w14:w="5791" w14:cap="sq" w14:cmpd="sng" w14:algn="ctr">
            <w14:solidFill>
              <w14:srgbClr w14:val="000000"/>
            </w14:solidFill>
            <w14:prstDash w14:val="solid"/>
            <w14:bevel/>
          </w14:textOutline>
        </w:rPr>
        <w:t>评审标准</w:t>
      </w:r>
    </w:p>
    <w:p w14:paraId="745178DD">
      <w:pPr>
        <w:keepNext w:val="0"/>
        <w:keepLines w:val="0"/>
        <w:pageBreakBefore w:val="0"/>
        <w:kinsoku/>
        <w:wordWrap/>
        <w:overflowPunct/>
        <w:topLinePunct w:val="0"/>
        <w:bidi w:val="0"/>
        <w:snapToGrid/>
        <w:spacing w:line="400" w:lineRule="exact"/>
        <w:ind w:firstLine="360" w:firstLineChars="150"/>
        <w:jc w:val="left"/>
        <w:outlineLvl w:val="9"/>
        <w:rPr>
          <w:rFonts w:ascii="宋体" w:hAnsi="宋体" w:cs="宋体"/>
          <w:b/>
          <w:bCs/>
          <w:sz w:val="24"/>
          <w:highlight w:val="none"/>
        </w:rPr>
      </w:pPr>
      <w:bookmarkStart w:id="298" w:name="_Toc500258558"/>
      <w:bookmarkStart w:id="299" w:name="_Toc504641993"/>
      <w:bookmarkStart w:id="300" w:name="_Toc2019"/>
      <w:bookmarkStart w:id="301" w:name="_Toc505020183"/>
      <w:bookmarkStart w:id="302" w:name="_Toc499818239"/>
      <w:r>
        <w:rPr>
          <w:rFonts w:hint="eastAsia" w:ascii="宋体" w:hAnsi="宋体" w:cs="宋体"/>
          <w:b/>
          <w:bCs/>
          <w:sz w:val="24"/>
          <w:highlight w:val="none"/>
        </w:rPr>
        <w:t>按照磋商文件中规定的评审方法和标准，磋商小组采用综合评分法对符合性审查合格且提交了最后报价的供应商的响应文件和最后报价进行综合评分。</w:t>
      </w:r>
      <w:bookmarkEnd w:id="298"/>
      <w:bookmarkEnd w:id="299"/>
      <w:bookmarkEnd w:id="300"/>
      <w:bookmarkEnd w:id="301"/>
      <w:bookmarkEnd w:id="302"/>
    </w:p>
    <w:tbl>
      <w:tblPr>
        <w:tblStyle w:val="19"/>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208"/>
        <w:gridCol w:w="889"/>
      </w:tblGrid>
      <w:tr w14:paraId="2F17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450" w:type="dxa"/>
            <w:gridSpan w:val="2"/>
            <w:noWrap/>
            <w:vAlign w:val="center"/>
          </w:tcPr>
          <w:p w14:paraId="552B64BE">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评分标准</w:t>
            </w:r>
          </w:p>
        </w:tc>
        <w:tc>
          <w:tcPr>
            <w:tcW w:w="889" w:type="dxa"/>
            <w:noWrap w:val="0"/>
            <w:vAlign w:val="center"/>
          </w:tcPr>
          <w:p w14:paraId="16B99EB8">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分值</w:t>
            </w:r>
          </w:p>
        </w:tc>
      </w:tr>
      <w:tr w14:paraId="16B6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jc w:val="center"/>
        </w:trPr>
        <w:tc>
          <w:tcPr>
            <w:tcW w:w="1242" w:type="dxa"/>
            <w:noWrap/>
            <w:vAlign w:val="center"/>
          </w:tcPr>
          <w:p w14:paraId="4BAF5C83">
            <w:pPr>
              <w:keepNext w:val="0"/>
              <w:keepLines w:val="0"/>
              <w:pageBreakBefore w:val="0"/>
              <w:widowControl/>
              <w:kinsoku/>
              <w:wordWrap/>
              <w:overflowPunct/>
              <w:topLinePunct w:val="0"/>
              <w:bidi w:val="0"/>
              <w:snapToGrid/>
              <w:spacing w:line="400" w:lineRule="exact"/>
              <w:jc w:val="center"/>
              <w:textAlignment w:val="center"/>
              <w:outlineLvl w:val="9"/>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rPr>
              <w:t>价格</w:t>
            </w:r>
            <w:r>
              <w:rPr>
                <w:rFonts w:hint="eastAsia" w:asciiTheme="minorEastAsia" w:hAnsiTheme="minorEastAsia" w:eastAsiaTheme="minorEastAsia" w:cstheme="minorEastAsia"/>
                <w:color w:val="000000"/>
                <w:kern w:val="0"/>
                <w:sz w:val="24"/>
                <w:szCs w:val="24"/>
                <w:highlight w:val="none"/>
                <w:lang w:val="en-US" w:eastAsia="zh-CN"/>
              </w:rPr>
              <w:t>分</w:t>
            </w:r>
          </w:p>
          <w:p w14:paraId="234D87BC">
            <w:pPr>
              <w:keepNext w:val="0"/>
              <w:keepLines w:val="0"/>
              <w:pageBreakBefore w:val="0"/>
              <w:widowControl/>
              <w:kinsoku/>
              <w:wordWrap/>
              <w:overflowPunct/>
              <w:topLinePunct w:val="0"/>
              <w:bidi w:val="0"/>
              <w:snapToGrid/>
              <w:spacing w:line="400" w:lineRule="exact"/>
              <w:jc w:val="center"/>
              <w:textAlignment w:val="center"/>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w:t>
            </w:r>
            <w:r>
              <w:rPr>
                <w:rFonts w:hint="eastAsia" w:asciiTheme="minorEastAsia" w:hAnsiTheme="minorEastAsia" w:eastAsiaTheme="minorEastAsia" w:cstheme="minorEastAsia"/>
                <w:color w:val="000000"/>
                <w:kern w:val="0"/>
                <w:sz w:val="24"/>
                <w:szCs w:val="24"/>
                <w:highlight w:val="none"/>
                <w:lang w:val="en-US" w:eastAsia="zh-CN"/>
              </w:rPr>
              <w:t>30</w:t>
            </w:r>
            <w:r>
              <w:rPr>
                <w:rFonts w:hint="eastAsia" w:asciiTheme="minorEastAsia" w:hAnsiTheme="minorEastAsia" w:eastAsiaTheme="minorEastAsia" w:cstheme="minorEastAsia"/>
                <w:color w:val="000000"/>
                <w:kern w:val="0"/>
                <w:sz w:val="24"/>
                <w:szCs w:val="24"/>
                <w:highlight w:val="none"/>
              </w:rPr>
              <w:t>分）</w:t>
            </w:r>
          </w:p>
        </w:tc>
        <w:tc>
          <w:tcPr>
            <w:tcW w:w="8208" w:type="dxa"/>
            <w:noWrap w:val="0"/>
            <w:vAlign w:val="center"/>
          </w:tcPr>
          <w:p w14:paraId="38D2D5C9">
            <w:pPr>
              <w:spacing w:line="400" w:lineRule="exact"/>
              <w:rPr>
                <w:rFonts w:hint="eastAsia" w:eastAsia="宋体"/>
                <w:sz w:val="24"/>
                <w:szCs w:val="24"/>
                <w:highlight w:val="none"/>
                <w:lang w:eastAsia="zh-CN"/>
              </w:rPr>
            </w:pPr>
            <w:r>
              <w:rPr>
                <w:rFonts w:hint="eastAsia"/>
                <w:sz w:val="24"/>
                <w:szCs w:val="24"/>
                <w:highlight w:val="none"/>
              </w:rPr>
              <w:t>价格分采用低价优先法计算，即满足磋商文件要求且最后报价最低的磋商报价为评标基准价，其价格分为满分。其他供应商的价格分统一按下列公式计算</w:t>
            </w:r>
            <w:r>
              <w:rPr>
                <w:rFonts w:hint="eastAsia"/>
                <w:sz w:val="24"/>
                <w:szCs w:val="24"/>
                <w:highlight w:val="none"/>
                <w:lang w:eastAsia="zh-CN"/>
              </w:rPr>
              <w:t>，</w:t>
            </w:r>
            <w:r>
              <w:rPr>
                <w:rFonts w:hint="eastAsia" w:asciiTheme="minorEastAsia" w:hAnsiTheme="minorEastAsia" w:eastAsiaTheme="minorEastAsia" w:cstheme="minorEastAsia"/>
                <w:color w:val="000000"/>
                <w:kern w:val="2"/>
                <w:sz w:val="24"/>
                <w:szCs w:val="24"/>
                <w:highlight w:val="none"/>
              </w:rPr>
              <w:t>计算分数时四舍五入取小数点后两位：</w:t>
            </w:r>
          </w:p>
          <w:p w14:paraId="601FADA9">
            <w:pPr>
              <w:spacing w:line="400" w:lineRule="exact"/>
              <w:rPr>
                <w:sz w:val="24"/>
                <w:szCs w:val="24"/>
                <w:highlight w:val="none"/>
              </w:rPr>
            </w:pPr>
            <w:r>
              <w:rPr>
                <w:rFonts w:hint="eastAsia"/>
                <w:sz w:val="24"/>
                <w:szCs w:val="24"/>
                <w:highlight w:val="none"/>
              </w:rPr>
              <w:t>磋商报价得分=（评标基准价/磋商报价）×</w:t>
            </w:r>
            <w:r>
              <w:rPr>
                <w:rFonts w:hint="eastAsia"/>
                <w:sz w:val="24"/>
                <w:szCs w:val="24"/>
                <w:highlight w:val="none"/>
                <w:lang w:val="en-US" w:eastAsia="zh-CN"/>
              </w:rPr>
              <w:t>30</w:t>
            </w:r>
            <w:r>
              <w:rPr>
                <w:rFonts w:hint="eastAsia"/>
                <w:sz w:val="24"/>
                <w:szCs w:val="24"/>
                <w:highlight w:val="none"/>
              </w:rPr>
              <w:t>分</w:t>
            </w:r>
          </w:p>
          <w:p w14:paraId="5A8A7E01">
            <w:pPr>
              <w:keepNext w:val="0"/>
              <w:keepLines w:val="0"/>
              <w:pageBreakBefore w:val="0"/>
              <w:kinsoku/>
              <w:wordWrap/>
              <w:overflowPunct/>
              <w:topLinePunct w:val="0"/>
              <w:autoSpaceDE w:val="0"/>
              <w:autoSpaceDN w:val="0"/>
              <w:bidi w:val="0"/>
              <w:adjustRightInd w:val="0"/>
              <w:snapToGrid/>
              <w:spacing w:line="400" w:lineRule="exact"/>
              <w:ind w:right="-20" w:rightChars="0"/>
              <w:outlineLvl w:val="9"/>
              <w:rPr>
                <w:rFonts w:hint="eastAsia" w:asciiTheme="minorEastAsia" w:hAnsiTheme="minorEastAsia" w:eastAsiaTheme="minorEastAsia" w:cstheme="minorEastAsia"/>
                <w:color w:val="000000"/>
                <w:sz w:val="24"/>
                <w:szCs w:val="24"/>
                <w:highlight w:val="none"/>
              </w:rPr>
            </w:pPr>
            <w:r>
              <w:rPr>
                <w:rFonts w:hint="eastAsia" w:ascii="宋体" w:hAnsi="宋体" w:cs="宋体"/>
                <w:color w:val="auto"/>
                <w:sz w:val="24"/>
                <w:szCs w:val="24"/>
                <w:highlight w:val="none"/>
              </w:rPr>
              <w:t>注：评标委员会认为</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不能证明其报价合理性的，将作为无效投标处理。</w:t>
            </w:r>
          </w:p>
        </w:tc>
        <w:tc>
          <w:tcPr>
            <w:tcW w:w="889" w:type="dxa"/>
            <w:noWrap w:val="0"/>
            <w:vAlign w:val="center"/>
          </w:tcPr>
          <w:p w14:paraId="1F2791BD">
            <w:pPr>
              <w:keepNext w:val="0"/>
              <w:keepLines w:val="0"/>
              <w:pageBreakBefore w:val="0"/>
              <w:kinsoku/>
              <w:wordWrap/>
              <w:overflowPunct/>
              <w:topLinePunct w:val="0"/>
              <w:autoSpaceDE w:val="0"/>
              <w:autoSpaceDN w:val="0"/>
              <w:bidi w:val="0"/>
              <w:adjustRightInd w:val="0"/>
              <w:snapToGrid/>
              <w:spacing w:line="400" w:lineRule="exact"/>
              <w:ind w:right="-20" w:rightChars="0"/>
              <w:jc w:val="center"/>
              <w:outlineLvl w:val="9"/>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30分</w:t>
            </w:r>
          </w:p>
        </w:tc>
      </w:tr>
      <w:tr w14:paraId="0B87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1242" w:type="dxa"/>
            <w:vMerge w:val="restart"/>
            <w:noWrap/>
            <w:vAlign w:val="center"/>
          </w:tcPr>
          <w:p w14:paraId="7F4D8423">
            <w:pPr>
              <w:keepNext w:val="0"/>
              <w:keepLines w:val="0"/>
              <w:pageBreakBefore w:val="0"/>
              <w:widowControl/>
              <w:kinsoku/>
              <w:wordWrap/>
              <w:overflowPunct/>
              <w:topLinePunct w:val="0"/>
              <w:bidi w:val="0"/>
              <w:snapToGrid/>
              <w:spacing w:line="400" w:lineRule="exact"/>
              <w:jc w:val="center"/>
              <w:textAlignment w:val="center"/>
              <w:outlineLvl w:val="9"/>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val="en-US" w:eastAsia="zh-CN"/>
              </w:rPr>
              <w:t>服务</w:t>
            </w:r>
            <w:r>
              <w:rPr>
                <w:rFonts w:hint="eastAsia" w:asciiTheme="minorEastAsia" w:hAnsiTheme="minorEastAsia" w:eastAsiaTheme="minorEastAsia" w:cstheme="minorEastAsia"/>
                <w:color w:val="000000"/>
                <w:kern w:val="0"/>
                <w:sz w:val="24"/>
                <w:szCs w:val="24"/>
                <w:highlight w:val="none"/>
              </w:rPr>
              <w:t>分</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lang w:val="en-US" w:eastAsia="zh-CN"/>
              </w:rPr>
              <w:t>58分</w:t>
            </w:r>
            <w:r>
              <w:rPr>
                <w:rFonts w:hint="eastAsia" w:asciiTheme="minorEastAsia" w:hAnsiTheme="minorEastAsia" w:eastAsiaTheme="minorEastAsia" w:cstheme="minorEastAsia"/>
                <w:color w:val="000000"/>
                <w:kern w:val="0"/>
                <w:sz w:val="24"/>
                <w:szCs w:val="24"/>
                <w:highlight w:val="none"/>
                <w:lang w:eastAsia="zh-CN"/>
              </w:rPr>
              <w:t>）</w:t>
            </w:r>
          </w:p>
        </w:tc>
        <w:tc>
          <w:tcPr>
            <w:tcW w:w="8208" w:type="dxa"/>
            <w:noWrap w:val="0"/>
            <w:vAlign w:val="center"/>
          </w:tcPr>
          <w:p w14:paraId="3A21E65E">
            <w:pPr>
              <w:pStyle w:val="39"/>
              <w:keepNext w:val="0"/>
              <w:keepLines w:val="0"/>
              <w:pageBreakBefore w:val="0"/>
              <w:kinsoku/>
              <w:wordWrap/>
              <w:overflowPunct/>
              <w:topLinePunct w:val="0"/>
              <w:bidi w:val="0"/>
              <w:snapToGrid/>
              <w:spacing w:line="400" w:lineRule="exact"/>
              <w:jc w:val="both"/>
              <w:outlineLvl w:val="9"/>
              <w:rPr>
                <w:rFonts w:hint="eastAsia" w:asciiTheme="minorEastAsia" w:hAnsiTheme="minorEastAsia" w:eastAsiaTheme="minorEastAsia" w:cstheme="minorEastAsia"/>
                <w:b/>
                <w:bCs/>
                <w:color w:val="000000"/>
                <w:kern w:val="2"/>
                <w:sz w:val="24"/>
                <w:szCs w:val="24"/>
                <w:highlight w:val="none"/>
                <w:lang w:eastAsia="zh-CN"/>
              </w:rPr>
            </w:pPr>
            <w:r>
              <w:rPr>
                <w:rFonts w:hint="eastAsia" w:asciiTheme="minorEastAsia" w:hAnsiTheme="minorEastAsia" w:eastAsiaTheme="minorEastAsia" w:cstheme="minorEastAsia"/>
                <w:b/>
                <w:bCs/>
                <w:color w:val="000000"/>
                <w:kern w:val="2"/>
                <w:sz w:val="24"/>
                <w:szCs w:val="24"/>
                <w:highlight w:val="none"/>
              </w:rPr>
              <w:t>1</w:t>
            </w:r>
            <w:r>
              <w:rPr>
                <w:rFonts w:hint="eastAsia" w:asciiTheme="minorEastAsia" w:hAnsiTheme="minorEastAsia" w:eastAsiaTheme="minorEastAsia" w:cstheme="minorEastAsia"/>
                <w:b/>
                <w:bCs/>
                <w:color w:val="000000"/>
                <w:kern w:val="2"/>
                <w:sz w:val="24"/>
                <w:szCs w:val="24"/>
                <w:highlight w:val="none"/>
                <w:lang w:eastAsia="zh-CN"/>
              </w:rPr>
              <w:t>、</w:t>
            </w:r>
            <w:r>
              <w:rPr>
                <w:rFonts w:hint="eastAsia" w:asciiTheme="minorEastAsia" w:hAnsiTheme="minorEastAsia" w:eastAsiaTheme="minorEastAsia" w:cstheme="minorEastAsia"/>
                <w:b/>
                <w:bCs/>
                <w:color w:val="000000"/>
                <w:kern w:val="2"/>
                <w:sz w:val="24"/>
                <w:szCs w:val="24"/>
                <w:highlight w:val="none"/>
                <w:lang w:val="en-US" w:eastAsia="zh-CN"/>
              </w:rPr>
              <w:t>服务响应</w:t>
            </w:r>
          </w:p>
          <w:p w14:paraId="0ED434AB">
            <w:pPr>
              <w:pStyle w:val="39"/>
              <w:keepNext w:val="0"/>
              <w:keepLines w:val="0"/>
              <w:pageBreakBefore w:val="0"/>
              <w:kinsoku/>
              <w:wordWrap/>
              <w:overflowPunct/>
              <w:topLinePunct w:val="0"/>
              <w:bidi w:val="0"/>
              <w:snapToGrid/>
              <w:spacing w:line="400" w:lineRule="exact"/>
              <w:jc w:val="both"/>
              <w:outlineLvl w:val="9"/>
              <w:rPr>
                <w:rFonts w:hint="eastAsia" w:asciiTheme="minorEastAsia" w:hAnsiTheme="minorEastAsia" w:eastAsiaTheme="minorEastAsia" w:cstheme="minorEastAsia"/>
                <w:color w:val="000000"/>
                <w:kern w:val="2"/>
                <w:sz w:val="24"/>
                <w:szCs w:val="24"/>
                <w:highlight w:val="none"/>
                <w:lang w:val="en-US" w:eastAsia="zh-CN"/>
              </w:rPr>
            </w:pPr>
            <w:r>
              <w:rPr>
                <w:rFonts w:hint="eastAsia" w:asciiTheme="minorEastAsia" w:hAnsiTheme="minorEastAsia" w:eastAsiaTheme="minorEastAsia" w:cstheme="minorEastAsia"/>
                <w:color w:val="000000"/>
                <w:kern w:val="2"/>
                <w:sz w:val="24"/>
                <w:szCs w:val="24"/>
                <w:highlight w:val="none"/>
                <w:lang w:val="en-US" w:eastAsia="zh-CN"/>
              </w:rPr>
              <w:t>供应商全部满足“第五章 （一）、采购需求”，若有一项未响应或负偏离，作无效投标处理；</w:t>
            </w:r>
          </w:p>
          <w:p w14:paraId="5A088B69">
            <w:pPr>
              <w:pStyle w:val="39"/>
              <w:keepNext w:val="0"/>
              <w:keepLines w:val="0"/>
              <w:pageBreakBefore w:val="0"/>
              <w:kinsoku/>
              <w:wordWrap/>
              <w:overflowPunct/>
              <w:topLinePunct w:val="0"/>
              <w:bidi w:val="0"/>
              <w:snapToGrid/>
              <w:spacing w:line="400" w:lineRule="exact"/>
              <w:jc w:val="both"/>
              <w:outlineLvl w:val="9"/>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lang w:val="en-US" w:eastAsia="zh-CN"/>
              </w:rPr>
              <w:t>评审依据：提供“服务响应/偏离表”加盖供应商公章佐证。</w:t>
            </w:r>
          </w:p>
        </w:tc>
        <w:tc>
          <w:tcPr>
            <w:tcW w:w="889" w:type="dxa"/>
            <w:noWrap w:val="0"/>
            <w:vAlign w:val="center"/>
          </w:tcPr>
          <w:p w14:paraId="07546A85">
            <w:pPr>
              <w:pStyle w:val="39"/>
              <w:keepNext w:val="0"/>
              <w:keepLines w:val="0"/>
              <w:pageBreakBefore w:val="0"/>
              <w:kinsoku/>
              <w:wordWrap/>
              <w:overflowPunct/>
              <w:topLinePunct w:val="0"/>
              <w:bidi w:val="0"/>
              <w:snapToGrid/>
              <w:spacing w:line="400" w:lineRule="exact"/>
              <w:jc w:val="center"/>
              <w:outlineLvl w:val="9"/>
              <w:rPr>
                <w:rFonts w:hint="default" w:asciiTheme="minorEastAsia" w:hAnsiTheme="minorEastAsia" w:eastAsiaTheme="minorEastAsia" w:cstheme="minorEastAsia"/>
                <w:b/>
                <w:bCs/>
                <w:color w:val="000000"/>
                <w:kern w:val="2"/>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rPr>
              <w:t>符合性审查</w:t>
            </w:r>
          </w:p>
        </w:tc>
      </w:tr>
      <w:tr w14:paraId="3C58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242" w:type="dxa"/>
            <w:vMerge w:val="continue"/>
            <w:noWrap/>
            <w:vAlign w:val="center"/>
          </w:tcPr>
          <w:p w14:paraId="6FED232D">
            <w:pPr>
              <w:keepNext w:val="0"/>
              <w:keepLines w:val="0"/>
              <w:pageBreakBefore w:val="0"/>
              <w:widowControl/>
              <w:kinsoku/>
              <w:wordWrap/>
              <w:overflowPunct/>
              <w:topLinePunct w:val="0"/>
              <w:bidi w:val="0"/>
              <w:snapToGrid/>
              <w:spacing w:line="400" w:lineRule="exact"/>
              <w:jc w:val="center"/>
              <w:textAlignment w:val="center"/>
              <w:outlineLvl w:val="9"/>
              <w:rPr>
                <w:rFonts w:hint="eastAsia" w:asciiTheme="minorEastAsia" w:hAnsiTheme="minorEastAsia" w:eastAsiaTheme="minorEastAsia" w:cstheme="minorEastAsia"/>
                <w:color w:val="000000"/>
                <w:kern w:val="0"/>
                <w:sz w:val="24"/>
                <w:szCs w:val="24"/>
                <w:highlight w:val="none"/>
                <w:lang w:val="en-US" w:eastAsia="zh-CN"/>
              </w:rPr>
            </w:pPr>
          </w:p>
        </w:tc>
        <w:tc>
          <w:tcPr>
            <w:tcW w:w="8208" w:type="dxa"/>
            <w:noWrap w:val="0"/>
            <w:vAlign w:val="top"/>
          </w:tcPr>
          <w:p w14:paraId="1CF6B0A1">
            <w:pPr>
              <w:widowControl w:val="0"/>
              <w:kinsoku/>
              <w:autoSpaceDE/>
              <w:autoSpaceDN/>
              <w:adjustRightInd/>
              <w:snapToGrid/>
              <w:spacing w:line="400" w:lineRule="exact"/>
              <w:jc w:val="both"/>
              <w:textAlignment w:val="auto"/>
              <w:rPr>
                <w:rFonts w:hint="eastAsia" w:asciiTheme="minorEastAsia" w:hAnsiTheme="minorEastAsia" w:eastAsiaTheme="minorEastAsia" w:cstheme="minorEastAsia"/>
                <w:b/>
                <w:bCs/>
                <w:color w:val="000000"/>
                <w:kern w:val="2"/>
                <w:sz w:val="24"/>
                <w:szCs w:val="24"/>
                <w:highlight w:val="none"/>
                <w:lang w:val="en-US" w:eastAsia="zh-CN" w:bidi="ar-SA"/>
              </w:rPr>
            </w:pPr>
            <w:r>
              <w:rPr>
                <w:rFonts w:hint="eastAsia" w:asciiTheme="minorEastAsia" w:hAnsiTheme="minorEastAsia" w:eastAsiaTheme="minorEastAsia" w:cstheme="minorEastAsia"/>
                <w:b/>
                <w:bCs/>
                <w:color w:val="000000"/>
                <w:kern w:val="2"/>
                <w:sz w:val="24"/>
                <w:szCs w:val="24"/>
                <w:highlight w:val="none"/>
                <w:lang w:val="en-US" w:eastAsia="zh-CN" w:bidi="ar-SA"/>
              </w:rPr>
              <w:t>2、人员配备</w:t>
            </w:r>
          </w:p>
          <w:p w14:paraId="6892B603">
            <w:pPr>
              <w:widowControl w:val="0"/>
              <w:numPr>
                <w:ilvl w:val="0"/>
                <w:numId w:val="0"/>
              </w:numPr>
              <w:kinsoku/>
              <w:autoSpaceDE/>
              <w:autoSpaceDN/>
              <w:adjustRightInd/>
              <w:snapToGrid/>
              <w:spacing w:line="400" w:lineRule="exact"/>
              <w:jc w:val="both"/>
              <w:textAlignment w:val="auto"/>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(1)供应商拟投入本项目的厨师具有厨师证书的得4分；</w:t>
            </w:r>
            <w:bookmarkStart w:id="303" w:name="_GoBack"/>
            <w:bookmarkEnd w:id="303"/>
          </w:p>
          <w:p w14:paraId="4151BFB0">
            <w:pPr>
              <w:widowControl w:val="0"/>
              <w:numPr>
                <w:ilvl w:val="0"/>
                <w:numId w:val="0"/>
              </w:numPr>
              <w:kinsoku/>
              <w:autoSpaceDE/>
              <w:autoSpaceDN/>
              <w:adjustRightInd/>
              <w:snapToGrid/>
              <w:spacing w:line="400" w:lineRule="exact"/>
              <w:jc w:val="both"/>
              <w:textAlignment w:val="auto"/>
              <w:rPr>
                <w:rFonts w:hint="eastAsia" w:asciiTheme="minorEastAsia" w:hAnsiTheme="minorEastAsia" w:eastAsiaTheme="minorEastAsia" w:cstheme="minorEastAsia"/>
                <w:color w:val="FF0000"/>
                <w:kern w:val="2"/>
                <w:sz w:val="24"/>
                <w:szCs w:val="24"/>
                <w:highlight w:val="none"/>
                <w:lang w:val="en-US" w:eastAsia="zh-CN" w:bidi="ar-SA"/>
              </w:rPr>
            </w:pPr>
            <w:r>
              <w:rPr>
                <w:rFonts w:hint="eastAsia" w:asciiTheme="minorEastAsia" w:hAnsiTheme="minorEastAsia" w:eastAsiaTheme="minorEastAsia" w:cstheme="minorEastAsia"/>
                <w:color w:val="FF0000"/>
                <w:kern w:val="2"/>
                <w:sz w:val="24"/>
                <w:szCs w:val="24"/>
                <w:highlight w:val="none"/>
                <w:lang w:val="en-US" w:eastAsia="zh-CN" w:bidi="ar-SA"/>
              </w:rPr>
              <w:t>（2）提供厨师有关工作经验证明材料，得4分；</w:t>
            </w:r>
          </w:p>
          <w:p w14:paraId="64456EE9">
            <w:pPr>
              <w:widowControl w:val="0"/>
              <w:numPr>
                <w:ilvl w:val="0"/>
                <w:numId w:val="0"/>
              </w:numPr>
              <w:kinsoku/>
              <w:autoSpaceDE/>
              <w:autoSpaceDN/>
              <w:adjustRightInd/>
              <w:snapToGrid/>
              <w:spacing w:line="400" w:lineRule="exact"/>
              <w:jc w:val="both"/>
              <w:textAlignment w:val="auto"/>
              <w:rPr>
                <w:rFonts w:hint="default" w:asciiTheme="minorEastAsia" w:hAnsiTheme="minorEastAsia" w:eastAsiaTheme="minorEastAsia" w:cstheme="minorEastAsia"/>
                <w:b/>
                <w:bCs/>
                <w:color w:val="000000"/>
                <w:kern w:val="2"/>
                <w:sz w:val="24"/>
                <w:szCs w:val="24"/>
                <w:highlight w:val="none"/>
                <w:lang w:val="en-US"/>
              </w:rPr>
            </w:pPr>
            <w:r>
              <w:rPr>
                <w:rFonts w:hint="eastAsia" w:asciiTheme="minorEastAsia" w:hAnsiTheme="minorEastAsia" w:eastAsiaTheme="minorEastAsia" w:cstheme="minorEastAsia"/>
                <w:b/>
                <w:bCs/>
                <w:color w:val="000000"/>
                <w:kern w:val="2"/>
                <w:sz w:val="24"/>
                <w:szCs w:val="24"/>
                <w:highlight w:val="none"/>
                <w:lang w:val="en-US" w:eastAsia="zh-CN" w:bidi="ar-SA"/>
              </w:rPr>
              <w:t>评审依据:提供厨师证，并提供开标前(不含开标当月)连续</w:t>
            </w:r>
            <w:r>
              <w:rPr>
                <w:rFonts w:hint="eastAsia" w:asciiTheme="minorEastAsia" w:hAnsiTheme="minorEastAsia" w:eastAsiaTheme="minorEastAsia" w:cstheme="minorEastAsia"/>
                <w:b/>
                <w:bCs/>
                <w:color w:val="000000"/>
                <w:kern w:val="2"/>
                <w:sz w:val="24"/>
                <w:szCs w:val="24"/>
                <w:highlight w:val="yellow"/>
                <w:lang w:val="en-US" w:eastAsia="zh-CN" w:bidi="ar-SA"/>
              </w:rPr>
              <w:t>近六个月任意一个月</w:t>
            </w:r>
            <w:r>
              <w:rPr>
                <w:rFonts w:hint="eastAsia" w:asciiTheme="minorEastAsia" w:hAnsiTheme="minorEastAsia" w:eastAsiaTheme="minorEastAsia" w:cstheme="minorEastAsia"/>
                <w:b/>
                <w:bCs/>
                <w:color w:val="000000"/>
                <w:kern w:val="2"/>
                <w:sz w:val="24"/>
                <w:szCs w:val="24"/>
                <w:highlight w:val="none"/>
                <w:lang w:val="en-US" w:eastAsia="zh-CN" w:bidi="ar-SA"/>
              </w:rPr>
              <w:t>内供应商为其缴纳的社保证明，未提供者不得分。</w:t>
            </w:r>
          </w:p>
        </w:tc>
        <w:tc>
          <w:tcPr>
            <w:tcW w:w="889" w:type="dxa"/>
            <w:noWrap w:val="0"/>
            <w:vAlign w:val="center"/>
          </w:tcPr>
          <w:p w14:paraId="524DEAE9">
            <w:pPr>
              <w:pStyle w:val="39"/>
              <w:keepNext w:val="0"/>
              <w:keepLines w:val="0"/>
              <w:pageBreakBefore w:val="0"/>
              <w:kinsoku/>
              <w:wordWrap/>
              <w:overflowPunct/>
              <w:topLinePunct w:val="0"/>
              <w:bidi w:val="0"/>
              <w:snapToGrid/>
              <w:spacing w:line="400" w:lineRule="exact"/>
              <w:jc w:val="center"/>
              <w:outlineLvl w:val="9"/>
              <w:rPr>
                <w:rFonts w:hint="default" w:asciiTheme="minorEastAsia" w:hAnsiTheme="minorEastAsia" w:eastAsiaTheme="minorEastAsia" w:cstheme="minorEastAsia"/>
                <w:color w:val="000000"/>
                <w:kern w:val="2"/>
                <w:sz w:val="24"/>
                <w:szCs w:val="24"/>
                <w:highlight w:val="none"/>
                <w:lang w:val="en-US" w:eastAsia="zh-CN"/>
              </w:rPr>
            </w:pPr>
            <w:r>
              <w:rPr>
                <w:rFonts w:hint="eastAsia" w:asciiTheme="minorEastAsia" w:hAnsiTheme="minorEastAsia" w:eastAsiaTheme="minorEastAsia" w:cstheme="minorEastAsia"/>
                <w:color w:val="000000"/>
                <w:kern w:val="2"/>
                <w:sz w:val="24"/>
                <w:szCs w:val="24"/>
                <w:highlight w:val="none"/>
                <w:lang w:val="en-US" w:eastAsia="zh-CN"/>
              </w:rPr>
              <w:t>8分</w:t>
            </w:r>
          </w:p>
        </w:tc>
      </w:tr>
      <w:tr w14:paraId="227E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1242" w:type="dxa"/>
            <w:vMerge w:val="continue"/>
            <w:noWrap/>
            <w:vAlign w:val="center"/>
          </w:tcPr>
          <w:p w14:paraId="4A104482">
            <w:pPr>
              <w:keepNext w:val="0"/>
              <w:keepLines w:val="0"/>
              <w:pageBreakBefore w:val="0"/>
              <w:widowControl/>
              <w:kinsoku/>
              <w:wordWrap/>
              <w:overflowPunct/>
              <w:topLinePunct w:val="0"/>
              <w:bidi w:val="0"/>
              <w:snapToGrid/>
              <w:spacing w:line="400" w:lineRule="exact"/>
              <w:jc w:val="center"/>
              <w:textAlignment w:val="center"/>
              <w:outlineLvl w:val="9"/>
              <w:rPr>
                <w:rFonts w:hint="eastAsia" w:asciiTheme="minorEastAsia" w:hAnsiTheme="minorEastAsia" w:eastAsiaTheme="minorEastAsia" w:cstheme="minorEastAsia"/>
                <w:color w:val="000000"/>
                <w:kern w:val="0"/>
                <w:sz w:val="24"/>
                <w:szCs w:val="24"/>
                <w:highlight w:val="none"/>
                <w:lang w:val="en-US" w:eastAsia="zh-CN"/>
              </w:rPr>
            </w:pPr>
          </w:p>
        </w:tc>
        <w:tc>
          <w:tcPr>
            <w:tcW w:w="8208" w:type="dxa"/>
            <w:noWrap w:val="0"/>
            <w:vAlign w:val="top"/>
          </w:tcPr>
          <w:p w14:paraId="07D02BF2">
            <w:pPr>
              <w:widowControl w:val="0"/>
              <w:kinsoku/>
              <w:autoSpaceDE/>
              <w:autoSpaceDN/>
              <w:adjustRightInd/>
              <w:snapToGrid/>
              <w:spacing w:line="400" w:lineRule="exact"/>
              <w:jc w:val="both"/>
              <w:textAlignment w:val="auto"/>
              <w:rPr>
                <w:rFonts w:hint="eastAsia" w:asciiTheme="minorEastAsia" w:hAnsiTheme="minorEastAsia" w:eastAsiaTheme="minorEastAsia" w:cstheme="minorEastAsia"/>
                <w:b/>
                <w:bCs/>
                <w:color w:val="000000"/>
                <w:kern w:val="2"/>
                <w:sz w:val="24"/>
                <w:szCs w:val="24"/>
                <w:highlight w:val="none"/>
                <w:lang w:val="en-US" w:eastAsia="zh-CN" w:bidi="ar-SA"/>
              </w:rPr>
            </w:pPr>
            <w:r>
              <w:rPr>
                <w:rFonts w:hint="eastAsia" w:asciiTheme="minorEastAsia" w:hAnsiTheme="minorEastAsia" w:eastAsiaTheme="minorEastAsia" w:cstheme="minorEastAsia"/>
                <w:b/>
                <w:bCs/>
                <w:color w:val="000000"/>
                <w:kern w:val="2"/>
                <w:sz w:val="24"/>
                <w:szCs w:val="24"/>
                <w:highlight w:val="none"/>
                <w:lang w:val="en-US" w:eastAsia="zh-CN" w:bidi="ar-SA"/>
              </w:rPr>
              <w:t>3、食堂管理方案</w:t>
            </w:r>
          </w:p>
          <w:p w14:paraId="656A2988">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textAlignment w:val="baseline"/>
              <w:rPr>
                <w:rFonts w:hint="eastAsia" w:ascii="宋体" w:hAnsi="宋体" w:eastAsia="宋体" w:cs="宋体"/>
                <w:b w:val="0"/>
                <w:bCs w:val="0"/>
                <w:color w:val="auto"/>
                <w:spacing w:val="0"/>
                <w:position w:val="0"/>
                <w:sz w:val="24"/>
                <w:szCs w:val="24"/>
                <w:highlight w:val="none"/>
                <w:lang w:val="en-US" w:eastAsia="zh-CN"/>
              </w:rPr>
            </w:pPr>
            <w:r>
              <w:rPr>
                <w:rFonts w:hint="eastAsia" w:asciiTheme="minorEastAsia" w:hAnsiTheme="minorEastAsia" w:eastAsiaTheme="minorEastAsia" w:cstheme="minorEastAsia"/>
                <w:color w:val="000000"/>
                <w:kern w:val="2"/>
                <w:sz w:val="24"/>
                <w:szCs w:val="24"/>
                <w:highlight w:val="none"/>
                <w:lang w:val="en-US" w:eastAsia="zh-CN" w:bidi="ar-SA"/>
              </w:rPr>
              <w:t>根据本项目食堂管理要求和实际情况，提供完整的食堂管理方案，内容包含但不限于（1）对食品安全、食堂用品、工作服装的配备方案（2）作业方式、作业程序、食堂垃圾收集及处理方式（3）厨房食堂内卫生保洁等</w:t>
            </w:r>
            <w:r>
              <w:rPr>
                <w:rFonts w:hint="eastAsia" w:ascii="宋体" w:hAnsi="宋体" w:eastAsia="宋体" w:cs="宋体"/>
                <w:b w:val="0"/>
                <w:bCs w:val="0"/>
                <w:color w:val="auto"/>
                <w:spacing w:val="0"/>
                <w:position w:val="0"/>
                <w:sz w:val="24"/>
                <w:szCs w:val="24"/>
                <w:highlight w:val="none"/>
                <w:lang w:val="en-US" w:eastAsia="zh-CN"/>
              </w:rPr>
              <w:t>每提供一项方案内容得5分,最高得15分。</w:t>
            </w:r>
          </w:p>
          <w:p w14:paraId="52552D72">
            <w:pPr>
              <w:widowControl w:val="0"/>
              <w:kinsoku/>
              <w:autoSpaceDE/>
              <w:autoSpaceDN/>
              <w:adjustRightInd/>
              <w:snapToGrid/>
              <w:spacing w:line="400" w:lineRule="exact"/>
              <w:jc w:val="both"/>
              <w:textAlignment w:val="auto"/>
              <w:rPr>
                <w:rFonts w:hint="eastAsia" w:asciiTheme="minorEastAsia" w:hAnsiTheme="minorEastAsia" w:eastAsiaTheme="minorEastAsia" w:cstheme="minorEastAsia"/>
                <w:b/>
                <w:bCs/>
                <w:color w:val="000000"/>
                <w:kern w:val="2"/>
                <w:sz w:val="24"/>
                <w:szCs w:val="24"/>
                <w:highlight w:val="none"/>
              </w:rPr>
            </w:pPr>
            <w:r>
              <w:rPr>
                <w:rFonts w:hint="eastAsia" w:ascii="宋体" w:hAnsi="宋体" w:eastAsia="宋体" w:cs="宋体"/>
                <w:b/>
                <w:bCs w:val="0"/>
                <w:color w:val="auto"/>
                <w:spacing w:val="0"/>
                <w:position w:val="0"/>
                <w:sz w:val="24"/>
                <w:szCs w:val="24"/>
                <w:highlight w:val="none"/>
                <w:lang w:val="en-US" w:eastAsia="zh-CN"/>
              </w:rPr>
              <w:cr/>
            </w:r>
            <w:r>
              <w:rPr>
                <w:rFonts w:hint="eastAsia" w:ascii="宋体" w:hAnsi="宋体" w:eastAsia="宋体" w:cs="宋体"/>
                <w:b/>
                <w:bCs w:val="0"/>
                <w:color w:val="auto"/>
                <w:spacing w:val="0"/>
                <w:position w:val="0"/>
                <w:sz w:val="24"/>
                <w:szCs w:val="24"/>
                <w:highlight w:val="none"/>
                <w:lang w:val="en-US" w:eastAsia="zh-CN"/>
              </w:rPr>
              <w:t>评审依据:响应文件中需提供</w:t>
            </w:r>
            <w:r>
              <w:rPr>
                <w:rFonts w:hint="eastAsia" w:asciiTheme="minorEastAsia" w:hAnsiTheme="minorEastAsia" w:eastAsiaTheme="minorEastAsia" w:cstheme="minorEastAsia"/>
                <w:b/>
                <w:bCs/>
                <w:color w:val="000000"/>
                <w:kern w:val="2"/>
                <w:sz w:val="24"/>
                <w:szCs w:val="24"/>
                <w:highlight w:val="none"/>
                <w:lang w:val="en-US" w:eastAsia="zh-CN" w:bidi="ar-SA"/>
              </w:rPr>
              <w:t>食堂管理方案</w:t>
            </w:r>
            <w:r>
              <w:rPr>
                <w:rFonts w:hint="eastAsia" w:ascii="宋体" w:hAnsi="宋体" w:eastAsia="宋体" w:cs="宋体"/>
                <w:b/>
                <w:bCs w:val="0"/>
                <w:color w:val="auto"/>
                <w:spacing w:val="0"/>
                <w:position w:val="0"/>
                <w:sz w:val="24"/>
                <w:szCs w:val="24"/>
                <w:highlight w:val="none"/>
                <w:lang w:val="en-US" w:eastAsia="zh-CN"/>
              </w:rPr>
              <w:t>并加盖投标人公章，提供的方案只有标题但缺乏实质性内容、未提供或提供的内容与项目采购需求无关的不得分。</w:t>
            </w:r>
          </w:p>
        </w:tc>
        <w:tc>
          <w:tcPr>
            <w:tcW w:w="889" w:type="dxa"/>
            <w:noWrap w:val="0"/>
            <w:vAlign w:val="center"/>
          </w:tcPr>
          <w:p w14:paraId="3527E297">
            <w:pPr>
              <w:pStyle w:val="39"/>
              <w:keepNext w:val="0"/>
              <w:keepLines w:val="0"/>
              <w:pageBreakBefore w:val="0"/>
              <w:kinsoku/>
              <w:wordWrap/>
              <w:overflowPunct/>
              <w:topLinePunct w:val="0"/>
              <w:bidi w:val="0"/>
              <w:snapToGrid/>
              <w:spacing w:line="400" w:lineRule="exact"/>
              <w:jc w:val="center"/>
              <w:outlineLvl w:val="9"/>
              <w:rPr>
                <w:rFonts w:hint="default" w:asciiTheme="minorEastAsia" w:hAnsiTheme="minorEastAsia" w:eastAsiaTheme="minorEastAsia" w:cstheme="minorEastAsia"/>
                <w:color w:val="000000"/>
                <w:kern w:val="2"/>
                <w:sz w:val="24"/>
                <w:szCs w:val="24"/>
                <w:highlight w:val="none"/>
                <w:lang w:val="en-US" w:eastAsia="zh-CN"/>
              </w:rPr>
            </w:pPr>
            <w:r>
              <w:rPr>
                <w:rFonts w:hint="eastAsia" w:asciiTheme="minorEastAsia" w:hAnsiTheme="minorEastAsia" w:eastAsiaTheme="minorEastAsia" w:cstheme="minorEastAsia"/>
                <w:color w:val="000000"/>
                <w:kern w:val="2"/>
                <w:sz w:val="24"/>
                <w:szCs w:val="24"/>
                <w:highlight w:val="none"/>
                <w:lang w:val="en-US" w:eastAsia="zh-CN"/>
              </w:rPr>
              <w:t>15分</w:t>
            </w:r>
          </w:p>
        </w:tc>
      </w:tr>
      <w:tr w14:paraId="13A8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1242" w:type="dxa"/>
            <w:vMerge w:val="continue"/>
            <w:noWrap/>
            <w:vAlign w:val="center"/>
          </w:tcPr>
          <w:p w14:paraId="1F3C32D0">
            <w:pPr>
              <w:keepNext w:val="0"/>
              <w:keepLines w:val="0"/>
              <w:pageBreakBefore w:val="0"/>
              <w:widowControl/>
              <w:kinsoku/>
              <w:wordWrap/>
              <w:overflowPunct/>
              <w:topLinePunct w:val="0"/>
              <w:bidi w:val="0"/>
              <w:snapToGrid/>
              <w:spacing w:line="400" w:lineRule="exact"/>
              <w:jc w:val="center"/>
              <w:textAlignment w:val="center"/>
              <w:outlineLvl w:val="9"/>
              <w:rPr>
                <w:rFonts w:hint="eastAsia" w:asciiTheme="minorEastAsia" w:hAnsiTheme="minorEastAsia" w:eastAsiaTheme="minorEastAsia" w:cstheme="minorEastAsia"/>
                <w:color w:val="000000"/>
                <w:kern w:val="0"/>
                <w:sz w:val="24"/>
                <w:szCs w:val="24"/>
                <w:highlight w:val="none"/>
                <w:lang w:val="en-US" w:eastAsia="zh-CN"/>
              </w:rPr>
            </w:pPr>
          </w:p>
        </w:tc>
        <w:tc>
          <w:tcPr>
            <w:tcW w:w="8208" w:type="dxa"/>
            <w:noWrap w:val="0"/>
            <w:vAlign w:val="top"/>
          </w:tcPr>
          <w:p w14:paraId="7B314D17">
            <w:pPr>
              <w:widowControl w:val="0"/>
              <w:kinsoku/>
              <w:autoSpaceDE/>
              <w:autoSpaceDN/>
              <w:adjustRightInd/>
              <w:snapToGrid/>
              <w:spacing w:line="400" w:lineRule="exact"/>
              <w:jc w:val="both"/>
              <w:textAlignment w:val="auto"/>
              <w:rPr>
                <w:rFonts w:hint="default" w:asciiTheme="minorEastAsia" w:hAnsiTheme="minorEastAsia" w:eastAsiaTheme="minorEastAsia" w:cstheme="minorEastAsia"/>
                <w:b/>
                <w:bCs/>
                <w:color w:val="000000"/>
                <w:kern w:val="2"/>
                <w:sz w:val="24"/>
                <w:szCs w:val="24"/>
                <w:highlight w:val="none"/>
                <w:lang w:val="en-US" w:eastAsia="zh-CN" w:bidi="ar-SA"/>
              </w:rPr>
            </w:pPr>
            <w:r>
              <w:rPr>
                <w:rFonts w:hint="eastAsia" w:asciiTheme="minorEastAsia" w:hAnsiTheme="minorEastAsia" w:eastAsiaTheme="minorEastAsia" w:cstheme="minorEastAsia"/>
                <w:b/>
                <w:bCs/>
                <w:color w:val="000000"/>
                <w:kern w:val="2"/>
                <w:sz w:val="24"/>
                <w:szCs w:val="24"/>
                <w:highlight w:val="none"/>
                <w:lang w:val="en-US" w:eastAsia="zh-CN" w:bidi="ar-SA"/>
              </w:rPr>
              <w:t>4、应急预案</w:t>
            </w:r>
          </w:p>
          <w:p w14:paraId="4C932FFD">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textAlignment w:val="baseline"/>
              <w:rPr>
                <w:rFonts w:hint="eastAsia" w:ascii="宋体" w:hAnsi="宋体" w:eastAsia="宋体" w:cs="宋体"/>
                <w:b w:val="0"/>
                <w:bCs w:val="0"/>
                <w:color w:val="auto"/>
                <w:spacing w:val="0"/>
                <w:position w:val="0"/>
                <w:sz w:val="24"/>
                <w:szCs w:val="24"/>
                <w:highlight w:val="none"/>
                <w:lang w:val="en-US" w:eastAsia="zh-CN"/>
              </w:rPr>
            </w:pPr>
            <w:r>
              <w:rPr>
                <w:rFonts w:hint="eastAsia" w:asciiTheme="minorEastAsia" w:hAnsiTheme="minorEastAsia" w:eastAsiaTheme="minorEastAsia" w:cstheme="minorEastAsia"/>
                <w:color w:val="000000"/>
                <w:kern w:val="2"/>
                <w:sz w:val="24"/>
                <w:szCs w:val="24"/>
                <w:highlight w:val="none"/>
                <w:lang w:val="en-US" w:eastAsia="zh-CN" w:bidi="ar-SA"/>
              </w:rPr>
              <w:t>根据本项目食堂实际情况，提供食堂突发事件的实施方案，内容包含但不限于（1）对遇群体性食物中毒（2）在进餐时不慎被热汤烫伤（3）遇临时停电而后备电源又不能正常工作的应急处理等突发针对性应急预案。</w:t>
            </w:r>
            <w:r>
              <w:rPr>
                <w:rFonts w:hint="eastAsia" w:ascii="宋体" w:hAnsi="宋体" w:eastAsia="宋体" w:cs="宋体"/>
                <w:b w:val="0"/>
                <w:bCs w:val="0"/>
                <w:color w:val="auto"/>
                <w:spacing w:val="0"/>
                <w:position w:val="0"/>
                <w:sz w:val="24"/>
                <w:szCs w:val="24"/>
                <w:highlight w:val="none"/>
                <w:lang w:val="en-US" w:eastAsia="zh-CN"/>
              </w:rPr>
              <w:t>每提供一项方案内容得5分,最高得15分。</w:t>
            </w:r>
          </w:p>
          <w:p w14:paraId="27C2FE24">
            <w:pPr>
              <w:widowControl w:val="0"/>
              <w:kinsoku/>
              <w:autoSpaceDE/>
              <w:autoSpaceDN/>
              <w:adjustRightInd/>
              <w:snapToGrid/>
              <w:spacing w:line="400" w:lineRule="exact"/>
              <w:jc w:val="both"/>
              <w:textAlignment w:val="auto"/>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宋体" w:hAnsi="宋体" w:eastAsia="宋体" w:cs="宋体"/>
                <w:b/>
                <w:bCs w:val="0"/>
                <w:color w:val="auto"/>
                <w:spacing w:val="0"/>
                <w:position w:val="0"/>
                <w:sz w:val="24"/>
                <w:szCs w:val="24"/>
                <w:highlight w:val="none"/>
                <w:lang w:val="en-US" w:eastAsia="zh-CN"/>
              </w:rPr>
              <w:cr/>
            </w:r>
            <w:r>
              <w:rPr>
                <w:rFonts w:hint="eastAsia" w:ascii="宋体" w:hAnsi="宋体" w:eastAsia="宋体" w:cs="宋体"/>
                <w:b/>
                <w:bCs w:val="0"/>
                <w:color w:val="auto"/>
                <w:spacing w:val="0"/>
                <w:position w:val="0"/>
                <w:sz w:val="24"/>
                <w:szCs w:val="24"/>
                <w:highlight w:val="none"/>
                <w:lang w:val="en-US" w:eastAsia="zh-CN"/>
              </w:rPr>
              <w:t>评审依据:响应文件中需提供</w:t>
            </w:r>
            <w:r>
              <w:rPr>
                <w:rFonts w:hint="eastAsia" w:asciiTheme="minorEastAsia" w:hAnsiTheme="minorEastAsia" w:eastAsiaTheme="minorEastAsia" w:cstheme="minorEastAsia"/>
                <w:b/>
                <w:bCs/>
                <w:color w:val="000000"/>
                <w:kern w:val="2"/>
                <w:sz w:val="24"/>
                <w:szCs w:val="24"/>
                <w:highlight w:val="none"/>
                <w:lang w:val="en-US" w:eastAsia="zh-CN" w:bidi="ar-SA"/>
              </w:rPr>
              <w:t>应急预案</w:t>
            </w:r>
            <w:r>
              <w:rPr>
                <w:rFonts w:hint="eastAsia" w:ascii="宋体" w:hAnsi="宋体" w:eastAsia="宋体" w:cs="宋体"/>
                <w:b/>
                <w:bCs w:val="0"/>
                <w:color w:val="auto"/>
                <w:spacing w:val="0"/>
                <w:position w:val="0"/>
                <w:sz w:val="24"/>
                <w:szCs w:val="24"/>
                <w:highlight w:val="none"/>
                <w:lang w:val="en-US" w:eastAsia="zh-CN"/>
              </w:rPr>
              <w:t>加盖投标人公章，提供的方案只有标题但缺乏实质性内容、未提供或提供的内容与项目采购需求无关的不得分。</w:t>
            </w:r>
          </w:p>
        </w:tc>
        <w:tc>
          <w:tcPr>
            <w:tcW w:w="889" w:type="dxa"/>
            <w:noWrap w:val="0"/>
            <w:vAlign w:val="center"/>
          </w:tcPr>
          <w:p w14:paraId="63B996EA">
            <w:pPr>
              <w:pStyle w:val="39"/>
              <w:keepNext w:val="0"/>
              <w:keepLines w:val="0"/>
              <w:pageBreakBefore w:val="0"/>
              <w:kinsoku/>
              <w:wordWrap/>
              <w:overflowPunct/>
              <w:topLinePunct w:val="0"/>
              <w:bidi w:val="0"/>
              <w:snapToGrid/>
              <w:spacing w:line="400" w:lineRule="exact"/>
              <w:jc w:val="center"/>
              <w:outlineLvl w:val="9"/>
              <w:rPr>
                <w:rFonts w:hint="eastAsia" w:asciiTheme="minorEastAsia" w:hAnsiTheme="minorEastAsia" w:eastAsiaTheme="minorEastAsia" w:cstheme="minorEastAsia"/>
                <w:color w:val="000000"/>
                <w:kern w:val="2"/>
                <w:sz w:val="24"/>
                <w:szCs w:val="24"/>
                <w:highlight w:val="none"/>
                <w:lang w:val="en-US" w:eastAsia="zh-CN"/>
              </w:rPr>
            </w:pPr>
            <w:r>
              <w:rPr>
                <w:rFonts w:hint="eastAsia" w:asciiTheme="minorEastAsia" w:hAnsiTheme="minorEastAsia" w:eastAsiaTheme="minorEastAsia" w:cstheme="minorEastAsia"/>
                <w:color w:val="000000"/>
                <w:kern w:val="2"/>
                <w:sz w:val="24"/>
                <w:szCs w:val="24"/>
                <w:highlight w:val="none"/>
                <w:lang w:val="en-US" w:eastAsia="zh-CN"/>
              </w:rPr>
              <w:t>15分</w:t>
            </w:r>
          </w:p>
        </w:tc>
      </w:tr>
      <w:tr w14:paraId="7322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1242" w:type="dxa"/>
            <w:vMerge w:val="continue"/>
            <w:noWrap/>
            <w:vAlign w:val="center"/>
          </w:tcPr>
          <w:p w14:paraId="2805A837">
            <w:pPr>
              <w:keepNext w:val="0"/>
              <w:keepLines w:val="0"/>
              <w:pageBreakBefore w:val="0"/>
              <w:widowControl/>
              <w:kinsoku/>
              <w:wordWrap/>
              <w:overflowPunct/>
              <w:topLinePunct w:val="0"/>
              <w:bidi w:val="0"/>
              <w:snapToGrid/>
              <w:spacing w:line="400" w:lineRule="exact"/>
              <w:jc w:val="center"/>
              <w:textAlignment w:val="center"/>
              <w:outlineLvl w:val="9"/>
              <w:rPr>
                <w:rFonts w:hint="eastAsia" w:asciiTheme="minorEastAsia" w:hAnsiTheme="minorEastAsia" w:eastAsiaTheme="minorEastAsia" w:cstheme="minorEastAsia"/>
                <w:color w:val="000000"/>
                <w:kern w:val="0"/>
                <w:sz w:val="24"/>
                <w:szCs w:val="24"/>
                <w:highlight w:val="none"/>
                <w:lang w:val="en-US" w:eastAsia="zh-CN"/>
              </w:rPr>
            </w:pPr>
          </w:p>
        </w:tc>
        <w:tc>
          <w:tcPr>
            <w:tcW w:w="8208" w:type="dxa"/>
            <w:noWrap w:val="0"/>
            <w:vAlign w:val="top"/>
          </w:tcPr>
          <w:p w14:paraId="2E6DF649">
            <w:pPr>
              <w:widowControl w:val="0"/>
              <w:kinsoku/>
              <w:autoSpaceDE/>
              <w:autoSpaceDN/>
              <w:adjustRightInd/>
              <w:snapToGrid/>
              <w:spacing w:line="400" w:lineRule="exact"/>
              <w:jc w:val="both"/>
              <w:textAlignment w:val="auto"/>
              <w:rPr>
                <w:rFonts w:hint="eastAsia" w:asciiTheme="minorEastAsia" w:hAnsiTheme="minorEastAsia" w:eastAsiaTheme="minorEastAsia" w:cstheme="minorEastAsia"/>
                <w:b/>
                <w:bCs/>
                <w:color w:val="000000"/>
                <w:kern w:val="2"/>
                <w:sz w:val="24"/>
                <w:szCs w:val="24"/>
                <w:highlight w:val="none"/>
                <w:lang w:val="en-US" w:eastAsia="zh-CN" w:bidi="ar-SA"/>
              </w:rPr>
            </w:pPr>
            <w:r>
              <w:rPr>
                <w:rFonts w:hint="eastAsia" w:asciiTheme="minorEastAsia" w:hAnsiTheme="minorEastAsia" w:eastAsiaTheme="minorEastAsia" w:cstheme="minorEastAsia"/>
                <w:b/>
                <w:bCs/>
                <w:color w:val="000000"/>
                <w:kern w:val="2"/>
                <w:sz w:val="24"/>
                <w:szCs w:val="24"/>
                <w:highlight w:val="none"/>
                <w:lang w:val="en-US" w:eastAsia="zh-CN" w:bidi="ar-SA"/>
              </w:rPr>
              <w:t>5、工作管理方案</w:t>
            </w:r>
          </w:p>
          <w:p w14:paraId="26026253">
            <w:pPr>
              <w:widowControl w:val="0"/>
              <w:kinsoku/>
              <w:autoSpaceDE/>
              <w:autoSpaceDN/>
              <w:adjustRightInd/>
              <w:snapToGrid/>
              <w:spacing w:line="400" w:lineRule="exact"/>
              <w:jc w:val="both"/>
              <w:textAlignment w:val="auto"/>
              <w:rPr>
                <w:rFonts w:hint="eastAsia" w:ascii="宋体" w:hAnsi="宋体" w:eastAsia="宋体" w:cs="宋体"/>
                <w:b w:val="0"/>
                <w:bCs w:val="0"/>
                <w:color w:val="auto"/>
                <w:spacing w:val="0"/>
                <w:position w:val="0"/>
                <w:sz w:val="24"/>
                <w:szCs w:val="24"/>
                <w:highlight w:val="none"/>
                <w:lang w:val="en-US" w:eastAsia="zh-CN"/>
              </w:rPr>
            </w:pPr>
            <w:r>
              <w:rPr>
                <w:rFonts w:hint="eastAsia" w:asciiTheme="minorEastAsia" w:hAnsiTheme="minorEastAsia" w:eastAsiaTheme="minorEastAsia" w:cstheme="minorEastAsia"/>
                <w:color w:val="000000"/>
                <w:kern w:val="2"/>
                <w:sz w:val="24"/>
                <w:szCs w:val="24"/>
                <w:highlight w:val="none"/>
                <w:lang w:val="en-US" w:eastAsia="zh-CN" w:bidi="ar-SA"/>
              </w:rPr>
              <w:t>供应商管理制度建立健全，包括但不限于（1）考勤考核（2）岗位职责</w:t>
            </w:r>
            <w:r>
              <w:rPr>
                <w:rFonts w:hint="eastAsia" w:asciiTheme="minorEastAsia" w:hAnsiTheme="minorEastAsia" w:eastAsiaTheme="minorEastAsia" w:cstheme="minorEastAsia"/>
                <w:color w:val="auto"/>
                <w:kern w:val="2"/>
                <w:sz w:val="24"/>
                <w:szCs w:val="24"/>
                <w:highlight w:val="none"/>
                <w:lang w:val="en-US" w:eastAsia="zh-CN" w:bidi="ar-SA"/>
              </w:rPr>
              <w:t>（3）制定每周菜单</w:t>
            </w:r>
            <w:r>
              <w:rPr>
                <w:rFonts w:hint="eastAsia" w:asciiTheme="minorEastAsia" w:hAnsiTheme="minorEastAsia" w:eastAsiaTheme="minorEastAsia" w:cstheme="minorEastAsia"/>
                <w:color w:val="000000"/>
                <w:kern w:val="2"/>
                <w:sz w:val="24"/>
                <w:szCs w:val="24"/>
                <w:highlight w:val="none"/>
                <w:lang w:val="en-US" w:eastAsia="zh-CN" w:bidi="ar-SA"/>
              </w:rPr>
              <w:t>（4）人员管理等方面，</w:t>
            </w:r>
            <w:r>
              <w:rPr>
                <w:rFonts w:hint="eastAsia" w:ascii="宋体" w:hAnsi="宋体" w:eastAsia="宋体" w:cs="宋体"/>
                <w:b w:val="0"/>
                <w:bCs w:val="0"/>
                <w:color w:val="auto"/>
                <w:spacing w:val="0"/>
                <w:position w:val="0"/>
                <w:sz w:val="24"/>
                <w:szCs w:val="24"/>
                <w:highlight w:val="none"/>
                <w:lang w:val="en-US" w:eastAsia="zh-CN"/>
              </w:rPr>
              <w:t>每提供一项方案内容得5分,最高得20分。</w:t>
            </w:r>
          </w:p>
          <w:p w14:paraId="60933111">
            <w:pPr>
              <w:widowControl w:val="0"/>
              <w:kinsoku/>
              <w:autoSpaceDE/>
              <w:autoSpaceDN/>
              <w:adjustRightInd/>
              <w:snapToGrid/>
              <w:spacing w:line="400" w:lineRule="exact"/>
              <w:jc w:val="both"/>
              <w:textAlignment w:val="auto"/>
              <w:rPr>
                <w:rFonts w:hint="default" w:asciiTheme="minorEastAsia" w:hAnsiTheme="minorEastAsia" w:eastAsiaTheme="minorEastAsia" w:cstheme="minorEastAsia"/>
                <w:color w:val="000000"/>
                <w:kern w:val="2"/>
                <w:sz w:val="24"/>
                <w:szCs w:val="24"/>
                <w:highlight w:val="none"/>
                <w:lang w:val="en-US" w:eastAsia="zh-CN" w:bidi="ar-SA"/>
              </w:rPr>
            </w:pPr>
            <w:r>
              <w:rPr>
                <w:rFonts w:hint="eastAsia" w:ascii="宋体" w:hAnsi="宋体" w:eastAsia="宋体" w:cs="宋体"/>
                <w:b/>
                <w:bCs w:val="0"/>
                <w:color w:val="auto"/>
                <w:spacing w:val="0"/>
                <w:position w:val="0"/>
                <w:sz w:val="24"/>
                <w:szCs w:val="24"/>
                <w:highlight w:val="none"/>
                <w:lang w:val="en-US" w:eastAsia="zh-CN"/>
              </w:rPr>
              <w:cr/>
            </w:r>
            <w:r>
              <w:rPr>
                <w:rFonts w:hint="eastAsia" w:ascii="宋体" w:hAnsi="宋体" w:eastAsia="宋体" w:cs="宋体"/>
                <w:b/>
                <w:bCs w:val="0"/>
                <w:color w:val="auto"/>
                <w:spacing w:val="0"/>
                <w:position w:val="0"/>
                <w:sz w:val="24"/>
                <w:szCs w:val="24"/>
                <w:highlight w:val="none"/>
                <w:lang w:val="en-US" w:eastAsia="zh-CN"/>
              </w:rPr>
              <w:t>评审依据:响应文件中需提供</w:t>
            </w:r>
            <w:r>
              <w:rPr>
                <w:rFonts w:hint="eastAsia" w:asciiTheme="minorEastAsia" w:hAnsiTheme="minorEastAsia" w:eastAsiaTheme="minorEastAsia" w:cstheme="minorEastAsia"/>
                <w:b/>
                <w:bCs/>
                <w:color w:val="000000"/>
                <w:kern w:val="2"/>
                <w:sz w:val="24"/>
                <w:szCs w:val="24"/>
                <w:highlight w:val="none"/>
                <w:lang w:val="en-US" w:eastAsia="zh-CN" w:bidi="ar-SA"/>
              </w:rPr>
              <w:t>工作管理方案</w:t>
            </w:r>
            <w:r>
              <w:rPr>
                <w:rFonts w:hint="eastAsia" w:ascii="宋体" w:hAnsi="宋体" w:eastAsia="宋体" w:cs="宋体"/>
                <w:b/>
                <w:bCs w:val="0"/>
                <w:color w:val="auto"/>
                <w:spacing w:val="0"/>
                <w:position w:val="0"/>
                <w:sz w:val="24"/>
                <w:szCs w:val="24"/>
                <w:highlight w:val="none"/>
                <w:lang w:val="en-US" w:eastAsia="zh-CN"/>
              </w:rPr>
              <w:t>加盖投标人公章，提供的方案只有标题但缺乏实质性内容、未提供或提供的内容与项目采购需求无关的不得分。</w:t>
            </w:r>
          </w:p>
        </w:tc>
        <w:tc>
          <w:tcPr>
            <w:tcW w:w="889" w:type="dxa"/>
            <w:noWrap w:val="0"/>
            <w:vAlign w:val="center"/>
          </w:tcPr>
          <w:p w14:paraId="21149394">
            <w:pPr>
              <w:pStyle w:val="39"/>
              <w:keepNext w:val="0"/>
              <w:keepLines w:val="0"/>
              <w:pageBreakBefore w:val="0"/>
              <w:kinsoku/>
              <w:wordWrap/>
              <w:overflowPunct/>
              <w:topLinePunct w:val="0"/>
              <w:bidi w:val="0"/>
              <w:snapToGrid/>
              <w:spacing w:line="400" w:lineRule="exact"/>
              <w:jc w:val="center"/>
              <w:outlineLvl w:val="9"/>
              <w:rPr>
                <w:rFonts w:hint="default" w:asciiTheme="minorEastAsia" w:hAnsiTheme="minorEastAsia" w:eastAsiaTheme="minorEastAsia" w:cstheme="minorEastAsia"/>
                <w:color w:val="000000"/>
                <w:kern w:val="2"/>
                <w:sz w:val="24"/>
                <w:szCs w:val="24"/>
                <w:highlight w:val="none"/>
                <w:lang w:val="en-US" w:eastAsia="zh-CN"/>
              </w:rPr>
            </w:pPr>
            <w:r>
              <w:rPr>
                <w:rFonts w:hint="eastAsia" w:asciiTheme="minorEastAsia" w:hAnsiTheme="minorEastAsia" w:eastAsiaTheme="minorEastAsia" w:cstheme="minorEastAsia"/>
                <w:color w:val="000000"/>
                <w:kern w:val="2"/>
                <w:sz w:val="24"/>
                <w:szCs w:val="24"/>
                <w:highlight w:val="none"/>
                <w:lang w:val="en-US" w:eastAsia="zh-CN"/>
              </w:rPr>
              <w:t>20分</w:t>
            </w:r>
          </w:p>
        </w:tc>
      </w:tr>
      <w:tr w14:paraId="05BD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1242" w:type="dxa"/>
            <w:vMerge w:val="restart"/>
            <w:noWrap/>
            <w:vAlign w:val="center"/>
          </w:tcPr>
          <w:p w14:paraId="32BCBB4D">
            <w:pPr>
              <w:keepNext w:val="0"/>
              <w:keepLines w:val="0"/>
              <w:pageBreakBefore w:val="0"/>
              <w:widowControl/>
              <w:kinsoku/>
              <w:wordWrap/>
              <w:overflowPunct/>
              <w:topLinePunct w:val="0"/>
              <w:bidi w:val="0"/>
              <w:snapToGrid/>
              <w:spacing w:line="400" w:lineRule="exact"/>
              <w:jc w:val="center"/>
              <w:textAlignment w:val="center"/>
              <w:outlineLvl w:val="9"/>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rPr>
              <w:t>商务分</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lang w:val="en-US" w:eastAsia="zh-CN"/>
              </w:rPr>
              <w:t>12分</w:t>
            </w:r>
            <w:r>
              <w:rPr>
                <w:rFonts w:hint="eastAsia" w:asciiTheme="minorEastAsia" w:hAnsiTheme="minorEastAsia" w:eastAsiaTheme="minorEastAsia" w:cstheme="minorEastAsia"/>
                <w:color w:val="000000"/>
                <w:kern w:val="0"/>
                <w:sz w:val="24"/>
                <w:szCs w:val="24"/>
                <w:highlight w:val="none"/>
                <w:lang w:eastAsia="zh-CN"/>
              </w:rPr>
              <w:t>）</w:t>
            </w:r>
          </w:p>
        </w:tc>
        <w:tc>
          <w:tcPr>
            <w:tcW w:w="8208" w:type="dxa"/>
            <w:noWrap w:val="0"/>
            <w:vAlign w:val="center"/>
          </w:tcPr>
          <w:p w14:paraId="0170D684">
            <w:pPr>
              <w:pStyle w:val="39"/>
              <w:keepNext w:val="0"/>
              <w:keepLines w:val="0"/>
              <w:pageBreakBefore w:val="0"/>
              <w:kinsoku/>
              <w:wordWrap/>
              <w:overflowPunct/>
              <w:topLinePunct w:val="0"/>
              <w:bidi w:val="0"/>
              <w:snapToGrid/>
              <w:spacing w:line="400" w:lineRule="exact"/>
              <w:jc w:val="both"/>
              <w:outlineLvl w:val="9"/>
              <w:rPr>
                <w:rFonts w:hint="eastAsia" w:asciiTheme="minorEastAsia" w:hAnsiTheme="minorEastAsia" w:eastAsiaTheme="minorEastAsia" w:cstheme="minorEastAsia"/>
                <w:b/>
                <w:bCs/>
                <w:color w:val="000000"/>
                <w:kern w:val="2"/>
                <w:sz w:val="24"/>
                <w:szCs w:val="24"/>
                <w:highlight w:val="none"/>
              </w:rPr>
            </w:pPr>
            <w:r>
              <w:rPr>
                <w:rFonts w:hint="eastAsia" w:asciiTheme="minorEastAsia" w:hAnsiTheme="minorEastAsia" w:eastAsiaTheme="minorEastAsia" w:cstheme="minorEastAsia"/>
                <w:b/>
                <w:bCs/>
                <w:color w:val="000000"/>
                <w:kern w:val="2"/>
                <w:sz w:val="24"/>
                <w:szCs w:val="24"/>
                <w:highlight w:val="none"/>
              </w:rPr>
              <w:t>1</w:t>
            </w:r>
            <w:r>
              <w:rPr>
                <w:rFonts w:hint="eastAsia" w:asciiTheme="minorEastAsia" w:hAnsiTheme="minorEastAsia" w:eastAsiaTheme="minorEastAsia" w:cstheme="minorEastAsia"/>
                <w:b/>
                <w:bCs/>
                <w:color w:val="000000"/>
                <w:kern w:val="2"/>
                <w:sz w:val="24"/>
                <w:szCs w:val="24"/>
                <w:highlight w:val="none"/>
                <w:lang w:eastAsia="zh-CN"/>
              </w:rPr>
              <w:t>、</w:t>
            </w:r>
            <w:r>
              <w:rPr>
                <w:rFonts w:hint="eastAsia" w:asciiTheme="minorEastAsia" w:hAnsiTheme="minorEastAsia" w:eastAsiaTheme="minorEastAsia" w:cstheme="minorEastAsia"/>
                <w:b/>
                <w:bCs/>
                <w:color w:val="000000"/>
                <w:kern w:val="2"/>
                <w:sz w:val="24"/>
                <w:szCs w:val="24"/>
                <w:highlight w:val="none"/>
              </w:rPr>
              <w:t>商务条款</w:t>
            </w:r>
          </w:p>
          <w:p w14:paraId="0FA10D25">
            <w:pPr>
              <w:pStyle w:val="39"/>
              <w:keepNext w:val="0"/>
              <w:keepLines w:val="0"/>
              <w:pageBreakBefore w:val="0"/>
              <w:kinsoku/>
              <w:wordWrap/>
              <w:overflowPunct/>
              <w:topLinePunct w:val="0"/>
              <w:bidi w:val="0"/>
              <w:snapToGrid/>
              <w:spacing w:line="400" w:lineRule="exact"/>
              <w:jc w:val="both"/>
              <w:outlineLvl w:val="9"/>
              <w:rPr>
                <w:rFonts w:hint="eastAsia" w:asciiTheme="minorEastAsia" w:hAnsiTheme="minorEastAsia" w:eastAsiaTheme="minorEastAsia" w:cstheme="minorEastAsia"/>
                <w:color w:val="000000"/>
                <w:kern w:val="2"/>
                <w:sz w:val="24"/>
                <w:szCs w:val="24"/>
                <w:highlight w:val="none"/>
                <w:lang w:val="en-US" w:eastAsia="zh-CN"/>
              </w:rPr>
            </w:pPr>
            <w:r>
              <w:rPr>
                <w:rFonts w:hint="eastAsia" w:asciiTheme="minorEastAsia" w:hAnsiTheme="minorEastAsia" w:eastAsiaTheme="minorEastAsia" w:cstheme="minorEastAsia"/>
                <w:color w:val="000000"/>
                <w:kern w:val="2"/>
                <w:sz w:val="24"/>
                <w:szCs w:val="24"/>
                <w:highlight w:val="none"/>
                <w:lang w:val="en-US" w:eastAsia="zh-CN"/>
              </w:rPr>
              <w:t>供应商完全满足磋商文件“第五章 （二）、商务条款”要求，一项不满足做无效投标处理。</w:t>
            </w:r>
          </w:p>
          <w:p w14:paraId="2475C23C">
            <w:pPr>
              <w:pStyle w:val="39"/>
              <w:keepNext w:val="0"/>
              <w:keepLines w:val="0"/>
              <w:pageBreakBefore w:val="0"/>
              <w:kinsoku/>
              <w:wordWrap/>
              <w:overflowPunct/>
              <w:topLinePunct w:val="0"/>
              <w:bidi w:val="0"/>
              <w:snapToGrid/>
              <w:spacing w:line="400" w:lineRule="exact"/>
              <w:jc w:val="both"/>
              <w:outlineLvl w:val="9"/>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b/>
                <w:bCs/>
                <w:color w:val="000000"/>
                <w:kern w:val="2"/>
                <w:sz w:val="24"/>
                <w:szCs w:val="24"/>
                <w:highlight w:val="none"/>
                <w:lang w:val="en-US" w:eastAsia="zh-CN" w:bidi="ar-SA"/>
              </w:rPr>
              <w:t>评审依据：提供“商务条款响应/偏离表”加盖供应商公章佐证。</w:t>
            </w:r>
          </w:p>
        </w:tc>
        <w:tc>
          <w:tcPr>
            <w:tcW w:w="889" w:type="dxa"/>
            <w:noWrap w:val="0"/>
            <w:vAlign w:val="center"/>
          </w:tcPr>
          <w:p w14:paraId="5DFCA4B9">
            <w:pPr>
              <w:pStyle w:val="39"/>
              <w:keepNext w:val="0"/>
              <w:keepLines w:val="0"/>
              <w:pageBreakBefore w:val="0"/>
              <w:kinsoku/>
              <w:wordWrap/>
              <w:overflowPunct/>
              <w:topLinePunct w:val="0"/>
              <w:bidi w:val="0"/>
              <w:snapToGrid/>
              <w:spacing w:line="400" w:lineRule="exact"/>
              <w:jc w:val="center"/>
              <w:outlineLvl w:val="9"/>
              <w:rPr>
                <w:rFonts w:hint="default" w:asciiTheme="minorEastAsia" w:hAnsiTheme="minorEastAsia" w:eastAsiaTheme="minorEastAsia" w:cstheme="minorEastAsia"/>
                <w:color w:val="000000"/>
                <w:kern w:val="2"/>
                <w:sz w:val="24"/>
                <w:szCs w:val="24"/>
                <w:highlight w:val="none"/>
                <w:lang w:val="en-US" w:eastAsia="zh-CN"/>
              </w:rPr>
            </w:pPr>
            <w:r>
              <w:rPr>
                <w:rFonts w:hint="eastAsia" w:asciiTheme="minorEastAsia" w:hAnsiTheme="minorEastAsia" w:eastAsiaTheme="minorEastAsia" w:cstheme="minorEastAsia"/>
                <w:color w:val="000000"/>
                <w:kern w:val="2"/>
                <w:sz w:val="24"/>
                <w:szCs w:val="24"/>
                <w:highlight w:val="none"/>
                <w:lang w:val="en-US" w:eastAsia="zh-CN"/>
              </w:rPr>
              <w:t>符合性审查</w:t>
            </w:r>
          </w:p>
        </w:tc>
      </w:tr>
      <w:tr w14:paraId="4C7D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1242" w:type="dxa"/>
            <w:vMerge w:val="continue"/>
            <w:noWrap/>
            <w:vAlign w:val="center"/>
          </w:tcPr>
          <w:p w14:paraId="1DE224B6">
            <w:pPr>
              <w:keepNext w:val="0"/>
              <w:keepLines w:val="0"/>
              <w:pageBreakBefore w:val="0"/>
              <w:widowControl/>
              <w:kinsoku/>
              <w:wordWrap/>
              <w:overflowPunct/>
              <w:topLinePunct w:val="0"/>
              <w:bidi w:val="0"/>
              <w:snapToGrid/>
              <w:spacing w:line="400" w:lineRule="exact"/>
              <w:jc w:val="center"/>
              <w:textAlignment w:val="center"/>
              <w:outlineLvl w:val="9"/>
              <w:rPr>
                <w:rFonts w:hint="eastAsia" w:asciiTheme="minorEastAsia" w:hAnsiTheme="minorEastAsia" w:eastAsiaTheme="minorEastAsia" w:cstheme="minorEastAsia"/>
                <w:color w:val="000000"/>
                <w:sz w:val="24"/>
                <w:szCs w:val="24"/>
                <w:highlight w:val="none"/>
              </w:rPr>
            </w:pPr>
          </w:p>
        </w:tc>
        <w:tc>
          <w:tcPr>
            <w:tcW w:w="8208" w:type="dxa"/>
            <w:noWrap w:val="0"/>
            <w:vAlign w:val="center"/>
          </w:tcPr>
          <w:p w14:paraId="3F75A129">
            <w:pPr>
              <w:widowControl w:val="0"/>
              <w:kinsoku/>
              <w:autoSpaceDE/>
              <w:autoSpaceDN/>
              <w:adjustRightInd/>
              <w:snapToGrid/>
              <w:spacing w:line="400" w:lineRule="exact"/>
              <w:jc w:val="both"/>
              <w:textAlignment w:val="auto"/>
              <w:rPr>
                <w:rFonts w:hint="eastAsia" w:asciiTheme="minorEastAsia" w:hAnsiTheme="minorEastAsia" w:eastAsiaTheme="minorEastAsia" w:cstheme="minorEastAsia"/>
                <w:b/>
                <w:bCs/>
                <w:color w:val="000000"/>
                <w:kern w:val="2"/>
                <w:sz w:val="24"/>
                <w:szCs w:val="24"/>
                <w:highlight w:val="none"/>
                <w:lang w:val="en-US" w:eastAsia="zh-CN" w:bidi="ar-SA"/>
              </w:rPr>
            </w:pPr>
            <w:r>
              <w:rPr>
                <w:rFonts w:hint="eastAsia" w:asciiTheme="minorEastAsia" w:hAnsiTheme="minorEastAsia" w:eastAsiaTheme="minorEastAsia" w:cstheme="minorEastAsia"/>
                <w:b/>
                <w:bCs/>
                <w:color w:val="000000"/>
                <w:kern w:val="2"/>
                <w:sz w:val="24"/>
                <w:szCs w:val="24"/>
                <w:highlight w:val="none"/>
                <w:lang w:val="en-US" w:eastAsia="zh-CN" w:bidi="ar-SA"/>
              </w:rPr>
              <w:t>2、业绩</w:t>
            </w:r>
          </w:p>
          <w:p w14:paraId="79952B4B">
            <w:pPr>
              <w:widowControl w:val="0"/>
              <w:kinsoku/>
              <w:autoSpaceDE/>
              <w:autoSpaceDN/>
              <w:adjustRightInd/>
              <w:snapToGrid/>
              <w:spacing w:line="400" w:lineRule="exact"/>
              <w:ind w:firstLine="480" w:firstLineChars="200"/>
              <w:jc w:val="both"/>
              <w:textAlignment w:val="auto"/>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自2021年1月1日起至今，供应商具有类似项目业绩，每提供1个得3分，最高得12分。</w:t>
            </w:r>
          </w:p>
          <w:p w14:paraId="764C3D21">
            <w:pPr>
              <w:widowControl w:val="0"/>
              <w:kinsoku/>
              <w:autoSpaceDE/>
              <w:autoSpaceDN/>
              <w:adjustRightInd/>
              <w:snapToGrid/>
              <w:spacing w:line="400" w:lineRule="exact"/>
              <w:jc w:val="both"/>
              <w:textAlignment w:val="auto"/>
              <w:rPr>
                <w:rFonts w:hint="eastAsia" w:asciiTheme="minorEastAsia" w:hAnsiTheme="minorEastAsia" w:eastAsiaTheme="minorEastAsia" w:cstheme="minorEastAsia"/>
                <w:b/>
                <w:bCs/>
                <w:color w:val="000000"/>
                <w:kern w:val="2"/>
                <w:sz w:val="24"/>
                <w:szCs w:val="24"/>
                <w:highlight w:val="none"/>
              </w:rPr>
            </w:pPr>
            <w:r>
              <w:rPr>
                <w:rFonts w:hint="eastAsia" w:asciiTheme="minorEastAsia" w:hAnsiTheme="minorEastAsia" w:eastAsiaTheme="minorEastAsia" w:cstheme="minorEastAsia"/>
                <w:b/>
                <w:bCs/>
                <w:color w:val="000000"/>
                <w:kern w:val="2"/>
                <w:sz w:val="24"/>
                <w:szCs w:val="24"/>
                <w:highlight w:val="none"/>
                <w:lang w:val="en-US" w:eastAsia="zh-CN" w:bidi="ar-SA"/>
              </w:rPr>
              <w:t>评审依据：提供合同加盖供应商公章，未提供者不得分。</w:t>
            </w:r>
          </w:p>
        </w:tc>
        <w:tc>
          <w:tcPr>
            <w:tcW w:w="889" w:type="dxa"/>
            <w:noWrap w:val="0"/>
            <w:vAlign w:val="center"/>
          </w:tcPr>
          <w:p w14:paraId="3B2B5BDC">
            <w:pPr>
              <w:pStyle w:val="39"/>
              <w:keepNext w:val="0"/>
              <w:keepLines w:val="0"/>
              <w:pageBreakBefore w:val="0"/>
              <w:kinsoku/>
              <w:wordWrap/>
              <w:overflowPunct/>
              <w:topLinePunct w:val="0"/>
              <w:bidi w:val="0"/>
              <w:snapToGrid/>
              <w:spacing w:line="400" w:lineRule="exact"/>
              <w:jc w:val="center"/>
              <w:outlineLvl w:val="9"/>
              <w:rPr>
                <w:rFonts w:hint="eastAsia" w:asciiTheme="minorEastAsia" w:hAnsiTheme="minorEastAsia" w:eastAsiaTheme="minorEastAsia" w:cstheme="minorEastAsia"/>
                <w:color w:val="000000"/>
                <w:kern w:val="2"/>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12分</w:t>
            </w:r>
          </w:p>
        </w:tc>
      </w:tr>
    </w:tbl>
    <w:p w14:paraId="245DEDD5">
      <w:pPr>
        <w:keepNext w:val="0"/>
        <w:keepLines w:val="0"/>
        <w:pageBreakBefore w:val="0"/>
        <w:kinsoku/>
        <w:wordWrap/>
        <w:overflowPunct/>
        <w:topLinePunct w:val="0"/>
        <w:bidi w:val="0"/>
        <w:snapToGrid/>
        <w:spacing w:line="400" w:lineRule="exact"/>
        <w:ind w:firstLine="480" w:firstLineChars="200"/>
        <w:outlineLvl w:val="9"/>
        <w:rPr>
          <w:sz w:val="24"/>
          <w:szCs w:val="24"/>
          <w:highlight w:val="none"/>
        </w:rPr>
      </w:pPr>
      <w:r>
        <w:rPr>
          <w:rFonts w:hint="eastAsia"/>
          <w:b/>
          <w:bCs/>
          <w:sz w:val="24"/>
          <w:szCs w:val="24"/>
          <w:highlight w:val="none"/>
        </w:rPr>
        <w:t>采购人在签订合同前将对中标人提供的资料进行审查，如提供虚假资料，采购人可按磋商文件规定取消中标资格并上报主管部门。</w:t>
      </w:r>
    </w:p>
    <w:p w14:paraId="02ACB586">
      <w:pPr>
        <w:spacing w:afterLines="50" w:line="440" w:lineRule="exact"/>
        <w:rPr>
          <w:rFonts w:hint="eastAsia" w:ascii="宋体" w:hAnsi="宋体" w:eastAsia="宋体" w:cs="宋体"/>
          <w:b/>
          <w:bCs/>
          <w:color w:val="auto"/>
          <w:sz w:val="24"/>
          <w:szCs w:val="24"/>
          <w:highlight w:val="none"/>
          <w:lang w:eastAsia="zh-CN"/>
        </w:rPr>
      </w:pPr>
    </w:p>
    <w:p w14:paraId="46CB501A">
      <w:pPr>
        <w:spacing w:afterLines="50" w:line="440" w:lineRule="exact"/>
        <w:rPr>
          <w:rFonts w:hint="eastAsia" w:ascii="宋体" w:hAnsi="宋体" w:eastAsia="宋体" w:cs="宋体"/>
          <w:b/>
          <w:bCs/>
          <w:color w:val="auto"/>
          <w:sz w:val="24"/>
          <w:szCs w:val="24"/>
          <w:highlight w:val="none"/>
          <w:lang w:eastAsia="zh-CN"/>
        </w:rPr>
      </w:pPr>
    </w:p>
    <w:sectPr>
      <w:footerReference r:id="rId15" w:type="default"/>
      <w:pgSz w:w="11906" w:h="16839"/>
      <w:pgMar w:top="1134" w:right="1134" w:bottom="1134" w:left="1134" w:header="0" w:footer="994"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UAOEA+Î¢ÈíÑÅºÚ,Bold">
    <w:altName w:val="Segoe Print"/>
    <w:panose1 w:val="00000000000000000000"/>
    <w:charset w:val="01"/>
    <w:family w:val="swiss"/>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63416">
    <w:pPr>
      <w:spacing w:line="173" w:lineRule="auto"/>
      <w:ind w:left="5140"/>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77562">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C5B8A">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57C5B8A">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97ED5">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A543D">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31A543D">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75A1">
    <w:pPr>
      <w:pStyle w:val="13"/>
      <w:rPr>
        <w:lang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4D0EE">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A74D0EE">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36E0F">
    <w:pPr>
      <w:pStyle w:val="13"/>
      <w:rPr>
        <w:lang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6D26F">
                          <w:pPr>
                            <w:pStyle w:val="1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296D26F">
                    <w:pPr>
                      <w:pStyle w:val="1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32CF">
    <w:pPr>
      <w:spacing w:line="173" w:lineRule="auto"/>
      <w:ind w:left="51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B4068">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6B4068">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5CC68">
    <w:pPr>
      <w:spacing w:line="176" w:lineRule="auto"/>
      <w:ind w:left="45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9CDA2">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579CDA2">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A313">
    <w:pPr>
      <w:spacing w:line="176" w:lineRule="auto"/>
      <w:ind w:left="45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15F17">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2515F17">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8FD1">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7EB9F">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187EB9F">
                    <w:pPr>
                      <w:pStyle w:val="1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54C92">
    <w:pPr>
      <w:spacing w:line="176" w:lineRule="auto"/>
      <w:ind w:left="44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17E28">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6F17E28">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49833">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28E6E9">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ScF0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WScF05AgAAcQQAAA4AAAAAAAAAAQAgAAAAHwEAAGRycy9lMm9Eb2Mu&#10;eG1sUEsFBgAAAAAGAAYAWQEAAMoFAAAAAA==&#10;">
              <v:fill on="f" focussize="0,0"/>
              <v:stroke on="f" weight="0.5pt"/>
              <v:imagedata o:title=""/>
              <o:lock v:ext="edit" aspectratio="f"/>
              <v:textbox inset="0mm,0mm,0mm,0mm" style="mso-fit-shape-to-text:t;">
                <w:txbxContent>
                  <w:p w14:paraId="1D28E6E9">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D4EDB">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7EDD5">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027EDD5">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A8E0">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0EF0D">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7470EF0D">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8B522"/>
    <w:multiLevelType w:val="singleLevel"/>
    <w:tmpl w:val="8618B522"/>
    <w:lvl w:ilvl="0" w:tentative="0">
      <w:start w:val="1"/>
      <w:numFmt w:val="decimal"/>
      <w:suff w:val="nothing"/>
      <w:lvlText w:val="%1．"/>
      <w:lvlJc w:val="left"/>
      <w:pPr>
        <w:ind w:left="0" w:firstLine="400"/>
      </w:pPr>
      <w:rPr>
        <w:rFonts w:hint="default"/>
      </w:rPr>
    </w:lvl>
  </w:abstractNum>
  <w:abstractNum w:abstractNumId="1">
    <w:nsid w:val="88F77FC1"/>
    <w:multiLevelType w:val="singleLevel"/>
    <w:tmpl w:val="88F77FC1"/>
    <w:lvl w:ilvl="0" w:tentative="0">
      <w:start w:val="1"/>
      <w:numFmt w:val="decimal"/>
      <w:suff w:val="nothing"/>
      <w:lvlText w:val="%1．"/>
      <w:lvlJc w:val="left"/>
      <w:pPr>
        <w:ind w:left="0" w:firstLine="400"/>
      </w:pPr>
      <w:rPr>
        <w:rFonts w:hint="default"/>
      </w:rPr>
    </w:lvl>
  </w:abstractNum>
  <w:abstractNum w:abstractNumId="2">
    <w:nsid w:val="1866EB2C"/>
    <w:multiLevelType w:val="singleLevel"/>
    <w:tmpl w:val="1866EB2C"/>
    <w:lvl w:ilvl="0" w:tentative="0">
      <w:start w:val="1"/>
      <w:numFmt w:val="decimal"/>
      <w:suff w:val="nothing"/>
      <w:lvlText w:val="%1．"/>
      <w:lvlJc w:val="left"/>
      <w:pPr>
        <w:ind w:left="0" w:firstLine="400"/>
      </w:pPr>
      <w:rPr>
        <w:rFonts w:hint="default"/>
      </w:rPr>
    </w:lvl>
  </w:abstractNum>
  <w:abstractNum w:abstractNumId="3">
    <w:nsid w:val="20BBA9C3"/>
    <w:multiLevelType w:val="singleLevel"/>
    <w:tmpl w:val="20BBA9C3"/>
    <w:lvl w:ilvl="0" w:tentative="0">
      <w:start w:val="1"/>
      <w:numFmt w:val="decimal"/>
      <w:suff w:val="nothing"/>
      <w:lvlText w:val="%1．"/>
      <w:lvlJc w:val="left"/>
      <w:pPr>
        <w:ind w:left="0" w:firstLine="400"/>
      </w:pPr>
      <w:rPr>
        <w:rFonts w:hint="default"/>
        <w:highlight w:val="none"/>
      </w:rPr>
    </w:lvl>
  </w:abstractNum>
  <w:abstractNum w:abstractNumId="4">
    <w:nsid w:val="6EA18FC9"/>
    <w:multiLevelType w:val="singleLevel"/>
    <w:tmpl w:val="6EA18FC9"/>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1"/>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M2IwZTUyMDQ1NGQwYjA1ZjExM2FlODA3YjQ0MzEifQ=="/>
  </w:docVars>
  <w:rsids>
    <w:rsidRoot w:val="00172A27"/>
    <w:rsid w:val="0031198B"/>
    <w:rsid w:val="00412A37"/>
    <w:rsid w:val="004E6C2D"/>
    <w:rsid w:val="005D75BC"/>
    <w:rsid w:val="006308AB"/>
    <w:rsid w:val="007E7821"/>
    <w:rsid w:val="00847DE1"/>
    <w:rsid w:val="00CD47AB"/>
    <w:rsid w:val="00D6521D"/>
    <w:rsid w:val="00F72BE7"/>
    <w:rsid w:val="013D404E"/>
    <w:rsid w:val="014707D5"/>
    <w:rsid w:val="0183453D"/>
    <w:rsid w:val="01C0501B"/>
    <w:rsid w:val="01E178D6"/>
    <w:rsid w:val="01F01E3C"/>
    <w:rsid w:val="01F176F8"/>
    <w:rsid w:val="023D46EC"/>
    <w:rsid w:val="02F62DEB"/>
    <w:rsid w:val="03A14F29"/>
    <w:rsid w:val="044D1E30"/>
    <w:rsid w:val="047C47B6"/>
    <w:rsid w:val="04F64D19"/>
    <w:rsid w:val="052B325D"/>
    <w:rsid w:val="055600A9"/>
    <w:rsid w:val="05F07017"/>
    <w:rsid w:val="062D088E"/>
    <w:rsid w:val="06CE56C1"/>
    <w:rsid w:val="06F25881"/>
    <w:rsid w:val="076566A7"/>
    <w:rsid w:val="079A2F4B"/>
    <w:rsid w:val="07B64740"/>
    <w:rsid w:val="081F5E69"/>
    <w:rsid w:val="08D800EA"/>
    <w:rsid w:val="08D86F1C"/>
    <w:rsid w:val="08E16CF8"/>
    <w:rsid w:val="098C4275"/>
    <w:rsid w:val="099C2AD0"/>
    <w:rsid w:val="0A5474C3"/>
    <w:rsid w:val="0A5F7AD5"/>
    <w:rsid w:val="0A630BD7"/>
    <w:rsid w:val="0AAA50E9"/>
    <w:rsid w:val="0ABB6AF5"/>
    <w:rsid w:val="0B3C7C36"/>
    <w:rsid w:val="0B614FF2"/>
    <w:rsid w:val="0B8D0492"/>
    <w:rsid w:val="0BCE5A19"/>
    <w:rsid w:val="0BD25EA5"/>
    <w:rsid w:val="0C027923"/>
    <w:rsid w:val="0C1E16F8"/>
    <w:rsid w:val="0C3B4061"/>
    <w:rsid w:val="0C4F6BDA"/>
    <w:rsid w:val="0C61741D"/>
    <w:rsid w:val="0D8470FB"/>
    <w:rsid w:val="0DB63714"/>
    <w:rsid w:val="0DBF7C0D"/>
    <w:rsid w:val="0DD264ED"/>
    <w:rsid w:val="0DD809E2"/>
    <w:rsid w:val="0DE84CCE"/>
    <w:rsid w:val="0E045967"/>
    <w:rsid w:val="0E306947"/>
    <w:rsid w:val="0E7A2A88"/>
    <w:rsid w:val="0EAA115A"/>
    <w:rsid w:val="0F8346BB"/>
    <w:rsid w:val="0FA80009"/>
    <w:rsid w:val="0FAD17DF"/>
    <w:rsid w:val="0FAE5D7D"/>
    <w:rsid w:val="107F306E"/>
    <w:rsid w:val="10D80401"/>
    <w:rsid w:val="114948FA"/>
    <w:rsid w:val="11715EFA"/>
    <w:rsid w:val="11C3263E"/>
    <w:rsid w:val="11CB5781"/>
    <w:rsid w:val="126757A9"/>
    <w:rsid w:val="128B5679"/>
    <w:rsid w:val="1292624E"/>
    <w:rsid w:val="12955EB0"/>
    <w:rsid w:val="129C0FBA"/>
    <w:rsid w:val="129D2A07"/>
    <w:rsid w:val="12B259DD"/>
    <w:rsid w:val="138344D0"/>
    <w:rsid w:val="139F6FB4"/>
    <w:rsid w:val="141C1D45"/>
    <w:rsid w:val="143E0B0F"/>
    <w:rsid w:val="14B561ED"/>
    <w:rsid w:val="14F13A81"/>
    <w:rsid w:val="1538599A"/>
    <w:rsid w:val="158B0678"/>
    <w:rsid w:val="158C1E17"/>
    <w:rsid w:val="15A703A2"/>
    <w:rsid w:val="16427D13"/>
    <w:rsid w:val="16A356CC"/>
    <w:rsid w:val="173418E5"/>
    <w:rsid w:val="17342109"/>
    <w:rsid w:val="178E538D"/>
    <w:rsid w:val="17D60801"/>
    <w:rsid w:val="182E6B2B"/>
    <w:rsid w:val="18363C5F"/>
    <w:rsid w:val="186009B5"/>
    <w:rsid w:val="186333C7"/>
    <w:rsid w:val="18846779"/>
    <w:rsid w:val="18C97898"/>
    <w:rsid w:val="18E4551E"/>
    <w:rsid w:val="18E84F59"/>
    <w:rsid w:val="18F643B3"/>
    <w:rsid w:val="19241D0A"/>
    <w:rsid w:val="193E2DCB"/>
    <w:rsid w:val="196206F1"/>
    <w:rsid w:val="198158BA"/>
    <w:rsid w:val="19DB5E7F"/>
    <w:rsid w:val="19F33BB6"/>
    <w:rsid w:val="1A551963"/>
    <w:rsid w:val="1AAF3BB2"/>
    <w:rsid w:val="1AD0292A"/>
    <w:rsid w:val="1AF44F33"/>
    <w:rsid w:val="1B1E113A"/>
    <w:rsid w:val="1B4548E5"/>
    <w:rsid w:val="1B702014"/>
    <w:rsid w:val="1B786B14"/>
    <w:rsid w:val="1B8F6D81"/>
    <w:rsid w:val="1BD32665"/>
    <w:rsid w:val="1BD47A17"/>
    <w:rsid w:val="1D085BCA"/>
    <w:rsid w:val="1D74500E"/>
    <w:rsid w:val="1D7D6A43"/>
    <w:rsid w:val="1DB85B20"/>
    <w:rsid w:val="1DC95DD0"/>
    <w:rsid w:val="1DD800C0"/>
    <w:rsid w:val="1E43791C"/>
    <w:rsid w:val="1F274302"/>
    <w:rsid w:val="1F29060F"/>
    <w:rsid w:val="1F2952CA"/>
    <w:rsid w:val="1FAB6CE1"/>
    <w:rsid w:val="1FFB53B7"/>
    <w:rsid w:val="20026D16"/>
    <w:rsid w:val="206155F1"/>
    <w:rsid w:val="20846402"/>
    <w:rsid w:val="20B54DB2"/>
    <w:rsid w:val="21042B4C"/>
    <w:rsid w:val="213A566A"/>
    <w:rsid w:val="21774A41"/>
    <w:rsid w:val="2195298B"/>
    <w:rsid w:val="21CE72BA"/>
    <w:rsid w:val="22072FB3"/>
    <w:rsid w:val="22112B50"/>
    <w:rsid w:val="224433AA"/>
    <w:rsid w:val="22791318"/>
    <w:rsid w:val="22A85555"/>
    <w:rsid w:val="22FD3CF7"/>
    <w:rsid w:val="23056708"/>
    <w:rsid w:val="234D0A23"/>
    <w:rsid w:val="23746473"/>
    <w:rsid w:val="23B5012E"/>
    <w:rsid w:val="23C04A55"/>
    <w:rsid w:val="24277076"/>
    <w:rsid w:val="2468590D"/>
    <w:rsid w:val="25533D7B"/>
    <w:rsid w:val="25823163"/>
    <w:rsid w:val="25E2090D"/>
    <w:rsid w:val="25F37706"/>
    <w:rsid w:val="262526F5"/>
    <w:rsid w:val="26BE3321"/>
    <w:rsid w:val="2722776F"/>
    <w:rsid w:val="27457A1B"/>
    <w:rsid w:val="274B704D"/>
    <w:rsid w:val="279C2686"/>
    <w:rsid w:val="27C04E47"/>
    <w:rsid w:val="27EB05C2"/>
    <w:rsid w:val="27EF1D1C"/>
    <w:rsid w:val="28042C4F"/>
    <w:rsid w:val="280660E7"/>
    <w:rsid w:val="28706D19"/>
    <w:rsid w:val="28CF7D70"/>
    <w:rsid w:val="291F3D28"/>
    <w:rsid w:val="29DA5D7B"/>
    <w:rsid w:val="2A071140"/>
    <w:rsid w:val="2AB2711F"/>
    <w:rsid w:val="2AC11AAE"/>
    <w:rsid w:val="2AC967C3"/>
    <w:rsid w:val="2B020E86"/>
    <w:rsid w:val="2B0F5B99"/>
    <w:rsid w:val="2B6C5691"/>
    <w:rsid w:val="2B797C93"/>
    <w:rsid w:val="2B7B7EAF"/>
    <w:rsid w:val="2BDA2720"/>
    <w:rsid w:val="2BE93C1A"/>
    <w:rsid w:val="2BED313B"/>
    <w:rsid w:val="2C520C10"/>
    <w:rsid w:val="2C695F59"/>
    <w:rsid w:val="2C8D7454"/>
    <w:rsid w:val="2CA90A4C"/>
    <w:rsid w:val="2CE90E48"/>
    <w:rsid w:val="2CF55C1F"/>
    <w:rsid w:val="2D4976E5"/>
    <w:rsid w:val="2D5B1D46"/>
    <w:rsid w:val="2D665E74"/>
    <w:rsid w:val="2D99286E"/>
    <w:rsid w:val="2DC72FBC"/>
    <w:rsid w:val="2DF41412"/>
    <w:rsid w:val="2DF84522"/>
    <w:rsid w:val="2E234DC0"/>
    <w:rsid w:val="2E2B0E5E"/>
    <w:rsid w:val="2E575FCC"/>
    <w:rsid w:val="2E693B84"/>
    <w:rsid w:val="2E8645F4"/>
    <w:rsid w:val="2EB108A7"/>
    <w:rsid w:val="2ED9380E"/>
    <w:rsid w:val="2F5F3B7C"/>
    <w:rsid w:val="2F9D067A"/>
    <w:rsid w:val="2FB63E0A"/>
    <w:rsid w:val="2FC17E5A"/>
    <w:rsid w:val="30136908"/>
    <w:rsid w:val="301C20C5"/>
    <w:rsid w:val="302A2D00"/>
    <w:rsid w:val="305E1890"/>
    <w:rsid w:val="30677FAE"/>
    <w:rsid w:val="307D6222"/>
    <w:rsid w:val="30FF6F51"/>
    <w:rsid w:val="31104BF6"/>
    <w:rsid w:val="31353885"/>
    <w:rsid w:val="314D409C"/>
    <w:rsid w:val="31526CE7"/>
    <w:rsid w:val="316B62D0"/>
    <w:rsid w:val="318178A1"/>
    <w:rsid w:val="31AC0DC2"/>
    <w:rsid w:val="31C55E0D"/>
    <w:rsid w:val="31E76326"/>
    <w:rsid w:val="31F73495"/>
    <w:rsid w:val="31FE5396"/>
    <w:rsid w:val="321C6AB4"/>
    <w:rsid w:val="3233535A"/>
    <w:rsid w:val="323572F6"/>
    <w:rsid w:val="3292724F"/>
    <w:rsid w:val="329A3D4F"/>
    <w:rsid w:val="32BE2A91"/>
    <w:rsid w:val="33074498"/>
    <w:rsid w:val="330D4250"/>
    <w:rsid w:val="33525E3B"/>
    <w:rsid w:val="33AE791F"/>
    <w:rsid w:val="33F26834"/>
    <w:rsid w:val="3408478C"/>
    <w:rsid w:val="34325184"/>
    <w:rsid w:val="346E1C27"/>
    <w:rsid w:val="34DF14AF"/>
    <w:rsid w:val="34F27B67"/>
    <w:rsid w:val="3522571C"/>
    <w:rsid w:val="353B411E"/>
    <w:rsid w:val="35591BE5"/>
    <w:rsid w:val="35FE0154"/>
    <w:rsid w:val="36064E50"/>
    <w:rsid w:val="362863AF"/>
    <w:rsid w:val="36597105"/>
    <w:rsid w:val="36844F22"/>
    <w:rsid w:val="36866A17"/>
    <w:rsid w:val="36D178DD"/>
    <w:rsid w:val="36E47CAD"/>
    <w:rsid w:val="37AF0454"/>
    <w:rsid w:val="37D05C01"/>
    <w:rsid w:val="37E34502"/>
    <w:rsid w:val="38590496"/>
    <w:rsid w:val="38613F89"/>
    <w:rsid w:val="3899102A"/>
    <w:rsid w:val="38B12F90"/>
    <w:rsid w:val="38B62F41"/>
    <w:rsid w:val="39012FAB"/>
    <w:rsid w:val="39225E0E"/>
    <w:rsid w:val="398A76FF"/>
    <w:rsid w:val="39A352DB"/>
    <w:rsid w:val="39D96E5F"/>
    <w:rsid w:val="3A1B5E20"/>
    <w:rsid w:val="3A6B125E"/>
    <w:rsid w:val="3ACC4E51"/>
    <w:rsid w:val="3B163B4E"/>
    <w:rsid w:val="3B7E51F7"/>
    <w:rsid w:val="3B8811A4"/>
    <w:rsid w:val="3BAC10D3"/>
    <w:rsid w:val="3BC6514F"/>
    <w:rsid w:val="3C0F220A"/>
    <w:rsid w:val="3C267544"/>
    <w:rsid w:val="3C8C6D91"/>
    <w:rsid w:val="3CD44D29"/>
    <w:rsid w:val="3CDE029E"/>
    <w:rsid w:val="3D36354C"/>
    <w:rsid w:val="3DBB413B"/>
    <w:rsid w:val="3DC93A44"/>
    <w:rsid w:val="3DD11BB1"/>
    <w:rsid w:val="3DED4811"/>
    <w:rsid w:val="3E1D6EB4"/>
    <w:rsid w:val="3E1F3CAD"/>
    <w:rsid w:val="3E292C29"/>
    <w:rsid w:val="3E417CA1"/>
    <w:rsid w:val="3E5C2DDB"/>
    <w:rsid w:val="3E78615B"/>
    <w:rsid w:val="3E8E35FE"/>
    <w:rsid w:val="3E8F22E6"/>
    <w:rsid w:val="3ED73827"/>
    <w:rsid w:val="3F19434D"/>
    <w:rsid w:val="3F261A88"/>
    <w:rsid w:val="3F984C13"/>
    <w:rsid w:val="40271DD6"/>
    <w:rsid w:val="41015B84"/>
    <w:rsid w:val="410C362B"/>
    <w:rsid w:val="41A941C4"/>
    <w:rsid w:val="428E7BE1"/>
    <w:rsid w:val="42B20B36"/>
    <w:rsid w:val="42FB66C8"/>
    <w:rsid w:val="43192944"/>
    <w:rsid w:val="432401EB"/>
    <w:rsid w:val="43394480"/>
    <w:rsid w:val="447255E6"/>
    <w:rsid w:val="44CD7E13"/>
    <w:rsid w:val="4536337E"/>
    <w:rsid w:val="453A628D"/>
    <w:rsid w:val="454B2248"/>
    <w:rsid w:val="45B61DB8"/>
    <w:rsid w:val="45D2152F"/>
    <w:rsid w:val="45EE0F95"/>
    <w:rsid w:val="45F42F70"/>
    <w:rsid w:val="45F85626"/>
    <w:rsid w:val="462273F5"/>
    <w:rsid w:val="466556B5"/>
    <w:rsid w:val="46710516"/>
    <w:rsid w:val="4692195B"/>
    <w:rsid w:val="46B76793"/>
    <w:rsid w:val="46F77A53"/>
    <w:rsid w:val="470E15D4"/>
    <w:rsid w:val="47234C6F"/>
    <w:rsid w:val="47A46250"/>
    <w:rsid w:val="47E36768"/>
    <w:rsid w:val="4810142F"/>
    <w:rsid w:val="484162BE"/>
    <w:rsid w:val="48643D4D"/>
    <w:rsid w:val="487D7E3E"/>
    <w:rsid w:val="48967192"/>
    <w:rsid w:val="489A6313"/>
    <w:rsid w:val="48A95C04"/>
    <w:rsid w:val="48CE0A5C"/>
    <w:rsid w:val="4949445D"/>
    <w:rsid w:val="49B51BAE"/>
    <w:rsid w:val="4A1225DB"/>
    <w:rsid w:val="4A442B3D"/>
    <w:rsid w:val="4A5E47CC"/>
    <w:rsid w:val="4A7E09CA"/>
    <w:rsid w:val="4A884CC6"/>
    <w:rsid w:val="4A8E6E5F"/>
    <w:rsid w:val="4AA55BC3"/>
    <w:rsid w:val="4ABC7D85"/>
    <w:rsid w:val="4AC97E97"/>
    <w:rsid w:val="4BA3693A"/>
    <w:rsid w:val="4C254B4B"/>
    <w:rsid w:val="4C940979"/>
    <w:rsid w:val="4D07114B"/>
    <w:rsid w:val="4D403EDA"/>
    <w:rsid w:val="4D954046"/>
    <w:rsid w:val="4E202AF3"/>
    <w:rsid w:val="4E6D29C4"/>
    <w:rsid w:val="4E9A0D74"/>
    <w:rsid w:val="4F282F37"/>
    <w:rsid w:val="4F701691"/>
    <w:rsid w:val="4FAA2095"/>
    <w:rsid w:val="4FC60E49"/>
    <w:rsid w:val="4FCD31AD"/>
    <w:rsid w:val="4FF52C71"/>
    <w:rsid w:val="503A7A08"/>
    <w:rsid w:val="5052092F"/>
    <w:rsid w:val="5055041F"/>
    <w:rsid w:val="50553934"/>
    <w:rsid w:val="509A51EA"/>
    <w:rsid w:val="509E3ED1"/>
    <w:rsid w:val="50B44F07"/>
    <w:rsid w:val="51075C82"/>
    <w:rsid w:val="514E559A"/>
    <w:rsid w:val="51D610EC"/>
    <w:rsid w:val="51E92988"/>
    <w:rsid w:val="520E62B8"/>
    <w:rsid w:val="522317E8"/>
    <w:rsid w:val="528312E8"/>
    <w:rsid w:val="529A4BA7"/>
    <w:rsid w:val="52B50FFA"/>
    <w:rsid w:val="52BB3578"/>
    <w:rsid w:val="52C31E67"/>
    <w:rsid w:val="52DA54E7"/>
    <w:rsid w:val="52E468A6"/>
    <w:rsid w:val="52E8669F"/>
    <w:rsid w:val="531F42E7"/>
    <w:rsid w:val="53D6797D"/>
    <w:rsid w:val="53E775E0"/>
    <w:rsid w:val="54723052"/>
    <w:rsid w:val="54BC690A"/>
    <w:rsid w:val="54FD5330"/>
    <w:rsid w:val="55132EB9"/>
    <w:rsid w:val="55E101CF"/>
    <w:rsid w:val="55E70E8D"/>
    <w:rsid w:val="55F00828"/>
    <w:rsid w:val="56174AC2"/>
    <w:rsid w:val="56431446"/>
    <w:rsid w:val="56E5591B"/>
    <w:rsid w:val="56E8059A"/>
    <w:rsid w:val="57091C60"/>
    <w:rsid w:val="57631674"/>
    <w:rsid w:val="578017C2"/>
    <w:rsid w:val="5794495B"/>
    <w:rsid w:val="5796448F"/>
    <w:rsid w:val="57A500D0"/>
    <w:rsid w:val="57C351F2"/>
    <w:rsid w:val="58532224"/>
    <w:rsid w:val="586903C5"/>
    <w:rsid w:val="58711142"/>
    <w:rsid w:val="593212FE"/>
    <w:rsid w:val="59590F80"/>
    <w:rsid w:val="59A732EE"/>
    <w:rsid w:val="59BC30FD"/>
    <w:rsid w:val="59C3464B"/>
    <w:rsid w:val="59DE2BBE"/>
    <w:rsid w:val="5A28151F"/>
    <w:rsid w:val="5A410A6F"/>
    <w:rsid w:val="5AC55338"/>
    <w:rsid w:val="5B3F45CC"/>
    <w:rsid w:val="5BB83A4C"/>
    <w:rsid w:val="5BC17152"/>
    <w:rsid w:val="5C157C52"/>
    <w:rsid w:val="5C432399"/>
    <w:rsid w:val="5C65447A"/>
    <w:rsid w:val="5CCD039C"/>
    <w:rsid w:val="5CE05C01"/>
    <w:rsid w:val="5D067F46"/>
    <w:rsid w:val="5D670D19"/>
    <w:rsid w:val="5D6A3C1F"/>
    <w:rsid w:val="5D842E75"/>
    <w:rsid w:val="5DC32781"/>
    <w:rsid w:val="5DEA6484"/>
    <w:rsid w:val="5E2A0506"/>
    <w:rsid w:val="5F1119B5"/>
    <w:rsid w:val="5F1F40D2"/>
    <w:rsid w:val="5F633E8F"/>
    <w:rsid w:val="5F816B3B"/>
    <w:rsid w:val="5F8A2976"/>
    <w:rsid w:val="5F8B5C0B"/>
    <w:rsid w:val="5FB9070F"/>
    <w:rsid w:val="5FE039CC"/>
    <w:rsid w:val="600E7957"/>
    <w:rsid w:val="606D70BF"/>
    <w:rsid w:val="60BF4ABD"/>
    <w:rsid w:val="60C87067"/>
    <w:rsid w:val="60D137C0"/>
    <w:rsid w:val="60EB4FAC"/>
    <w:rsid w:val="611C2FBF"/>
    <w:rsid w:val="613D03AF"/>
    <w:rsid w:val="615269E1"/>
    <w:rsid w:val="622C1128"/>
    <w:rsid w:val="62840C9B"/>
    <w:rsid w:val="62E95123"/>
    <w:rsid w:val="63753EA0"/>
    <w:rsid w:val="63923347"/>
    <w:rsid w:val="63A60D41"/>
    <w:rsid w:val="63C45248"/>
    <w:rsid w:val="63C6035F"/>
    <w:rsid w:val="646E0F66"/>
    <w:rsid w:val="649A1D1D"/>
    <w:rsid w:val="64AD1277"/>
    <w:rsid w:val="64E04304"/>
    <w:rsid w:val="659B691E"/>
    <w:rsid w:val="65D242C5"/>
    <w:rsid w:val="65D43361"/>
    <w:rsid w:val="65F10142"/>
    <w:rsid w:val="66124991"/>
    <w:rsid w:val="66770C98"/>
    <w:rsid w:val="66A87EA6"/>
    <w:rsid w:val="66E10C4D"/>
    <w:rsid w:val="67035B0B"/>
    <w:rsid w:val="676236F6"/>
    <w:rsid w:val="67D22629"/>
    <w:rsid w:val="685D140B"/>
    <w:rsid w:val="68D47A7B"/>
    <w:rsid w:val="68DF193E"/>
    <w:rsid w:val="68E84E3F"/>
    <w:rsid w:val="68F76E5C"/>
    <w:rsid w:val="69455133"/>
    <w:rsid w:val="69937B96"/>
    <w:rsid w:val="69A626EA"/>
    <w:rsid w:val="69C2222A"/>
    <w:rsid w:val="69DF21C2"/>
    <w:rsid w:val="6A3757AC"/>
    <w:rsid w:val="6A62031D"/>
    <w:rsid w:val="6A701523"/>
    <w:rsid w:val="6AC1406F"/>
    <w:rsid w:val="6AD523F9"/>
    <w:rsid w:val="6ADE7F47"/>
    <w:rsid w:val="6B4120C8"/>
    <w:rsid w:val="6B58506D"/>
    <w:rsid w:val="6B8E33C6"/>
    <w:rsid w:val="6B9B5986"/>
    <w:rsid w:val="6BDD42B9"/>
    <w:rsid w:val="6BE84649"/>
    <w:rsid w:val="6C085287"/>
    <w:rsid w:val="6C401523"/>
    <w:rsid w:val="6C7D0E73"/>
    <w:rsid w:val="6CD00EA6"/>
    <w:rsid w:val="6CE6131C"/>
    <w:rsid w:val="6CE90A8A"/>
    <w:rsid w:val="6D1A2C05"/>
    <w:rsid w:val="6D313420"/>
    <w:rsid w:val="6DDB7D5E"/>
    <w:rsid w:val="6DDD5A51"/>
    <w:rsid w:val="6DE51FC5"/>
    <w:rsid w:val="6E042F01"/>
    <w:rsid w:val="6EA15698"/>
    <w:rsid w:val="6EA231BA"/>
    <w:rsid w:val="6ED30F77"/>
    <w:rsid w:val="6F3A3E03"/>
    <w:rsid w:val="6F482D42"/>
    <w:rsid w:val="6FA523D2"/>
    <w:rsid w:val="6FAA57D6"/>
    <w:rsid w:val="6FDE58E3"/>
    <w:rsid w:val="701045B5"/>
    <w:rsid w:val="701C133B"/>
    <w:rsid w:val="703D37EB"/>
    <w:rsid w:val="70BF5715"/>
    <w:rsid w:val="712D6B22"/>
    <w:rsid w:val="71305754"/>
    <w:rsid w:val="715B4B81"/>
    <w:rsid w:val="717B055E"/>
    <w:rsid w:val="71B16C93"/>
    <w:rsid w:val="724F0F1D"/>
    <w:rsid w:val="729C3F60"/>
    <w:rsid w:val="729E26DA"/>
    <w:rsid w:val="72D4516E"/>
    <w:rsid w:val="7301390F"/>
    <w:rsid w:val="73070F3B"/>
    <w:rsid w:val="73B07EB2"/>
    <w:rsid w:val="73ED585D"/>
    <w:rsid w:val="741E6BF6"/>
    <w:rsid w:val="74257F85"/>
    <w:rsid w:val="746D7236"/>
    <w:rsid w:val="747607E0"/>
    <w:rsid w:val="74885165"/>
    <w:rsid w:val="75167071"/>
    <w:rsid w:val="757A7E5C"/>
    <w:rsid w:val="75E01033"/>
    <w:rsid w:val="76065B94"/>
    <w:rsid w:val="763407F4"/>
    <w:rsid w:val="768C7E47"/>
    <w:rsid w:val="76B15B00"/>
    <w:rsid w:val="76BB01D4"/>
    <w:rsid w:val="76D56593"/>
    <w:rsid w:val="775A1CF3"/>
    <w:rsid w:val="778446AD"/>
    <w:rsid w:val="77845FB9"/>
    <w:rsid w:val="77DF59B7"/>
    <w:rsid w:val="78AE6557"/>
    <w:rsid w:val="78E75FB4"/>
    <w:rsid w:val="792B48AD"/>
    <w:rsid w:val="794949B1"/>
    <w:rsid w:val="79FE1404"/>
    <w:rsid w:val="7A043533"/>
    <w:rsid w:val="7A4B1055"/>
    <w:rsid w:val="7A63567B"/>
    <w:rsid w:val="7A7F4E68"/>
    <w:rsid w:val="7ADC47C3"/>
    <w:rsid w:val="7B4B6523"/>
    <w:rsid w:val="7BD07335"/>
    <w:rsid w:val="7BD227A0"/>
    <w:rsid w:val="7C07399B"/>
    <w:rsid w:val="7C2D4CD4"/>
    <w:rsid w:val="7C2D5E41"/>
    <w:rsid w:val="7CA010C3"/>
    <w:rsid w:val="7CA34E54"/>
    <w:rsid w:val="7CCE6A29"/>
    <w:rsid w:val="7CF33270"/>
    <w:rsid w:val="7D02603F"/>
    <w:rsid w:val="7D2C2B03"/>
    <w:rsid w:val="7D4A280A"/>
    <w:rsid w:val="7D7550E8"/>
    <w:rsid w:val="7DC205F3"/>
    <w:rsid w:val="7E146C66"/>
    <w:rsid w:val="7E1D3989"/>
    <w:rsid w:val="7E261D0D"/>
    <w:rsid w:val="7E6E437D"/>
    <w:rsid w:val="7ED61979"/>
    <w:rsid w:val="7F051133"/>
    <w:rsid w:val="7F150C8C"/>
    <w:rsid w:val="7F61079B"/>
    <w:rsid w:val="7FC50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24"/>
      <w:lang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link w:val="35"/>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spacing w:line="480" w:lineRule="exact"/>
      <w:ind w:firstLine="567"/>
    </w:pPr>
    <w:rPr>
      <w:rFonts w:ascii="宋体"/>
      <w:kern w:val="28"/>
      <w:sz w:val="28"/>
      <w:szCs w:val="20"/>
    </w:rPr>
  </w:style>
  <w:style w:type="paragraph" w:styleId="6">
    <w:name w:val="annotation text"/>
    <w:basedOn w:val="1"/>
    <w:qFormat/>
    <w:uiPriority w:val="0"/>
    <w:pPr>
      <w:jc w:val="left"/>
    </w:pPr>
  </w:style>
  <w:style w:type="paragraph" w:styleId="7">
    <w:name w:val="Body Text"/>
    <w:basedOn w:val="1"/>
    <w:next w:val="1"/>
    <w:qFormat/>
    <w:uiPriority w:val="0"/>
    <w:rPr>
      <w:rFonts w:ascii="仿宋" w:hAnsi="仿宋" w:eastAsia="仿宋" w:cs="仿宋"/>
      <w:sz w:val="30"/>
      <w:szCs w:val="30"/>
    </w:rPr>
  </w:style>
  <w:style w:type="paragraph" w:styleId="8">
    <w:name w:val="Body Text Indent"/>
    <w:basedOn w:val="1"/>
    <w:next w:val="9"/>
    <w:unhideWhenUsed/>
    <w:qFormat/>
    <w:uiPriority w:val="99"/>
    <w:pPr>
      <w:spacing w:after="120"/>
      <w:ind w:left="420" w:leftChars="200"/>
    </w:pPr>
    <w:rPr>
      <w:rFonts w:eastAsia="微软雅黑"/>
      <w:kern w:val="0"/>
      <w:sz w:val="24"/>
      <w:szCs w:val="20"/>
    </w:rPr>
  </w:style>
  <w:style w:type="paragraph" w:styleId="9">
    <w:name w:val="Body Text First Indent 2"/>
    <w:basedOn w:val="8"/>
    <w:next w:val="1"/>
    <w:qFormat/>
    <w:uiPriority w:val="0"/>
    <w:pPr>
      <w:ind w:firstLine="420"/>
    </w:pPr>
  </w:style>
  <w:style w:type="paragraph" w:styleId="10">
    <w:name w:val="toc 3"/>
    <w:basedOn w:val="1"/>
    <w:next w:val="1"/>
    <w:qFormat/>
    <w:uiPriority w:val="0"/>
    <w:pPr>
      <w:ind w:left="840" w:leftChars="400"/>
    </w:pPr>
  </w:style>
  <w:style w:type="paragraph" w:styleId="11">
    <w:name w:val="Plain Text"/>
    <w:basedOn w:val="1"/>
    <w:next w:val="12"/>
    <w:qFormat/>
    <w:uiPriority w:val="0"/>
    <w:rPr>
      <w:rFonts w:ascii="宋体" w:hAnsi="Courier New"/>
      <w:kern w:val="0"/>
      <w:sz w:val="20"/>
      <w:szCs w:val="21"/>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footer"/>
    <w:basedOn w:val="1"/>
    <w:qFormat/>
    <w:uiPriority w:val="0"/>
    <w:pPr>
      <w:tabs>
        <w:tab w:val="center" w:pos="4153"/>
        <w:tab w:val="right" w:pos="8306"/>
      </w:tabs>
    </w:pPr>
    <w:rPr>
      <w:sz w:val="18"/>
    </w:rPr>
  </w:style>
  <w:style w:type="paragraph" w:styleId="14">
    <w:name w:val="toc 1"/>
    <w:basedOn w:val="1"/>
    <w:next w:val="1"/>
    <w:qFormat/>
    <w:uiPriority w:val="0"/>
  </w:style>
  <w:style w:type="paragraph" w:styleId="1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Body Text First Indent"/>
    <w:basedOn w:val="7"/>
    <w:qFormat/>
    <w:uiPriority w:val="0"/>
    <w:pPr>
      <w:ind w:firstLine="420" w:firstLineChars="100"/>
    </w:pPr>
  </w:style>
  <w:style w:type="character" w:styleId="21">
    <w:name w:val="Strong"/>
    <w:basedOn w:val="20"/>
    <w:qFormat/>
    <w:uiPriority w:val="0"/>
    <w:rPr>
      <w:b/>
    </w:rPr>
  </w:style>
  <w:style w:type="character" w:styleId="22">
    <w:name w:val="page number"/>
    <w:basedOn w:val="20"/>
    <w:qFormat/>
    <w:uiPriority w:val="99"/>
    <w:rPr>
      <w:rFonts w:cs="Times New Roman"/>
    </w:rPr>
  </w:style>
  <w:style w:type="character" w:styleId="23">
    <w:name w:val="FollowedHyperlink"/>
    <w:basedOn w:val="20"/>
    <w:qFormat/>
    <w:uiPriority w:val="0"/>
    <w:rPr>
      <w:color w:val="800080"/>
      <w:u w:val="single"/>
    </w:rPr>
  </w:style>
  <w:style w:type="character" w:styleId="24">
    <w:name w:val="Emphasis"/>
    <w:qFormat/>
    <w:uiPriority w:val="0"/>
  </w:style>
  <w:style w:type="character" w:styleId="25">
    <w:name w:val="Hyperlink"/>
    <w:basedOn w:val="20"/>
    <w:qFormat/>
    <w:uiPriority w:val="0"/>
    <w:rPr>
      <w:color w:val="0000FF"/>
      <w:u w:val="single"/>
    </w:rPr>
  </w:style>
  <w:style w:type="character" w:styleId="26">
    <w:name w:val="annotation reference"/>
    <w:unhideWhenUsed/>
    <w:qFormat/>
    <w:uiPriority w:val="0"/>
    <w:rPr>
      <w:sz w:val="21"/>
      <w:szCs w:val="21"/>
    </w:rPr>
  </w:style>
  <w:style w:type="paragraph" w:customStyle="1" w:styleId="27">
    <w:name w:val="正文缩进1"/>
    <w:basedOn w:val="1"/>
    <w:qFormat/>
    <w:uiPriority w:val="0"/>
    <w:pPr>
      <w:ind w:firstLine="200" w:firstLineChars="200"/>
    </w:pPr>
    <w:rPr>
      <w:szCs w:val="24"/>
    </w:rPr>
  </w:style>
  <w:style w:type="paragraph" w:customStyle="1" w:styleId="28">
    <w:name w:val="Heading2"/>
    <w:basedOn w:val="1"/>
    <w:qFormat/>
    <w:uiPriority w:val="0"/>
    <w:pPr>
      <w:keepNext/>
      <w:keepLines/>
      <w:spacing w:before="260" w:after="260" w:line="413" w:lineRule="auto"/>
    </w:pPr>
    <w:rPr>
      <w:rFonts w:ascii="Arial" w:hAnsi="Arial" w:eastAsia="黑体"/>
      <w:b/>
      <w:bCs/>
      <w:kern w:val="2"/>
      <w:sz w:val="32"/>
      <w:szCs w:val="32"/>
    </w:rPr>
  </w:style>
  <w:style w:type="paragraph" w:customStyle="1" w:styleId="29">
    <w:name w:val="Normal Indent"/>
    <w:basedOn w:val="1"/>
    <w:qFormat/>
    <w:uiPriority w:val="0"/>
    <w:pPr>
      <w:widowControl/>
      <w:ind w:firstLine="420" w:firstLineChars="200"/>
    </w:p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style>
  <w:style w:type="paragraph" w:customStyle="1" w:styleId="32">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33">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34">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35">
    <w:name w:val="标题 4 Char"/>
    <w:link w:val="4"/>
    <w:qFormat/>
    <w:uiPriority w:val="0"/>
    <w:rPr>
      <w:rFonts w:ascii="Arial" w:hAnsi="Arial" w:eastAsia="黑体"/>
      <w:b/>
      <w:sz w:val="28"/>
    </w:rPr>
  </w:style>
  <w:style w:type="paragraph" w:customStyle="1" w:styleId="36">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样式1"/>
    <w:basedOn w:val="2"/>
    <w:qFormat/>
    <w:uiPriority w:val="0"/>
    <w:pPr>
      <w:spacing w:before="240" w:after="240" w:line="440" w:lineRule="exact"/>
      <w:ind w:firstLine="0" w:firstLineChars="0"/>
      <w:jc w:val="center"/>
    </w:pPr>
    <w:rPr>
      <w:rFonts w:eastAsia="楷体"/>
      <w:sz w:val="36"/>
      <w:szCs w:val="28"/>
    </w:rPr>
  </w:style>
  <w:style w:type="character" w:customStyle="1" w:styleId="38">
    <w:name w:val="font31"/>
    <w:qFormat/>
    <w:uiPriority w:val="0"/>
    <w:rPr>
      <w:rFonts w:hint="eastAsia" w:ascii="宋体" w:hAnsi="宋体" w:eastAsia="宋体" w:cs="宋体"/>
      <w:color w:val="000000"/>
      <w:sz w:val="21"/>
      <w:szCs w:val="21"/>
      <w:u w:val="none"/>
    </w:rPr>
  </w:style>
  <w:style w:type="paragraph" w:customStyle="1" w:styleId="3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纯文本1"/>
    <w:basedOn w:val="1"/>
    <w:qFormat/>
    <w:uiPriority w:val="99"/>
    <w:rPr>
      <w:rFonts w:ascii="宋体" w:hAnsi="Courier New"/>
      <w:kern w:val="0"/>
      <w:sz w:val="20"/>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paragraph" w:customStyle="1" w:styleId="43">
    <w:name w:val="WPSOffice手动目录 3"/>
    <w:qFormat/>
    <w:uiPriority w:val="0"/>
    <w:pPr>
      <w:ind w:leftChars="400"/>
    </w:pPr>
    <w:rPr>
      <w:rFonts w:ascii="Times New Roman" w:hAnsi="Times New Roman" w:eastAsia="宋体" w:cs="Times New Roman"/>
      <w:sz w:val="20"/>
      <w:szCs w:val="20"/>
    </w:rPr>
  </w:style>
  <w:style w:type="paragraph" w:customStyle="1" w:styleId="44">
    <w:name w:val="页脚1"/>
    <w:basedOn w:val="1"/>
    <w:unhideWhenUsed/>
    <w:qFormat/>
    <w:uiPriority w:val="0"/>
    <w:pPr>
      <w:tabs>
        <w:tab w:val="center" w:pos="4153"/>
        <w:tab w:val="right" w:pos="8306"/>
      </w:tabs>
      <w:snapToGrid w:val="0"/>
      <w:spacing w:beforeLines="0" w:afterLines="0"/>
      <w:jc w:val="left"/>
    </w:pPr>
    <w:rPr>
      <w:rFonts w:hint="eastAsia"/>
      <w:sz w:val="18"/>
      <w:szCs w:val="24"/>
    </w:rPr>
  </w:style>
  <w:style w:type="character" w:customStyle="1" w:styleId="45">
    <w:name w:val="页码1"/>
    <w:basedOn w:val="46"/>
    <w:unhideWhenUsed/>
    <w:qFormat/>
    <w:uiPriority w:val="0"/>
    <w:rPr>
      <w:rFonts w:hint="default"/>
      <w:sz w:val="24"/>
      <w:szCs w:val="24"/>
    </w:rPr>
  </w:style>
  <w:style w:type="character" w:customStyle="1" w:styleId="46">
    <w:name w:val="默认段落字体1"/>
    <w:unhideWhenUsed/>
    <w:qFormat/>
    <w:uiPriority w:val="0"/>
    <w:rPr>
      <w:rFonts w:hint="default" w:ascii="Calibri" w:hAnsi="Calibri" w:eastAsia="宋体"/>
      <w:sz w:val="24"/>
      <w:szCs w:val="24"/>
    </w:rPr>
  </w:style>
  <w:style w:type="paragraph" w:customStyle="1" w:styleId="47">
    <w:name w:val="标题 61"/>
    <w:basedOn w:val="1"/>
    <w:qFormat/>
    <w:uiPriority w:val="1"/>
    <w:pPr>
      <w:spacing w:before="14"/>
      <w:outlineLvl w:val="6"/>
    </w:pPr>
    <w:rPr>
      <w:rFonts w:ascii="宋体" w:hAnsi="宋体"/>
      <w:sz w:val="28"/>
      <w:szCs w:val="28"/>
    </w:rPr>
  </w:style>
  <w:style w:type="paragraph" w:customStyle="1" w:styleId="48">
    <w:name w:val="PlainText"/>
    <w:basedOn w:val="1"/>
    <w:qFormat/>
    <w:uiPriority w:val="0"/>
    <w:pPr>
      <w:jc w:val="both"/>
      <w:textAlignment w:val="baseline"/>
    </w:pPr>
    <w:rPr>
      <w:rFonts w:ascii="宋体" w:hAnsi="Courier New"/>
      <w:kern w:val="2"/>
      <w:sz w:val="21"/>
      <w:szCs w:val="24"/>
      <w:lang w:val="en-US" w:eastAsia="zh-CN" w:bidi="ar-SA"/>
    </w:rPr>
  </w:style>
  <w:style w:type="paragraph" w:customStyle="1" w:styleId="49">
    <w:name w:val="Table Paragraph"/>
    <w:basedOn w:val="1"/>
    <w:qFormat/>
    <w:uiPriority w:val="1"/>
    <w:pPr>
      <w:jc w:val="left"/>
    </w:pPr>
    <w:rPr>
      <w:rFonts w:ascii="Calibri" w:hAnsi="Calibri"/>
      <w:kern w:val="0"/>
      <w:sz w:val="22"/>
      <w:szCs w:val="22"/>
      <w:lang w:eastAsia="en-US"/>
    </w:rPr>
  </w:style>
  <w:style w:type="character" w:customStyle="1" w:styleId="50">
    <w:name w:val="font11"/>
    <w:basedOn w:val="20"/>
    <w:qFormat/>
    <w:uiPriority w:val="0"/>
    <w:rPr>
      <w:rFonts w:hint="eastAsia" w:ascii="宋体" w:hAnsi="宋体" w:eastAsia="宋体" w:cs="宋体"/>
      <w:color w:val="000000"/>
      <w:sz w:val="30"/>
      <w:szCs w:val="30"/>
      <w:u w:val="none"/>
    </w:rPr>
  </w:style>
  <w:style w:type="character" w:customStyle="1" w:styleId="51">
    <w:name w:val="font01"/>
    <w:basedOn w:val="20"/>
    <w:qFormat/>
    <w:uiPriority w:val="0"/>
    <w:rPr>
      <w:rFonts w:hint="eastAsia" w:ascii="宋体" w:hAnsi="宋体" w:eastAsia="宋体" w:cs="宋体"/>
      <w:color w:val="000000"/>
      <w:sz w:val="24"/>
      <w:szCs w:val="24"/>
      <w:u w:val="none"/>
    </w:rPr>
  </w:style>
  <w:style w:type="character" w:customStyle="1" w:styleId="52">
    <w:name w:val="font21"/>
    <w:basedOn w:val="2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14587</Words>
  <Characters>15416</Characters>
  <Lines>230</Lines>
  <Paragraphs>64</Paragraphs>
  <TotalTime>5</TotalTime>
  <ScaleCrop>false</ScaleCrop>
  <LinksUpToDate>false</LinksUpToDate>
  <CharactersWithSpaces>16457</CharactersWithSpaces>
  <Application>WPS Office_12.1.0.24034_F1E327BC-269C-435d-A152-05C5408002CA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2023-09-05T04:49:00Z</dcterms:created>
  <dc:creator>hxw</dc:creator>
  <cp:lastModifiedBy>AB</cp:lastModifiedBy>
  <cp:lastPrinted>2025-12-01T08:38:00Z</cp:lastPrinted>
  <dcterms:modified xsi:type="dcterms:W3CDTF">2025-12-25T03:37:44Z</dcterms:modified>
  <dc:title>政府采购招标文件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2052-12.1.0.24034</vt:lpwstr>
  </property>
  <property fmtid="{D5CDD505-2E9C-101B-9397-08002B2CF9AE}" pid="5" name="ICV">
    <vt:lpwstr>9C5CBD8DB62747AD9CD7DB68328E00FF_13</vt:lpwstr>
  </property>
  <property fmtid="{D5CDD505-2E9C-101B-9397-08002B2CF9AE}" pid="6" name="KSOTemplateDocerSaveRecord">
    <vt:lpwstr>eyJoZGlkIjoiZWNmMzEwNGVjODI2M2MxYzgzZDBiZGIxNTIwNmU1MDciLCJ1c2VySWQiOiIxOTA3MzcwNzIifQ==</vt:lpwstr>
  </property>
</Properties>
</file>