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pStyle w:val="3"/>
        <w:numPr>
          <w:ilvl w:val="0"/>
          <w:numId w:val="0"/>
        </w:numPr>
        <w:shd w:val="clear" w:color="auto" w:fill="auto"/>
        <w:jc w:val="both"/>
        <w:rPr>
          <w:rFonts w:hint="default" w:ascii="宋体" w:hAnsi="宋体" w:eastAsia="宋体" w:cs="宋体"/>
          <w:b/>
          <w:bCs/>
          <w:color w:val="auto"/>
          <w:kern w:val="2"/>
          <w:sz w:val="32"/>
          <w:szCs w:val="32"/>
          <w:highlight w:val="none"/>
          <w:lang w:val="en-US" w:eastAsia="zh-CN" w:bidi="ar-SA"/>
        </w:rPr>
      </w:pPr>
      <w:bookmarkStart w:id="3" w:name="_GoBack"/>
      <w:bookmarkEnd w:id="3"/>
      <w:r>
        <w:rPr>
          <w:rFonts w:hint="eastAsia" w:ascii="宋体" w:hAnsi="宋体" w:eastAsia="宋体" w:cs="宋体"/>
          <w:b/>
          <w:bCs/>
          <w:color w:val="auto"/>
          <w:kern w:val="2"/>
          <w:sz w:val="32"/>
          <w:szCs w:val="32"/>
          <w:highlight w:val="none"/>
          <w:lang w:val="en-US" w:eastAsia="zh-CN" w:bidi="ar-SA"/>
        </w:rPr>
        <w:t>附件</w:t>
      </w:r>
    </w:p>
    <w:p w14:paraId="728947F0">
      <w:pPr>
        <w:pStyle w:val="3"/>
        <w:numPr>
          <w:ilvl w:val="0"/>
          <w:numId w:val="0"/>
        </w:numPr>
        <w:shd w:val="clear" w:color="auto" w:fill="auto"/>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一、</w:t>
      </w:r>
      <w:r>
        <w:rPr>
          <w:rFonts w:hint="eastAsia" w:ascii="宋体" w:hAnsi="宋体" w:eastAsia="宋体" w:cs="宋体"/>
          <w:b/>
          <w:bCs/>
          <w:color w:val="auto"/>
          <w:kern w:val="2"/>
          <w:sz w:val="32"/>
          <w:szCs w:val="32"/>
          <w:highlight w:val="none"/>
          <w:lang w:val="en-US" w:eastAsia="zh-CN" w:bidi="ar-SA"/>
        </w:rPr>
        <w:t>资格要求</w:t>
      </w:r>
    </w:p>
    <w:p w14:paraId="7DBC21C0">
      <w:pPr>
        <w:shd w:val="clear" w:color="auto" w:fill="auto"/>
        <w:spacing w:line="360" w:lineRule="auto"/>
        <w:ind w:left="0" w:leftChars="0" w:firstLine="420" w:firstLineChars="175"/>
        <w:rPr>
          <w:rFonts w:hint="eastAsia" w:ascii="宋体" w:hAnsi="宋体" w:cs="宋体"/>
          <w:color w:val="auto"/>
          <w:sz w:val="24"/>
          <w:highlight w:val="none"/>
          <w:lang w:eastAsia="zh-CN"/>
        </w:rPr>
      </w:pPr>
      <w:r>
        <w:rPr>
          <w:rFonts w:hint="eastAsia" w:ascii="宋体" w:hAnsi="宋体" w:cs="宋体"/>
          <w:color w:val="auto"/>
          <w:sz w:val="24"/>
          <w:highlight w:val="none"/>
        </w:rPr>
        <w:t>（一）具有独立承担民事责任的能力：提供法人或者其他组织的营业执照，法人授权委托书及委托代理人身份证（法定代表</w:t>
      </w:r>
      <w:r>
        <w:rPr>
          <w:rFonts w:hint="eastAsia" w:ascii="宋体" w:hAnsi="宋体" w:eastAsia="宋体" w:cs="宋体"/>
          <w:color w:val="auto"/>
          <w:sz w:val="24"/>
          <w:highlight w:val="none"/>
          <w:lang w:val="en-US" w:eastAsia="zh-CN"/>
        </w:rPr>
        <w:t>人</w:t>
      </w:r>
      <w:r>
        <w:rPr>
          <w:rFonts w:hint="eastAsia" w:ascii="宋体" w:hAnsi="宋体" w:cs="宋体"/>
          <w:color w:val="auto"/>
          <w:sz w:val="24"/>
          <w:highlight w:val="none"/>
        </w:rPr>
        <w:t>参加则只需提供身份证），自然人投标提供身份证明。</w:t>
      </w:r>
    </w:p>
    <w:p w14:paraId="0F697FE3">
      <w:pPr>
        <w:shd w:val="clear" w:color="auto" w:fill="auto"/>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r>
        <w:rPr>
          <w:rFonts w:hint="eastAsia" w:ascii="宋体" w:hAnsi="宋体" w:eastAsia="宋体" w:cs="宋体"/>
          <w:color w:val="auto"/>
          <w:sz w:val="24"/>
          <w:highlight w:val="none"/>
          <w:lang w:eastAsia="zh-CN"/>
        </w:rPr>
        <w:t>【</w:t>
      </w:r>
      <w:r>
        <w:rPr>
          <w:rFonts w:hint="eastAsia"/>
          <w:color w:val="auto"/>
          <w:sz w:val="24"/>
          <w:highlight w:val="none"/>
        </w:rPr>
        <w:t>提供</w:t>
      </w:r>
      <w:r>
        <w:rPr>
          <w:rFonts w:hint="eastAsia"/>
          <w:b/>
          <w:color w:val="auto"/>
          <w:sz w:val="24"/>
          <w:highlight w:val="none"/>
        </w:rPr>
        <w:t>《</w:t>
      </w:r>
      <w:r>
        <w:rPr>
          <w:rFonts w:hint="eastAsia" w:eastAsia="宋体"/>
          <w:b/>
          <w:color w:val="auto"/>
          <w:sz w:val="24"/>
          <w:highlight w:val="none"/>
          <w:lang w:val="en-US" w:eastAsia="zh-CN"/>
        </w:rPr>
        <w:t>供应商</w:t>
      </w:r>
      <w:r>
        <w:rPr>
          <w:rFonts w:hint="eastAsia"/>
          <w:b/>
          <w:color w:val="auto"/>
          <w:sz w:val="24"/>
          <w:highlight w:val="none"/>
        </w:rPr>
        <w:t>资格信用承诺函》</w:t>
      </w:r>
      <w:r>
        <w:rPr>
          <w:rFonts w:hint="eastAsia"/>
          <w:b/>
          <w:color w:val="auto"/>
          <w:sz w:val="24"/>
          <w:highlight w:val="none"/>
          <w:lang w:val="en-US" w:eastAsia="zh-CN"/>
        </w:rPr>
        <w:t>或</w:t>
      </w:r>
      <w:r>
        <w:rPr>
          <w:rFonts w:hint="eastAsia" w:ascii="宋体" w:hAnsi="宋体" w:cs="宋体"/>
          <w:color w:val="auto"/>
          <w:sz w:val="24"/>
          <w:highlight w:val="none"/>
        </w:rPr>
        <w:t>提供202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年度或202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年度审计报告，或者提供</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截止时间前一个月内开户银行出具的资信证明</w:t>
      </w:r>
      <w:r>
        <w:rPr>
          <w:rFonts w:hint="eastAsia" w:ascii="宋体" w:hAnsi="宋体"/>
          <w:b/>
          <w:bCs/>
          <w:color w:val="auto"/>
          <w:spacing w:val="4"/>
          <w:sz w:val="24"/>
          <w:szCs w:val="24"/>
          <w:highlight w:val="none"/>
        </w:rPr>
        <w:t>（提供资信证明的须同时提供开户许可证或基本存款账户信息）</w:t>
      </w:r>
      <w:r>
        <w:rPr>
          <w:rFonts w:hint="eastAsia" w:ascii="宋体" w:hAnsi="宋体" w:cs="宋体"/>
          <w:color w:val="auto"/>
          <w:sz w:val="24"/>
          <w:highlight w:val="none"/>
        </w:rPr>
        <w:t>，提供任一种均可</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w:t>
      </w:r>
    </w:p>
    <w:p w14:paraId="15F7CD6F">
      <w:pPr>
        <w:shd w:val="clear" w:color="auto" w:fill="auto"/>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r>
        <w:rPr>
          <w:rFonts w:hint="eastAsia" w:ascii="宋体" w:hAnsi="宋体" w:eastAsia="宋体" w:cs="宋体"/>
          <w:color w:val="auto"/>
          <w:sz w:val="24"/>
          <w:highlight w:val="none"/>
          <w:lang w:eastAsia="zh-CN"/>
        </w:rPr>
        <w:t>【</w:t>
      </w:r>
      <w:r>
        <w:rPr>
          <w:rFonts w:hint="eastAsia"/>
          <w:color w:val="auto"/>
          <w:sz w:val="24"/>
          <w:highlight w:val="none"/>
        </w:rPr>
        <w:t>提供</w:t>
      </w:r>
      <w:r>
        <w:rPr>
          <w:rFonts w:hint="eastAsia"/>
          <w:b/>
          <w:color w:val="auto"/>
          <w:sz w:val="24"/>
          <w:highlight w:val="none"/>
        </w:rPr>
        <w:t>《</w:t>
      </w:r>
      <w:r>
        <w:rPr>
          <w:rFonts w:hint="eastAsia" w:eastAsia="宋体"/>
          <w:b/>
          <w:color w:val="auto"/>
          <w:sz w:val="24"/>
          <w:highlight w:val="none"/>
          <w:lang w:val="en-US" w:eastAsia="zh-CN"/>
        </w:rPr>
        <w:t>供应商</w:t>
      </w:r>
      <w:r>
        <w:rPr>
          <w:rFonts w:hint="eastAsia"/>
          <w:b/>
          <w:color w:val="auto"/>
          <w:sz w:val="24"/>
          <w:highlight w:val="none"/>
        </w:rPr>
        <w:t>资格信用承诺函》</w:t>
      </w:r>
      <w:r>
        <w:rPr>
          <w:rFonts w:hint="eastAsia"/>
          <w:b/>
          <w:color w:val="auto"/>
          <w:sz w:val="24"/>
          <w:highlight w:val="none"/>
          <w:lang w:val="en-US" w:eastAsia="zh-CN"/>
        </w:rPr>
        <w:t>或</w:t>
      </w:r>
      <w:r>
        <w:rPr>
          <w:rFonts w:hint="eastAsia" w:ascii="宋体" w:hAnsi="宋体" w:cs="宋体"/>
          <w:color w:val="auto"/>
          <w:sz w:val="24"/>
          <w:highlight w:val="none"/>
        </w:rPr>
        <w:t>提供承诺函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w:t>
      </w:r>
    </w:p>
    <w:p w14:paraId="01CD1284">
      <w:pPr>
        <w:shd w:val="clear" w:color="auto" w:fill="auto"/>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（四）有依法缴纳税收和社会保障资金的良好记录的证明文件</w:t>
      </w:r>
    </w:p>
    <w:p w14:paraId="5C6709C9">
      <w:pPr>
        <w:shd w:val="clear" w:color="auto" w:fill="auto"/>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b/>
          <w:color w:val="auto"/>
          <w:sz w:val="24"/>
          <w:highlight w:val="none"/>
        </w:rPr>
        <w:t>《</w:t>
      </w:r>
      <w:r>
        <w:rPr>
          <w:rFonts w:hint="eastAsia" w:eastAsia="宋体"/>
          <w:b/>
          <w:color w:val="auto"/>
          <w:sz w:val="24"/>
          <w:highlight w:val="none"/>
          <w:lang w:val="en-US" w:eastAsia="zh-CN"/>
        </w:rPr>
        <w:t>供应商</w:t>
      </w:r>
      <w:r>
        <w:rPr>
          <w:rFonts w:hint="eastAsia"/>
          <w:b/>
          <w:color w:val="auto"/>
          <w:sz w:val="24"/>
          <w:highlight w:val="none"/>
        </w:rPr>
        <w:t>资格信用承诺函》</w:t>
      </w:r>
      <w:r>
        <w:rPr>
          <w:rFonts w:hint="eastAsia"/>
          <w:b/>
          <w:color w:val="auto"/>
          <w:sz w:val="24"/>
          <w:highlight w:val="none"/>
          <w:lang w:val="en-US" w:eastAsia="zh-CN"/>
        </w:rPr>
        <w:t>或</w:t>
      </w:r>
      <w:r>
        <w:rPr>
          <w:rFonts w:hint="eastAsia" w:ascii="宋体" w:hAnsi="宋体" w:cs="宋体"/>
          <w:color w:val="auto"/>
          <w:sz w:val="24"/>
          <w:highlight w:val="none"/>
        </w:rPr>
        <w:t>提供开标前六个月内任意一个月的缴纳税收和缴纳社会保障资金的证明材料；依法免税或不需要缴纳社会保障资金的供应商，应当提供相关文件证明其依法免税或不需要缴纳社会保障资金（</w:t>
      </w:r>
      <w:r>
        <w:rPr>
          <w:rFonts w:hint="eastAsia" w:ascii="宋体" w:hAnsi="宋体" w:eastAsia="宋体" w:cs="宋体"/>
          <w:color w:val="auto"/>
          <w:sz w:val="24"/>
          <w:highlight w:val="none"/>
          <w:lang w:eastAsia="zh-CN"/>
        </w:rPr>
        <w:t>扫描件</w:t>
      </w:r>
      <w:r>
        <w:rPr>
          <w:rFonts w:hint="eastAsia" w:ascii="宋体" w:hAnsi="宋体" w:cs="宋体"/>
          <w:color w:val="auto"/>
          <w:sz w:val="24"/>
          <w:highlight w:val="none"/>
        </w:rPr>
        <w:t>加盖公章）】</w:t>
      </w:r>
    </w:p>
    <w:p w14:paraId="120C303A">
      <w:pPr>
        <w:shd w:val="clear" w:color="auto" w:fill="auto"/>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cs="宋体"/>
          <w:color w:val="auto"/>
          <w:sz w:val="24"/>
          <w:highlight w:val="none"/>
        </w:rPr>
        <w:t>（五）参加政府招标活动前三年内，在经营活动中没有重大违法记录：</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提供</w:t>
      </w:r>
      <w:r>
        <w:rPr>
          <w:rFonts w:hint="eastAsia"/>
          <w:b/>
          <w:color w:val="auto"/>
          <w:sz w:val="24"/>
          <w:highlight w:val="none"/>
        </w:rPr>
        <w:t>《</w:t>
      </w:r>
      <w:r>
        <w:rPr>
          <w:rFonts w:hint="eastAsia" w:eastAsia="宋体"/>
          <w:b/>
          <w:color w:val="auto"/>
          <w:sz w:val="24"/>
          <w:highlight w:val="none"/>
          <w:lang w:val="en-US" w:eastAsia="zh-CN"/>
        </w:rPr>
        <w:t>供应商</w:t>
      </w:r>
      <w:r>
        <w:rPr>
          <w:rFonts w:hint="eastAsia"/>
          <w:b/>
          <w:color w:val="auto"/>
          <w:sz w:val="24"/>
          <w:highlight w:val="none"/>
        </w:rPr>
        <w:t>资格信用承诺函》</w:t>
      </w:r>
      <w:r>
        <w:rPr>
          <w:rFonts w:hint="eastAsia"/>
          <w:b/>
          <w:color w:val="auto"/>
          <w:sz w:val="24"/>
          <w:highlight w:val="none"/>
          <w:lang w:val="en-US" w:eastAsia="zh-CN"/>
        </w:rPr>
        <w:t>或</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自我书面声明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p>
    <w:p w14:paraId="2310C71E">
      <w:pPr>
        <w:shd w:val="clear" w:color="auto" w:fill="auto"/>
        <w:spacing w:line="360" w:lineRule="auto"/>
        <w:ind w:left="0" w:leftChars="0" w:firstLine="420" w:firstLineChars="175"/>
        <w:rPr>
          <w:rFonts w:hint="eastAsia" w:ascii="宋体" w:hAnsi="宋体" w:eastAsia="宋体" w:cs="宋体"/>
          <w:color w:val="auto"/>
          <w:sz w:val="24"/>
          <w:highlight w:val="none"/>
          <w:lang w:val="en-US" w:eastAsia="zh-CN"/>
        </w:rPr>
      </w:pPr>
      <w:bookmarkStart w:id="0" w:name="_Toc6097"/>
      <w:r>
        <w:rPr>
          <w:rFonts w:hint="eastAsia" w:ascii="宋体" w:hAnsi="宋体" w:eastAsia="宋体" w:cs="宋体"/>
          <w:color w:val="auto"/>
          <w:sz w:val="24"/>
          <w:highlight w:val="none"/>
          <w:lang w:val="en-US" w:eastAsia="zh-CN"/>
        </w:rPr>
        <w:t>（六）法律、行政</w:t>
      </w:r>
      <w:r>
        <w:rPr>
          <w:rFonts w:hint="eastAsia" w:ascii="宋体" w:hAnsi="宋体" w:cs="宋体"/>
          <w:color w:val="auto"/>
          <w:sz w:val="24"/>
          <w:highlight w:val="none"/>
          <w:lang w:val="en-US" w:eastAsia="zh-CN"/>
        </w:rPr>
        <w:t>法规</w:t>
      </w:r>
      <w:r>
        <w:rPr>
          <w:rFonts w:hint="eastAsia" w:ascii="宋体" w:hAnsi="宋体" w:eastAsia="宋体" w:cs="宋体"/>
          <w:color w:val="auto"/>
          <w:sz w:val="24"/>
          <w:highlight w:val="none"/>
          <w:lang w:val="en-US" w:eastAsia="zh-CN"/>
        </w:rPr>
        <w:t>规定的其他条件:</w:t>
      </w:r>
      <w:bookmarkEnd w:id="0"/>
      <w:r>
        <w:rPr>
          <w:rFonts w:hint="eastAsia" w:ascii="宋体" w:hAnsi="宋体" w:eastAsia="宋体" w:cs="宋体"/>
          <w:color w:val="auto"/>
          <w:sz w:val="24"/>
          <w:highlight w:val="none"/>
          <w:lang w:val="en-US" w:eastAsia="zh-CN"/>
        </w:rPr>
        <w:t xml:space="preserve"> </w:t>
      </w:r>
    </w:p>
    <w:p w14:paraId="26B621FB">
      <w:pPr>
        <w:shd w:val="clear" w:color="auto" w:fill="auto"/>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①单位负责人为同一人或者存在直接控股、管理关系的不同供应商，不得参加同一合同项下的采购活动；(告知项) </w:t>
      </w:r>
    </w:p>
    <w:p w14:paraId="54EE80CC">
      <w:pPr>
        <w:shd w:val="clear" w:color="auto" w:fill="auto"/>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②为采购项目提供整体设计、规范编制或者项目管理、监理、检测等服务的投标人不得参加该采购项目的采购活动；(告知项)</w:t>
      </w:r>
    </w:p>
    <w:p w14:paraId="5C93A6FA">
      <w:pPr>
        <w:shd w:val="clear" w:color="auto" w:fill="auto"/>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③供应商被“信用中国”网站列入失信被执行人和重大税收违法失信主体的、被“中国政府采购网”</w:t>
      </w:r>
      <w:r>
        <w:rPr>
          <w:rFonts w:hint="eastAsia" w:ascii="宋体" w:hAnsi="宋体" w:cs="宋体"/>
          <w:color w:val="auto"/>
          <w:sz w:val="24"/>
          <w:highlight w:val="none"/>
          <w:lang w:val="en-US" w:eastAsia="zh-CN"/>
        </w:rPr>
        <w:t>网站</w:t>
      </w:r>
      <w:r>
        <w:rPr>
          <w:rFonts w:hint="eastAsia" w:ascii="宋体" w:hAnsi="宋体" w:eastAsia="宋体" w:cs="宋体"/>
          <w:color w:val="auto"/>
          <w:sz w:val="24"/>
          <w:highlight w:val="none"/>
          <w:lang w:val="en-US" w:eastAsia="zh-CN"/>
        </w:rPr>
        <w:t>列入政府采购严重违法失信行为记录名单 (处罚期限尚未届满的)，不得参与本项目的采购活动。(告知项，以现场查询为准)</w:t>
      </w:r>
    </w:p>
    <w:p w14:paraId="5C95FFA3">
      <w:pPr>
        <w:shd w:val="clear" w:color="auto" w:fill="auto"/>
        <w:spacing w:line="360" w:lineRule="auto"/>
        <w:ind w:left="0" w:leftChars="0" w:firstLine="420" w:firstLineChars="175"/>
        <w:rPr>
          <w:rFonts w:hint="default"/>
          <w:lang w:val="en-US"/>
        </w:rPr>
      </w:pPr>
      <w:bookmarkStart w:id="1" w:name="_Toc24263"/>
      <w:bookmarkStart w:id="2" w:name="_Toc2828"/>
      <w:r>
        <w:rPr>
          <w:rFonts w:hint="eastAsia" w:ascii="宋体" w:hAnsi="宋体" w:eastAsia="宋体" w:cs="宋体"/>
          <w:color w:val="auto"/>
          <w:sz w:val="24"/>
          <w:highlight w:val="none"/>
          <w:lang w:val="en-US" w:eastAsia="zh-CN"/>
        </w:rPr>
        <w:t>（七）</w:t>
      </w:r>
      <w:bookmarkEnd w:id="1"/>
      <w:bookmarkEnd w:id="2"/>
      <w:r>
        <w:rPr>
          <w:rFonts w:hint="eastAsia" w:ascii="宋体" w:hAnsi="宋体" w:eastAsia="宋体" w:cs="宋体"/>
          <w:color w:val="auto"/>
          <w:sz w:val="24"/>
          <w:highlight w:val="none"/>
          <w:lang w:val="en-US" w:eastAsia="zh-CN"/>
        </w:rPr>
        <w:t>本项目的特定资格要求：无</w:t>
      </w:r>
    </w:p>
    <w:p w14:paraId="7061FF01">
      <w:pPr>
        <w:pStyle w:val="3"/>
        <w:numPr>
          <w:ilvl w:val="0"/>
          <w:numId w:val="0"/>
        </w:numPr>
        <w:shd w:val="clear" w:color="auto" w:fill="auto"/>
        <w:jc w:val="both"/>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二、材料清单及预算</w:t>
      </w:r>
    </w:p>
    <w:tbl>
      <w:tblPr>
        <w:tblStyle w:val="14"/>
        <w:tblW w:w="51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150"/>
        <w:gridCol w:w="1403"/>
        <w:gridCol w:w="1709"/>
        <w:gridCol w:w="1668"/>
      </w:tblGrid>
      <w:tr w14:paraId="30B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31322C11">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开挖及材料清单</w:t>
            </w:r>
          </w:p>
        </w:tc>
      </w:tr>
      <w:tr w14:paraId="72EA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6" w:type="pct"/>
            <w:noWrap w:val="0"/>
            <w:vAlign w:val="top"/>
          </w:tcPr>
          <w:p w14:paraId="175F4C0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序号</w:t>
            </w:r>
          </w:p>
        </w:tc>
        <w:tc>
          <w:tcPr>
            <w:tcW w:w="1801" w:type="pct"/>
            <w:noWrap w:val="0"/>
            <w:vAlign w:val="top"/>
          </w:tcPr>
          <w:p w14:paraId="4329379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名称</w:t>
            </w:r>
          </w:p>
        </w:tc>
        <w:tc>
          <w:tcPr>
            <w:tcW w:w="802" w:type="pct"/>
            <w:noWrap w:val="0"/>
            <w:vAlign w:val="top"/>
          </w:tcPr>
          <w:p w14:paraId="22BFF03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单位</w:t>
            </w:r>
          </w:p>
        </w:tc>
        <w:tc>
          <w:tcPr>
            <w:tcW w:w="977" w:type="pct"/>
            <w:noWrap w:val="0"/>
            <w:vAlign w:val="top"/>
          </w:tcPr>
          <w:p w14:paraId="234ECB02">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控制单价（元）</w:t>
            </w:r>
          </w:p>
        </w:tc>
        <w:tc>
          <w:tcPr>
            <w:tcW w:w="952" w:type="pct"/>
            <w:noWrap w:val="0"/>
            <w:vAlign w:val="top"/>
          </w:tcPr>
          <w:p w14:paraId="0F707229">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备注</w:t>
            </w:r>
          </w:p>
        </w:tc>
      </w:tr>
      <w:tr w14:paraId="132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66" w:type="pct"/>
            <w:noWrap w:val="0"/>
            <w:vAlign w:val="center"/>
          </w:tcPr>
          <w:p w14:paraId="36923BA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w:t>
            </w:r>
          </w:p>
        </w:tc>
        <w:tc>
          <w:tcPr>
            <w:tcW w:w="1801" w:type="pct"/>
            <w:noWrap w:val="0"/>
            <w:vAlign w:val="center"/>
          </w:tcPr>
          <w:p w14:paraId="3A5EBFA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75-8轮胎挖机台班</w:t>
            </w:r>
          </w:p>
        </w:tc>
        <w:tc>
          <w:tcPr>
            <w:tcW w:w="802" w:type="pct"/>
            <w:noWrap w:val="0"/>
            <w:vAlign w:val="center"/>
          </w:tcPr>
          <w:p w14:paraId="7C74228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8小时/台班</w:t>
            </w:r>
          </w:p>
        </w:tc>
        <w:tc>
          <w:tcPr>
            <w:tcW w:w="977" w:type="pct"/>
            <w:vMerge w:val="restart"/>
            <w:noWrap w:val="0"/>
            <w:vAlign w:val="center"/>
          </w:tcPr>
          <w:p w14:paraId="5D8C8A37">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p w14:paraId="014646FB">
            <w:pPr>
              <w:jc w:val="cente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p>
          <w:p w14:paraId="350F02BC">
            <w:pPr>
              <w:jc w:val="center"/>
              <w:rPr>
                <w:rFonts w:hint="default" w:ascii="宋体" w:hAnsi="宋体" w:eastAsia="宋体" w:cs="宋体"/>
                <w:i w:val="0"/>
                <w:iCs w:val="0"/>
                <w:caps w:val="0"/>
                <w:color w:val="333333"/>
                <w:spacing w:val="0"/>
                <w:kern w:val="0"/>
                <w:sz w:val="24"/>
                <w:szCs w:val="24"/>
                <w:highlight w:val="yellow"/>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有信息价的，以信息价为准（即以合同期间供货当月《江西省造价信息》发布的同期计价政策为依据）；没有信息价的。以甲方询价信息价为准。</w:t>
            </w:r>
          </w:p>
        </w:tc>
        <w:tc>
          <w:tcPr>
            <w:tcW w:w="952" w:type="pct"/>
            <w:noWrap w:val="0"/>
            <w:vAlign w:val="top"/>
          </w:tcPr>
          <w:p w14:paraId="4E46BC80">
            <w:pPr>
              <w:jc w:val="left"/>
              <w:rPr>
                <w:rFonts w:hint="eastAsia"/>
                <w:lang w:val="en-US" w:eastAsia="zh-CN"/>
              </w:rPr>
            </w:pPr>
            <w:r>
              <w:rPr>
                <w:rFonts w:hint="eastAsia"/>
                <w:lang w:val="en-US" w:eastAsia="zh-CN"/>
              </w:rPr>
              <w:t>备注：8个小时为一个台班，4小时内（含4小时）为0.5个台班</w:t>
            </w:r>
          </w:p>
          <w:p w14:paraId="679F1B02">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224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center"/>
          </w:tcPr>
          <w:p w14:paraId="7730319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p>
        </w:tc>
        <w:tc>
          <w:tcPr>
            <w:tcW w:w="1801" w:type="pct"/>
            <w:noWrap w:val="0"/>
            <w:vAlign w:val="top"/>
          </w:tcPr>
          <w:p w14:paraId="7AB36041">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75-8 打炮头</w:t>
            </w:r>
          </w:p>
        </w:tc>
        <w:tc>
          <w:tcPr>
            <w:tcW w:w="802" w:type="pct"/>
            <w:noWrap w:val="0"/>
            <w:vAlign w:val="center"/>
          </w:tcPr>
          <w:p w14:paraId="5A2D71D3">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工时</w:t>
            </w:r>
          </w:p>
        </w:tc>
        <w:tc>
          <w:tcPr>
            <w:tcW w:w="977" w:type="pct"/>
            <w:vMerge w:val="continue"/>
            <w:noWrap w:val="0"/>
            <w:vAlign w:val="center"/>
          </w:tcPr>
          <w:p w14:paraId="06D1DCD8">
            <w:pPr>
              <w:keepNext w:val="0"/>
              <w:keepLines w:val="0"/>
              <w:widowControl/>
              <w:suppressLineNumbers w:val="0"/>
              <w:jc w:val="center"/>
              <w:textAlignment w:val="center"/>
              <w:rPr>
                <w:rFonts w:hint="eastAsia" w:ascii="宋体" w:hAnsi="宋体" w:eastAsia="宋体" w:cs="宋体"/>
                <w:i w:val="0"/>
                <w:iCs w:val="0"/>
                <w:caps w:val="0"/>
                <w:color w:val="333333"/>
                <w:spacing w:val="0"/>
                <w:kern w:val="0"/>
                <w:sz w:val="24"/>
                <w:szCs w:val="24"/>
                <w:shd w:val="clear" w:color="auto" w:fill="FFFFFF"/>
                <w:lang w:val="en-US" w:eastAsia="zh-CN" w:bidi="ar"/>
              </w:rPr>
            </w:pPr>
          </w:p>
        </w:tc>
        <w:tc>
          <w:tcPr>
            <w:tcW w:w="952" w:type="pct"/>
            <w:noWrap w:val="0"/>
            <w:vAlign w:val="top"/>
          </w:tcPr>
          <w:p w14:paraId="15541249">
            <w:pPr>
              <w:pStyle w:val="5"/>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6FD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center"/>
          </w:tcPr>
          <w:p w14:paraId="7B1717C5">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p>
        </w:tc>
        <w:tc>
          <w:tcPr>
            <w:tcW w:w="1801" w:type="pct"/>
            <w:noWrap w:val="0"/>
            <w:vAlign w:val="top"/>
          </w:tcPr>
          <w:p w14:paraId="232F938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零星电焊台班（含材料、发电机）</w:t>
            </w:r>
          </w:p>
        </w:tc>
        <w:tc>
          <w:tcPr>
            <w:tcW w:w="802" w:type="pct"/>
            <w:noWrap w:val="0"/>
            <w:vAlign w:val="center"/>
          </w:tcPr>
          <w:p w14:paraId="09D4D1E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工时</w:t>
            </w:r>
          </w:p>
        </w:tc>
        <w:tc>
          <w:tcPr>
            <w:tcW w:w="977" w:type="pct"/>
            <w:vMerge w:val="continue"/>
            <w:noWrap w:val="0"/>
            <w:vAlign w:val="center"/>
          </w:tcPr>
          <w:p w14:paraId="07F91460">
            <w:pPr>
              <w:keepNext w:val="0"/>
              <w:keepLines w:val="0"/>
              <w:widowControl/>
              <w:suppressLineNumbers w:val="0"/>
              <w:jc w:val="center"/>
              <w:textAlignment w:val="center"/>
              <w:rPr>
                <w:rFonts w:hint="eastAsia" w:ascii="宋体" w:hAnsi="宋体" w:eastAsia="宋体" w:cs="宋体"/>
                <w:i w:val="0"/>
                <w:iCs w:val="0"/>
                <w:caps w:val="0"/>
                <w:color w:val="333333"/>
                <w:spacing w:val="0"/>
                <w:kern w:val="0"/>
                <w:sz w:val="24"/>
                <w:szCs w:val="24"/>
                <w:shd w:val="clear" w:color="auto" w:fill="FFFFFF"/>
                <w:lang w:val="en-US" w:eastAsia="zh-CN" w:bidi="ar"/>
              </w:rPr>
            </w:pPr>
          </w:p>
        </w:tc>
        <w:tc>
          <w:tcPr>
            <w:tcW w:w="952" w:type="pct"/>
            <w:noWrap w:val="0"/>
            <w:vAlign w:val="top"/>
          </w:tcPr>
          <w:p w14:paraId="33EAE71A">
            <w:pPr>
              <w:pStyle w:val="5"/>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7EDA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center"/>
          </w:tcPr>
          <w:p w14:paraId="79BDFF74">
            <w:pPr>
              <w:jc w:val="center"/>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4</w:t>
            </w:r>
          </w:p>
        </w:tc>
        <w:tc>
          <w:tcPr>
            <w:tcW w:w="1801" w:type="pct"/>
            <w:noWrap w:val="0"/>
            <w:vAlign w:val="center"/>
          </w:tcPr>
          <w:p w14:paraId="19953B6A">
            <w:pPr>
              <w:jc w:val="center"/>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压路机台班</w:t>
            </w:r>
          </w:p>
        </w:tc>
        <w:tc>
          <w:tcPr>
            <w:tcW w:w="802" w:type="pct"/>
            <w:noWrap w:val="0"/>
            <w:vAlign w:val="center"/>
          </w:tcPr>
          <w:p w14:paraId="28C57D41">
            <w:pPr>
              <w:jc w:val="cente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工时</w:t>
            </w:r>
          </w:p>
        </w:tc>
        <w:tc>
          <w:tcPr>
            <w:tcW w:w="977" w:type="pct"/>
            <w:vMerge w:val="continue"/>
            <w:noWrap w:val="0"/>
            <w:vAlign w:val="center"/>
          </w:tcPr>
          <w:p w14:paraId="6389E8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52" w:type="pct"/>
            <w:noWrap w:val="0"/>
            <w:vAlign w:val="top"/>
          </w:tcPr>
          <w:p w14:paraId="2BCF6511">
            <w:pPr>
              <w:pStyle w:val="5"/>
              <w:rPr>
                <w:rFonts w:hint="eastAsia"/>
                <w:highlight w:val="none"/>
                <w:lang w:val="en-US" w:eastAsia="zh-CN"/>
              </w:rPr>
            </w:pPr>
            <w:r>
              <w:rPr>
                <w:rFonts w:hint="eastAsia"/>
                <w:highlight w:val="none"/>
                <w:lang w:val="en-US" w:eastAsia="zh-CN"/>
              </w:rPr>
              <w:t>以到达现场开工时间来计算</w:t>
            </w:r>
          </w:p>
        </w:tc>
      </w:tr>
      <w:tr w14:paraId="346F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3BF33BF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5</w:t>
            </w:r>
          </w:p>
        </w:tc>
        <w:tc>
          <w:tcPr>
            <w:tcW w:w="1801" w:type="pct"/>
            <w:noWrap w:val="0"/>
            <w:vAlign w:val="top"/>
          </w:tcPr>
          <w:p w14:paraId="55422936">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余土外运（四方车）</w:t>
            </w:r>
          </w:p>
        </w:tc>
        <w:tc>
          <w:tcPr>
            <w:tcW w:w="802" w:type="pct"/>
            <w:noWrap w:val="0"/>
            <w:vAlign w:val="top"/>
          </w:tcPr>
          <w:p w14:paraId="613C35BB">
            <w:pPr>
              <w:jc w:val="center"/>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元/立方*运距（KM)</w:t>
            </w:r>
          </w:p>
        </w:tc>
        <w:tc>
          <w:tcPr>
            <w:tcW w:w="977" w:type="pct"/>
            <w:vMerge w:val="continue"/>
            <w:noWrap w:val="0"/>
            <w:vAlign w:val="top"/>
          </w:tcPr>
          <w:p w14:paraId="057D0B86">
            <w:pPr>
              <w:jc w:val="center"/>
              <w:rPr>
                <w:rFonts w:hint="default"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5F5FB36E">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0CC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6DBE99F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6</w:t>
            </w:r>
          </w:p>
        </w:tc>
        <w:tc>
          <w:tcPr>
            <w:tcW w:w="1801" w:type="pct"/>
            <w:noWrap w:val="0"/>
            <w:vAlign w:val="top"/>
          </w:tcPr>
          <w:p w14:paraId="2027E8C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余土外运（两方车）</w:t>
            </w:r>
          </w:p>
        </w:tc>
        <w:tc>
          <w:tcPr>
            <w:tcW w:w="802" w:type="pct"/>
            <w:noWrap w:val="0"/>
            <w:vAlign w:val="top"/>
          </w:tcPr>
          <w:p w14:paraId="045898DD">
            <w:pPr>
              <w:jc w:val="cente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元/立方*运距（KM)</w:t>
            </w:r>
          </w:p>
        </w:tc>
        <w:tc>
          <w:tcPr>
            <w:tcW w:w="977" w:type="pct"/>
            <w:vMerge w:val="continue"/>
            <w:noWrap w:val="0"/>
            <w:vAlign w:val="top"/>
          </w:tcPr>
          <w:p w14:paraId="41798F9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0A99927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562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7203D29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w:t>
            </w:r>
          </w:p>
        </w:tc>
        <w:tc>
          <w:tcPr>
            <w:tcW w:w="1801" w:type="pct"/>
            <w:noWrap w:val="0"/>
            <w:vAlign w:val="top"/>
          </w:tcPr>
          <w:p w14:paraId="32C6674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水泥</w:t>
            </w:r>
          </w:p>
        </w:tc>
        <w:tc>
          <w:tcPr>
            <w:tcW w:w="802" w:type="pct"/>
            <w:noWrap w:val="0"/>
            <w:vAlign w:val="top"/>
          </w:tcPr>
          <w:p w14:paraId="3DCAF7F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吨</w:t>
            </w:r>
          </w:p>
        </w:tc>
        <w:tc>
          <w:tcPr>
            <w:tcW w:w="977" w:type="pct"/>
            <w:vMerge w:val="continue"/>
            <w:noWrap w:val="0"/>
            <w:vAlign w:val="top"/>
          </w:tcPr>
          <w:p w14:paraId="68138CAC">
            <w:pPr>
              <w:jc w:val="center"/>
              <w:rPr>
                <w:rFonts w:hint="default"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6C715383">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54FD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2FD3F59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8</w:t>
            </w:r>
          </w:p>
        </w:tc>
        <w:tc>
          <w:tcPr>
            <w:tcW w:w="1801" w:type="pct"/>
            <w:noWrap w:val="0"/>
            <w:vAlign w:val="top"/>
          </w:tcPr>
          <w:p w14:paraId="2D76A77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砂石</w:t>
            </w:r>
          </w:p>
        </w:tc>
        <w:tc>
          <w:tcPr>
            <w:tcW w:w="802" w:type="pct"/>
            <w:noWrap w:val="0"/>
            <w:vAlign w:val="top"/>
          </w:tcPr>
          <w:p w14:paraId="6F395CA3">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5D910697">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3820CE90">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6932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204B331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9</w:t>
            </w:r>
          </w:p>
        </w:tc>
        <w:tc>
          <w:tcPr>
            <w:tcW w:w="1801" w:type="pct"/>
            <w:noWrap w:val="0"/>
            <w:vAlign w:val="top"/>
          </w:tcPr>
          <w:p w14:paraId="6FD119C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草皮（苗木）</w:t>
            </w:r>
          </w:p>
        </w:tc>
        <w:tc>
          <w:tcPr>
            <w:tcW w:w="802" w:type="pct"/>
            <w:noWrap w:val="0"/>
            <w:vAlign w:val="top"/>
          </w:tcPr>
          <w:p w14:paraId="45A721E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平米</w:t>
            </w:r>
          </w:p>
        </w:tc>
        <w:tc>
          <w:tcPr>
            <w:tcW w:w="977" w:type="pct"/>
            <w:vMerge w:val="continue"/>
            <w:noWrap w:val="0"/>
            <w:vAlign w:val="top"/>
          </w:tcPr>
          <w:p w14:paraId="617D8764">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43BDA7A1">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3A4C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759B4337">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10</w:t>
            </w:r>
          </w:p>
        </w:tc>
        <w:tc>
          <w:tcPr>
            <w:tcW w:w="1801" w:type="pct"/>
            <w:noWrap w:val="0"/>
            <w:vAlign w:val="top"/>
          </w:tcPr>
          <w:p w14:paraId="45ECA616">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吸水砖</w:t>
            </w:r>
          </w:p>
        </w:tc>
        <w:tc>
          <w:tcPr>
            <w:tcW w:w="802" w:type="pct"/>
            <w:noWrap w:val="0"/>
            <w:vAlign w:val="top"/>
          </w:tcPr>
          <w:p w14:paraId="540C0138">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2E47342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6470805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38FA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42FCFC1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11</w:t>
            </w:r>
          </w:p>
        </w:tc>
        <w:tc>
          <w:tcPr>
            <w:tcW w:w="1801" w:type="pct"/>
            <w:noWrap w:val="0"/>
            <w:vAlign w:val="top"/>
          </w:tcPr>
          <w:p w14:paraId="55A74AC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红砖</w:t>
            </w:r>
          </w:p>
        </w:tc>
        <w:tc>
          <w:tcPr>
            <w:tcW w:w="802" w:type="pct"/>
            <w:noWrap w:val="0"/>
            <w:vAlign w:val="top"/>
          </w:tcPr>
          <w:p w14:paraId="44AC067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24CECC22">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6C4D3209">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76A6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66" w:type="pct"/>
            <w:noWrap w:val="0"/>
            <w:vAlign w:val="top"/>
          </w:tcPr>
          <w:p w14:paraId="3AA7152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12</w:t>
            </w:r>
          </w:p>
        </w:tc>
        <w:tc>
          <w:tcPr>
            <w:tcW w:w="1801" w:type="pct"/>
            <w:noWrap w:val="0"/>
            <w:vAlign w:val="top"/>
          </w:tcPr>
          <w:p w14:paraId="25B3BD4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路沿石</w:t>
            </w:r>
          </w:p>
        </w:tc>
        <w:tc>
          <w:tcPr>
            <w:tcW w:w="802" w:type="pct"/>
            <w:noWrap w:val="0"/>
            <w:vAlign w:val="top"/>
          </w:tcPr>
          <w:p w14:paraId="07ACC00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条</w:t>
            </w:r>
          </w:p>
        </w:tc>
        <w:tc>
          <w:tcPr>
            <w:tcW w:w="977" w:type="pct"/>
            <w:vMerge w:val="continue"/>
            <w:noWrap w:val="0"/>
            <w:vAlign w:val="top"/>
          </w:tcPr>
          <w:p w14:paraId="1D8820AB">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34083644">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1ADE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66" w:type="pct"/>
            <w:noWrap w:val="0"/>
            <w:vAlign w:val="top"/>
          </w:tcPr>
          <w:p w14:paraId="68CC8DF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13</w:t>
            </w:r>
          </w:p>
        </w:tc>
        <w:tc>
          <w:tcPr>
            <w:tcW w:w="1801" w:type="pct"/>
            <w:noWrap w:val="0"/>
            <w:vAlign w:val="top"/>
          </w:tcPr>
          <w:p w14:paraId="3B5BDDF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沥青</w:t>
            </w:r>
          </w:p>
        </w:tc>
        <w:tc>
          <w:tcPr>
            <w:tcW w:w="802" w:type="pct"/>
            <w:noWrap w:val="0"/>
            <w:vAlign w:val="top"/>
          </w:tcPr>
          <w:p w14:paraId="0A624EC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02ABBF7D">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14BD5D2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420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5D8DFDFE">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14</w:t>
            </w:r>
          </w:p>
        </w:tc>
        <w:tc>
          <w:tcPr>
            <w:tcW w:w="1801" w:type="pct"/>
            <w:noWrap w:val="0"/>
            <w:vAlign w:val="top"/>
          </w:tcPr>
          <w:p w14:paraId="685CC15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盲道砖</w:t>
            </w:r>
          </w:p>
        </w:tc>
        <w:tc>
          <w:tcPr>
            <w:tcW w:w="802" w:type="pct"/>
            <w:noWrap w:val="0"/>
            <w:vAlign w:val="top"/>
          </w:tcPr>
          <w:p w14:paraId="7AA0D03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42DC620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6A191746">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7C9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733469F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15</w:t>
            </w:r>
          </w:p>
        </w:tc>
        <w:tc>
          <w:tcPr>
            <w:tcW w:w="1801" w:type="pct"/>
            <w:noWrap w:val="0"/>
            <w:vAlign w:val="top"/>
          </w:tcPr>
          <w:p w14:paraId="2202DB68">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钢筋</w:t>
            </w:r>
          </w:p>
        </w:tc>
        <w:tc>
          <w:tcPr>
            <w:tcW w:w="802" w:type="pct"/>
            <w:noWrap w:val="0"/>
            <w:vAlign w:val="top"/>
          </w:tcPr>
          <w:p w14:paraId="7564765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吨</w:t>
            </w:r>
          </w:p>
        </w:tc>
        <w:tc>
          <w:tcPr>
            <w:tcW w:w="977" w:type="pct"/>
            <w:vMerge w:val="continue"/>
            <w:noWrap w:val="0"/>
            <w:vAlign w:val="top"/>
          </w:tcPr>
          <w:p w14:paraId="21D9F27E">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52" w:type="pct"/>
            <w:noWrap w:val="0"/>
            <w:vAlign w:val="top"/>
          </w:tcPr>
          <w:p w14:paraId="4A328C72">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bl>
    <w:p w14:paraId="667321B7">
      <w:pPr>
        <w:keepNext w:val="0"/>
        <w:keepLines w:val="0"/>
        <w:pageBreakBefore w:val="0"/>
        <w:kinsoku/>
        <w:wordWrap/>
        <w:overflowPunct/>
        <w:topLinePunct w:val="0"/>
        <w:bidi w:val="0"/>
        <w:snapToGrid w:val="0"/>
        <w:spacing w:line="496" w:lineRule="exact"/>
        <w:ind w:right="519" w:rightChars="247"/>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注：</w:t>
      </w:r>
    </w:p>
    <w:p w14:paraId="0F3B92FA">
      <w:pPr>
        <w:keepNext w:val="0"/>
        <w:keepLines w:val="0"/>
        <w:pageBreakBefore w:val="0"/>
        <w:numPr>
          <w:ilvl w:val="0"/>
          <w:numId w:val="1"/>
        </w:numPr>
        <w:kinsoku/>
        <w:wordWrap/>
        <w:overflowPunct/>
        <w:topLinePunct w:val="0"/>
        <w:bidi w:val="0"/>
        <w:snapToGrid w:val="0"/>
        <w:spacing w:line="496" w:lineRule="exact"/>
        <w:ind w:right="519" w:rightChars="247"/>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材料清单中（1、2、3、4小项）供应商若自有设备、须提供设备购买发票复印件加盖供应商公章。若为租赁，需提供有效期内的租赁合同原件复印件加盖供应商公章。（开标时提供）</w:t>
      </w:r>
    </w:p>
    <w:p w14:paraId="73D82ACC">
      <w:pPr>
        <w:keepNext w:val="0"/>
        <w:keepLines w:val="0"/>
        <w:pageBreakBefore w:val="0"/>
        <w:numPr>
          <w:ilvl w:val="0"/>
          <w:numId w:val="1"/>
        </w:numPr>
        <w:kinsoku/>
        <w:wordWrap/>
        <w:overflowPunct/>
        <w:topLinePunct w:val="0"/>
        <w:bidi w:val="0"/>
        <w:snapToGrid w:val="0"/>
        <w:spacing w:line="496" w:lineRule="exact"/>
        <w:ind w:right="519" w:rightChars="247"/>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中标后、采购人有权利针对成交供应商提供的设备凭证进行查验，若为虚假响应，采购人有权利取消其中标资格。</w:t>
      </w:r>
    </w:p>
    <w:p w14:paraId="39BDE09C">
      <w:pPr>
        <w:keepNext w:val="0"/>
        <w:keepLines w:val="0"/>
        <w:pageBreakBefore w:val="0"/>
        <w:numPr>
          <w:ilvl w:val="0"/>
          <w:numId w:val="1"/>
        </w:numPr>
        <w:kinsoku/>
        <w:wordWrap/>
        <w:overflowPunct/>
        <w:topLinePunct w:val="0"/>
        <w:bidi w:val="0"/>
        <w:snapToGrid w:val="0"/>
        <w:spacing w:line="496" w:lineRule="exact"/>
        <w:ind w:left="0" w:leftChars="0" w:right="519" w:rightChars="247" w:firstLine="0" w:firstLineChars="0"/>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材料清单中5-15项所需材料的规格参数与数量未定，一切以开工现场实际需求量清单为准。</w:t>
      </w:r>
    </w:p>
    <w:p w14:paraId="3DDECD38">
      <w:pPr>
        <w:pStyle w:val="3"/>
        <w:numPr>
          <w:ilvl w:val="0"/>
          <w:numId w:val="0"/>
        </w:numPr>
        <w:shd w:val="clear" w:color="auto" w:fill="auto"/>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三、商务条款</w:t>
      </w:r>
    </w:p>
    <w:p w14:paraId="2471BC13">
      <w:pPr>
        <w:widowControl/>
        <w:numPr>
          <w:ilvl w:val="0"/>
          <w:numId w:val="2"/>
        </w:numPr>
        <w:snapToGrid w:val="0"/>
        <w:spacing w:line="384" w:lineRule="auto"/>
        <w:rPr>
          <w:rFonts w:hint="eastAsia" w:ascii="宋体" w:hAnsi="宋体" w:cs="宋体"/>
          <w:kern w:val="0"/>
          <w:sz w:val="24"/>
          <w:szCs w:val="24"/>
        </w:rPr>
      </w:pPr>
      <w:r>
        <w:rPr>
          <w:rFonts w:hint="eastAsia" w:ascii="宋体" w:hAnsi="宋体" w:cs="宋体"/>
          <w:b/>
          <w:bCs/>
          <w:kern w:val="0"/>
          <w:sz w:val="24"/>
          <w:szCs w:val="24"/>
        </w:rPr>
        <w:t>质量要求</w:t>
      </w:r>
      <w:r>
        <w:rPr>
          <w:rFonts w:hint="eastAsia" w:ascii="宋体" w:hAnsi="宋体" w:cs="宋体"/>
          <w:b/>
          <w:bCs/>
          <w:kern w:val="0"/>
          <w:sz w:val="24"/>
          <w:szCs w:val="24"/>
          <w:lang w:eastAsia="zh-CN"/>
        </w:rPr>
        <w:t>：</w:t>
      </w:r>
    </w:p>
    <w:p w14:paraId="3623E292">
      <w:pPr>
        <w:widowControl/>
        <w:numPr>
          <w:ilvl w:val="0"/>
          <w:numId w:val="0"/>
        </w:numPr>
        <w:snapToGrid w:val="0"/>
        <w:spacing w:line="384"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rPr>
        <w:t>投标产品</w:t>
      </w:r>
      <w:r>
        <w:rPr>
          <w:rFonts w:hint="eastAsia" w:ascii="宋体" w:hAnsi="宋体" w:cs="宋体"/>
          <w:kern w:val="0"/>
          <w:sz w:val="24"/>
          <w:szCs w:val="24"/>
          <w:lang w:val="en-US" w:eastAsia="zh-CN"/>
        </w:rPr>
        <w:t>材料</w:t>
      </w:r>
      <w:r>
        <w:rPr>
          <w:rFonts w:hint="eastAsia" w:ascii="宋体" w:hAnsi="宋体" w:cs="宋体"/>
          <w:kern w:val="0"/>
          <w:sz w:val="24"/>
          <w:szCs w:val="24"/>
        </w:rPr>
        <w:t>必须符合国家相关标准</w:t>
      </w:r>
      <w:r>
        <w:rPr>
          <w:rFonts w:hint="eastAsia" w:ascii="宋体" w:hAnsi="宋体" w:cs="宋体"/>
          <w:kern w:val="0"/>
          <w:sz w:val="24"/>
          <w:szCs w:val="24"/>
          <w:lang w:eastAsia="zh-CN"/>
        </w:rPr>
        <w:t>。</w:t>
      </w:r>
    </w:p>
    <w:p w14:paraId="4D91BE9D">
      <w:pPr>
        <w:widowControl/>
        <w:snapToGrid w:val="0"/>
        <w:spacing w:line="384" w:lineRule="auto"/>
        <w:rPr>
          <w:rFonts w:hint="eastAsia" w:ascii="宋体" w:hAnsi="宋体" w:cs="宋体"/>
          <w:kern w:val="0"/>
          <w:sz w:val="24"/>
          <w:szCs w:val="24"/>
          <w:highlight w:val="none"/>
          <w:lang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二</w:t>
      </w:r>
      <w:r>
        <w:rPr>
          <w:rFonts w:hint="eastAsia" w:ascii="宋体" w:hAnsi="宋体" w:cs="宋体"/>
          <w:b/>
          <w:bCs/>
          <w:kern w:val="0"/>
          <w:sz w:val="24"/>
          <w:szCs w:val="24"/>
        </w:rPr>
        <w:t>）</w:t>
      </w:r>
      <w:r>
        <w:rPr>
          <w:rFonts w:hint="eastAsia" w:ascii="宋体" w:hAnsi="宋体" w:cs="宋体"/>
          <w:b/>
          <w:bCs/>
          <w:kern w:val="0"/>
          <w:sz w:val="24"/>
          <w:szCs w:val="24"/>
          <w:lang w:val="en-US" w:eastAsia="zh-CN"/>
        </w:rPr>
        <w:t>材料配送</w:t>
      </w:r>
      <w:r>
        <w:rPr>
          <w:rFonts w:hint="eastAsia" w:ascii="宋体" w:hAnsi="宋体" w:cs="宋体"/>
          <w:b/>
          <w:bCs/>
          <w:kern w:val="0"/>
          <w:sz w:val="24"/>
          <w:szCs w:val="24"/>
        </w:rPr>
        <w:t>地点：</w:t>
      </w:r>
      <w:r>
        <w:rPr>
          <w:rFonts w:hint="eastAsia" w:ascii="宋体" w:hAnsi="宋体" w:cs="宋体"/>
          <w:kern w:val="0"/>
          <w:sz w:val="24"/>
          <w:szCs w:val="24"/>
          <w:highlight w:val="none"/>
        </w:rPr>
        <w:t>上饶市广信区</w:t>
      </w:r>
      <w:r>
        <w:rPr>
          <w:rFonts w:hint="eastAsia" w:ascii="宋体" w:hAnsi="宋体" w:cs="宋体"/>
          <w:kern w:val="0"/>
          <w:sz w:val="24"/>
          <w:szCs w:val="24"/>
          <w:highlight w:val="none"/>
          <w:lang w:val="en-US" w:eastAsia="zh-CN"/>
        </w:rPr>
        <w:t>内或经开区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采购人指定地点</w:t>
      </w:r>
      <w:r>
        <w:rPr>
          <w:rFonts w:hint="eastAsia" w:ascii="宋体" w:hAnsi="宋体" w:cs="宋体"/>
          <w:kern w:val="0"/>
          <w:sz w:val="24"/>
          <w:szCs w:val="24"/>
          <w:highlight w:val="none"/>
          <w:lang w:eastAsia="zh-CN"/>
        </w:rPr>
        <w:t>）</w:t>
      </w:r>
    </w:p>
    <w:p w14:paraId="5FBD5749">
      <w:pPr>
        <w:widowControl/>
        <w:snapToGrid w:val="0"/>
        <w:spacing w:line="384" w:lineRule="auto"/>
        <w:rPr>
          <w:rFonts w:hint="default" w:ascii="宋体" w:hAnsi="宋体" w:cs="宋体"/>
          <w:color w:val="000000"/>
          <w:sz w:val="24"/>
          <w:szCs w:val="24"/>
          <w:highlight w:val="yellow"/>
          <w:lang w:val="en-US"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三</w:t>
      </w:r>
      <w:r>
        <w:rPr>
          <w:rFonts w:hint="eastAsia" w:ascii="宋体" w:hAnsi="宋体" w:cs="宋体"/>
          <w:b/>
          <w:bCs/>
          <w:kern w:val="0"/>
          <w:sz w:val="24"/>
          <w:szCs w:val="24"/>
        </w:rPr>
        <w:t>）</w:t>
      </w:r>
      <w:r>
        <w:rPr>
          <w:rFonts w:hint="eastAsia" w:ascii="宋体" w:hAnsi="宋体" w:cs="宋体"/>
          <w:b/>
          <w:bCs/>
          <w:kern w:val="0"/>
          <w:sz w:val="24"/>
          <w:szCs w:val="24"/>
          <w:lang w:val="en-US" w:eastAsia="zh-CN"/>
        </w:rPr>
        <w:t>结算</w:t>
      </w:r>
      <w:r>
        <w:rPr>
          <w:rFonts w:hint="eastAsia" w:ascii="宋体" w:hAnsi="宋体" w:cs="宋体"/>
          <w:b/>
          <w:bCs/>
          <w:kern w:val="0"/>
          <w:sz w:val="24"/>
          <w:szCs w:val="24"/>
        </w:rPr>
        <w:t>方式：</w:t>
      </w:r>
      <w:r>
        <w:rPr>
          <w:rFonts w:ascii="宋体" w:hAnsi="宋体" w:eastAsia="宋体" w:cs="宋体"/>
          <w:sz w:val="24"/>
          <w:szCs w:val="24"/>
          <w:highlight w:val="none"/>
        </w:rPr>
        <w:t>招标人根据实际需要确定采购数量，</w:t>
      </w:r>
      <w:r>
        <w:rPr>
          <w:rFonts w:hint="eastAsia" w:ascii="宋体" w:hAnsi="宋体" w:eastAsia="宋体" w:cs="宋体"/>
          <w:sz w:val="24"/>
          <w:szCs w:val="24"/>
          <w:highlight w:val="none"/>
          <w:lang w:val="en-US" w:eastAsia="zh-CN"/>
        </w:rPr>
        <w:t>具体以实际发生量据实结算。</w:t>
      </w:r>
      <w:r>
        <w:rPr>
          <w:rFonts w:ascii="宋体" w:hAnsi="宋体" w:eastAsia="宋体" w:cs="宋体"/>
          <w:sz w:val="24"/>
          <w:szCs w:val="24"/>
          <w:highlight w:val="none"/>
        </w:rPr>
        <w:t>结算时，数量以实际</w:t>
      </w:r>
      <w:r>
        <w:rPr>
          <w:rFonts w:hint="eastAsia" w:ascii="宋体" w:hAnsi="宋体" w:eastAsia="宋体" w:cs="宋体"/>
          <w:sz w:val="24"/>
          <w:szCs w:val="24"/>
          <w:highlight w:val="none"/>
          <w:lang w:val="en-US" w:eastAsia="zh-CN"/>
        </w:rPr>
        <w:t>签收</w:t>
      </w:r>
      <w:r>
        <w:rPr>
          <w:rFonts w:ascii="宋体" w:hAnsi="宋体" w:eastAsia="宋体" w:cs="宋体"/>
          <w:sz w:val="24"/>
          <w:szCs w:val="24"/>
          <w:highlight w:val="none"/>
        </w:rPr>
        <w:t>的数量为准。</w:t>
      </w:r>
      <w:r>
        <w:rPr>
          <w:rFonts w:hint="eastAsia" w:ascii="宋体" w:hAnsi="宋体" w:eastAsia="宋体" w:cs="宋体"/>
          <w:sz w:val="24"/>
          <w:szCs w:val="24"/>
          <w:highlight w:val="none"/>
          <w:lang w:val="en-US" w:eastAsia="zh-CN"/>
        </w:rPr>
        <w:t>有预算单价的以预算单价*实际签收量*整体下浮率。没有预算单价的以实际采购数量*</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市场信息价（以合同期间</w:t>
      </w:r>
      <w:r>
        <w:rPr>
          <w:rFonts w:hint="default" w:ascii="宋体" w:hAnsi="宋体" w:cs="宋体"/>
          <w:color w:val="000000"/>
          <w:sz w:val="24"/>
          <w:szCs w:val="24"/>
          <w:highlight w:val="none"/>
          <w:lang w:val="en-US" w:eastAsia="zh-CN"/>
        </w:rPr>
        <w:t>当月《江西省造价信息》发布的同期计价政策为依据)*整体下浮率。《江西省造价信息》中以上饶市场信息价结算，上饶无市场信息价的，以江西省内其它设区市中最低市场信息价结算。</w:t>
      </w:r>
      <w:r>
        <w:rPr>
          <w:rFonts w:hint="eastAsia" w:ascii="宋体" w:hAnsi="宋体" w:cs="宋体"/>
          <w:color w:val="000000"/>
          <w:sz w:val="24"/>
          <w:szCs w:val="24"/>
          <w:highlight w:val="none"/>
          <w:lang w:val="en-US" w:eastAsia="zh-CN"/>
        </w:rPr>
        <w:t>若没有市场信息价。最终以市场询价来确定。</w:t>
      </w:r>
    </w:p>
    <w:p w14:paraId="2BA17F28">
      <w:pPr>
        <w:widowControl/>
        <w:snapToGrid w:val="0"/>
        <w:spacing w:line="384" w:lineRule="auto"/>
        <w:rPr>
          <w:rFonts w:hint="default" w:ascii="宋体" w:hAnsi="宋体" w:cs="宋体"/>
          <w:color w:val="000000"/>
          <w:sz w:val="24"/>
          <w:szCs w:val="24"/>
          <w:highlight w:val="none"/>
          <w:lang w:val="en-US" w:eastAsia="zh-CN"/>
        </w:rPr>
      </w:pPr>
      <w:r>
        <w:rPr>
          <w:rFonts w:hint="eastAsia" w:ascii="宋体" w:hAnsi="宋体" w:eastAsia="宋体" w:cs="宋体"/>
          <w:b/>
          <w:bCs/>
          <w:kern w:val="0"/>
          <w:sz w:val="24"/>
          <w:szCs w:val="24"/>
          <w:lang w:val="en-US" w:eastAsia="zh-CN"/>
        </w:rPr>
        <w:t>（四）付款方式：</w:t>
      </w:r>
      <w:r>
        <w:rPr>
          <w:rFonts w:hint="eastAsia" w:ascii="宋体" w:hAnsi="宋体" w:cs="宋体"/>
          <w:color w:val="000000"/>
          <w:sz w:val="24"/>
          <w:szCs w:val="24"/>
          <w:highlight w:val="none"/>
          <w:lang w:val="en-US" w:eastAsia="zh-CN"/>
        </w:rPr>
        <w:t>工程竣工验收前，支付工程款不超过合同价的70%（项目委托跟踪审计的，以审计单位出具的审计报告为准）；项目竣工验收合格并出具验收报告，支付金额不超过合同价的80%，项目一（二）审结束并出具一（二）审报告后支付至结算价款的97%工程款，剩余3%在质保期满后(质保期为竣工验收后一年)两个月内一次性支付，每次付款前乙方应开具合法、有效、完整、准确的增值税专用发票至甲方，发票需</w:t>
      </w:r>
      <w:r>
        <w:rPr>
          <w:rFonts w:hint="eastAsia" w:ascii="宋体" w:hAnsi="宋体" w:cs="宋体"/>
          <w:b/>
          <w:bCs/>
          <w:color w:val="000000"/>
          <w:sz w:val="24"/>
          <w:szCs w:val="24"/>
          <w:highlight w:val="none"/>
          <w:lang w:val="en-US" w:eastAsia="zh-CN"/>
        </w:rPr>
        <w:t>按照采购人公司财务规章制度开具发票</w:t>
      </w:r>
      <w:r>
        <w:rPr>
          <w:rFonts w:hint="default" w:ascii="宋体" w:hAnsi="宋体" w:cs="宋体"/>
          <w:color w:val="000000"/>
          <w:sz w:val="24"/>
          <w:szCs w:val="24"/>
          <w:highlight w:val="none"/>
          <w:lang w:val="en-US" w:eastAsia="zh-CN"/>
        </w:rPr>
        <w:t>，采购人审核无误后向成交供应商支付该笔款项。</w:t>
      </w:r>
    </w:p>
    <w:p w14:paraId="1D8450F9">
      <w:pPr>
        <w:widowControl/>
        <w:snapToGrid w:val="0"/>
        <w:spacing w:line="384" w:lineRule="auto"/>
        <w:rPr>
          <w:rFonts w:hint="default" w:ascii="宋体" w:hAnsi="宋体" w:cs="宋体"/>
          <w:color w:val="000000"/>
          <w:sz w:val="24"/>
          <w:szCs w:val="24"/>
          <w:highlight w:val="none"/>
          <w:lang w:val="en-US" w:eastAsia="zh-CN"/>
        </w:rPr>
      </w:pPr>
      <w:r>
        <w:rPr>
          <w:rFonts w:hint="eastAsia" w:ascii="宋体" w:hAnsi="宋体" w:eastAsia="宋体" w:cs="宋体"/>
          <w:b/>
          <w:bCs/>
          <w:kern w:val="0"/>
          <w:sz w:val="24"/>
          <w:szCs w:val="24"/>
          <w:lang w:val="en-US" w:eastAsia="zh-CN"/>
        </w:rPr>
        <w:t>（五）</w:t>
      </w:r>
      <w:r>
        <w:rPr>
          <w:rFonts w:hint="default" w:ascii="宋体" w:hAnsi="宋体" w:eastAsia="宋体" w:cs="宋体"/>
          <w:b/>
          <w:bCs/>
          <w:kern w:val="0"/>
          <w:sz w:val="24"/>
          <w:szCs w:val="24"/>
          <w:lang w:val="en-US" w:eastAsia="zh-CN"/>
        </w:rPr>
        <w:t>交货时间</w:t>
      </w:r>
      <w:r>
        <w:rPr>
          <w:rFonts w:hint="default" w:ascii="宋体" w:hAnsi="宋体" w:cs="宋体"/>
          <w:color w:val="000000"/>
          <w:sz w:val="24"/>
          <w:szCs w:val="24"/>
          <w:highlight w:val="none"/>
          <w:lang w:val="en-US" w:eastAsia="zh-CN"/>
        </w:rPr>
        <w:t>：签订合同后，成交供应商接采购人书面通知或口头通知后24小时内将所需材料和设备按要求送到采购人指定地点。</w:t>
      </w:r>
    </w:p>
    <w:p w14:paraId="1CCB2628">
      <w:pPr>
        <w:widowControl/>
        <w:snapToGrid w:val="0"/>
        <w:spacing w:line="384" w:lineRule="auto"/>
        <w:rPr>
          <w:rFonts w:hint="default" w:eastAsia="宋体"/>
          <w:lang w:val="en-US"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六</w:t>
      </w:r>
      <w:r>
        <w:rPr>
          <w:rFonts w:hint="eastAsia" w:ascii="宋体" w:hAnsi="宋体" w:cs="宋体"/>
          <w:b/>
          <w:bCs/>
          <w:kern w:val="0"/>
          <w:sz w:val="24"/>
          <w:szCs w:val="24"/>
        </w:rPr>
        <w:t>）服务期限：</w:t>
      </w:r>
      <w:r>
        <w:rPr>
          <w:rFonts w:hint="eastAsia" w:ascii="宋体" w:hAnsi="宋体" w:cs="宋体"/>
          <w:kern w:val="0"/>
          <w:sz w:val="24"/>
          <w:szCs w:val="24"/>
        </w:rPr>
        <w:t>一年服务期</w:t>
      </w:r>
      <w:r>
        <w:rPr>
          <w:rFonts w:hint="eastAsia" w:ascii="宋体" w:hAnsi="宋体" w:cs="宋体"/>
          <w:kern w:val="0"/>
          <w:sz w:val="24"/>
          <w:szCs w:val="24"/>
          <w:lang w:val="en-US" w:eastAsia="zh-CN"/>
        </w:rPr>
        <w:t>满或项目金额达到100万元即项目结束（以先到达为准）</w:t>
      </w:r>
    </w:p>
    <w:p w14:paraId="7D838B5E">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七</w:t>
      </w:r>
      <w:r>
        <w:rPr>
          <w:rFonts w:hint="eastAsia" w:ascii="宋体" w:hAnsi="宋体" w:cs="宋体"/>
          <w:b/>
          <w:bCs/>
          <w:sz w:val="24"/>
          <w:szCs w:val="24"/>
          <w:highlight w:val="none"/>
          <w:lang w:val="zh-CN"/>
        </w:rPr>
        <w:t>）交货包装</w:t>
      </w:r>
    </w:p>
    <w:p w14:paraId="5EA078FE">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1.供应商提供的全部货物均应按标准保护措施进行包装，这类包装应适应于远距离运输、防潮、防震、防锈和防野蛮装卸，以确保货物安全无损运抵指定现场。由于包装不善所引起的货物锈蚀、损坏和损失均由供应商负责。</w:t>
      </w:r>
    </w:p>
    <w:p w14:paraId="2CB5C16F">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2.供应商交货时，须提供设备的全部资料，如产品合格证、装箱单、使用说明书等等。</w:t>
      </w:r>
    </w:p>
    <w:p w14:paraId="0E7A1870">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3.供应商提供的全部货物所有附件必须都配备齐全，所供货设备外包箱注明用户信息，</w:t>
      </w:r>
      <w:r>
        <w:rPr>
          <w:rFonts w:hint="eastAsia" w:ascii="宋体" w:hAnsi="宋体" w:cs="宋体"/>
          <w:sz w:val="24"/>
          <w:szCs w:val="24"/>
          <w:highlight w:val="none"/>
          <w:lang w:val="en-US" w:eastAsia="zh-CN"/>
        </w:rPr>
        <w:t>货物</w:t>
      </w:r>
      <w:r>
        <w:rPr>
          <w:rFonts w:hint="eastAsia" w:ascii="宋体" w:hAnsi="宋体" w:cs="宋体"/>
          <w:sz w:val="24"/>
          <w:szCs w:val="24"/>
          <w:highlight w:val="none"/>
          <w:lang w:val="zh-CN"/>
        </w:rPr>
        <w:t>完整，以上参数如有不符直接退货。</w:t>
      </w:r>
    </w:p>
    <w:p w14:paraId="1837A821">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4.如果供应商没有按照合同规定或采购人同意延长的时间交货，每延期一天，按合同总金额的1</w:t>
      </w:r>
      <w:r>
        <w:rPr>
          <w:rFonts w:hint="eastAsia" w:ascii="宋体" w:hAnsi="宋体" w:cs="宋体"/>
          <w:sz w:val="24"/>
          <w:szCs w:val="24"/>
          <w:highlight w:val="none"/>
          <w:lang w:val="en-US" w:eastAsia="zh-CN"/>
        </w:rPr>
        <w:t>%</w:t>
      </w:r>
      <w:r>
        <w:rPr>
          <w:rFonts w:hint="eastAsia" w:ascii="宋体" w:hAnsi="宋体" w:cs="宋体"/>
          <w:sz w:val="24"/>
          <w:szCs w:val="24"/>
          <w:highlight w:val="none"/>
          <w:lang w:val="zh-CN"/>
        </w:rPr>
        <w:t xml:space="preserve">交付违约金；如果供应商在达到最高限额（合同总额5%）后仍不能交付的，采购人可终止合同，因此产生的一切经济损失由供应商承担；因质量问题延期交付设备时，按延期交付产品处理。 </w:t>
      </w:r>
    </w:p>
    <w:p w14:paraId="7E9B2D81">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八</w:t>
      </w:r>
      <w:r>
        <w:rPr>
          <w:rFonts w:hint="eastAsia" w:ascii="宋体" w:hAnsi="宋体" w:cs="宋体"/>
          <w:b/>
          <w:bCs/>
          <w:sz w:val="24"/>
          <w:szCs w:val="24"/>
          <w:highlight w:val="none"/>
          <w:lang w:val="zh-CN"/>
        </w:rPr>
        <w:t>）安装、验收</w:t>
      </w:r>
    </w:p>
    <w:p w14:paraId="36E4E993">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1.供应商在交货截止时间（或采购方规定的时间）内交货，有关运输和保险的一切费用由供应商承担。所有货物运抵现场并验收合格后的日期为交货日期。</w:t>
      </w:r>
    </w:p>
    <w:p w14:paraId="174AB28F">
      <w:pPr>
        <w:autoSpaceDE w:val="0"/>
        <w:autoSpaceDN w:val="0"/>
        <w:adjustRightInd w:val="0"/>
        <w:snapToGrid w:val="0"/>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2.货物到现场后，采购人（或其授权代表）、供应商组织相关人员共同对到货货物的数量、外观、包装质量、技术资料等进行检查；</w:t>
      </w:r>
      <w:r>
        <w:rPr>
          <w:rFonts w:hint="eastAsia" w:ascii="宋体" w:hAnsi="宋体" w:cs="宋体"/>
          <w:b/>
          <w:bCs/>
          <w:sz w:val="24"/>
          <w:highlight w:val="none"/>
        </w:rPr>
        <w:t xml:space="preserve"> </w:t>
      </w:r>
    </w:p>
    <w:p w14:paraId="0F9E1136">
      <w:pPr>
        <w:autoSpaceDE w:val="0"/>
        <w:autoSpaceDN w:val="0"/>
        <w:adjustRightInd w:val="0"/>
        <w:snapToGrid w:val="0"/>
        <w:spacing w:line="360" w:lineRule="auto"/>
        <w:ind w:firstLine="464" w:firstLineChars="200"/>
        <w:rPr>
          <w:rFonts w:hint="eastAsia" w:ascii="宋体" w:hAnsi="宋体" w:cs="宋体"/>
          <w:spacing w:val="-4"/>
          <w:sz w:val="24"/>
          <w:highlight w:val="none"/>
        </w:rPr>
      </w:pPr>
      <w:r>
        <w:rPr>
          <w:rFonts w:hint="eastAsia" w:ascii="宋体" w:hAnsi="宋体" w:cs="宋体"/>
          <w:spacing w:val="-4"/>
          <w:sz w:val="24"/>
          <w:highlight w:val="none"/>
          <w:lang w:val="en-US" w:eastAsia="zh-CN"/>
        </w:rPr>
        <w:t>3</w:t>
      </w:r>
      <w:r>
        <w:rPr>
          <w:rFonts w:hint="eastAsia" w:ascii="宋体" w:hAnsi="宋体" w:cs="宋体"/>
          <w:spacing w:val="-4"/>
          <w:sz w:val="24"/>
          <w:highlight w:val="none"/>
        </w:rPr>
        <w:t>.在验收过程中发现数量不足或有质量、技术等问题，供应商应负责按照采购人的要求采取补足、更换或退货等措施妥善处理，并承担由此发生的一切费用和损失；</w:t>
      </w:r>
    </w:p>
    <w:p w14:paraId="6C3982A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.对于不合格的货物，供应商必须在7个工作日里及时完成更换并重新对更换货物进行验收。</w:t>
      </w:r>
    </w:p>
    <w:p w14:paraId="5BCD789C">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九</w:t>
      </w:r>
      <w:r>
        <w:rPr>
          <w:rFonts w:hint="eastAsia" w:ascii="宋体" w:hAnsi="宋体" w:cs="宋体"/>
          <w:b/>
          <w:bCs/>
          <w:sz w:val="24"/>
          <w:szCs w:val="24"/>
          <w:highlight w:val="none"/>
          <w:lang w:val="zh-CN"/>
        </w:rPr>
        <w:t>）其它要求</w:t>
      </w:r>
    </w:p>
    <w:p w14:paraId="7B4778F3">
      <w:pPr>
        <w:autoSpaceDE w:val="0"/>
        <w:autoSpaceDN w:val="0"/>
        <w:snapToGrid w:val="0"/>
        <w:spacing w:line="360" w:lineRule="auto"/>
        <w:ind w:firstLine="566" w:firstLineChars="236"/>
        <w:rPr>
          <w:rFonts w:hint="eastAsia" w:ascii="宋体" w:hAnsi="宋体" w:cs="宋体"/>
          <w:sz w:val="24"/>
          <w:szCs w:val="24"/>
          <w:highlight w:val="none"/>
        </w:rPr>
      </w:pPr>
      <w:r>
        <w:rPr>
          <w:rFonts w:hint="eastAsia" w:ascii="宋体" w:hAnsi="宋体" w:cs="宋体"/>
          <w:sz w:val="24"/>
          <w:szCs w:val="24"/>
          <w:highlight w:val="none"/>
        </w:rPr>
        <w:t>1、供应商应该认真咨询、实地勘察，了解标的现状，并仔细阅读本次招标所提供的相关资料及特别规定。供应商参加投标，即表明供应商对标的的情况和特别规定的认可，投标成功后不得以未咨询或对标的不了解而提出异议或反悔。</w:t>
      </w:r>
    </w:p>
    <w:p w14:paraId="0F22D341">
      <w:pPr>
        <w:autoSpaceDE w:val="0"/>
        <w:autoSpaceDN w:val="0"/>
        <w:snapToGrid w:val="0"/>
        <w:spacing w:line="360" w:lineRule="auto"/>
        <w:ind w:firstLine="566" w:firstLineChars="236"/>
        <w:rPr>
          <w:rFonts w:hint="eastAsia" w:ascii="宋体" w:hAnsi="宋体" w:cs="宋体"/>
          <w:sz w:val="24"/>
          <w:szCs w:val="24"/>
          <w:highlight w:val="none"/>
        </w:rPr>
      </w:pPr>
      <w:r>
        <w:rPr>
          <w:rFonts w:hint="eastAsia" w:ascii="宋体" w:hAnsi="宋体" w:cs="宋体"/>
          <w:sz w:val="24"/>
          <w:szCs w:val="24"/>
          <w:highlight w:val="none"/>
        </w:rPr>
        <w:t>2、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7F3B80EF">
      <w:pPr>
        <w:snapToGrid w:val="0"/>
        <w:spacing w:line="360" w:lineRule="auto"/>
        <w:ind w:left="239" w:leftChars="114"/>
        <w:rPr>
          <w:rFonts w:hint="eastAsia" w:ascii="宋体" w:hAnsi="宋体" w:cs="宋体"/>
          <w:sz w:val="24"/>
          <w:szCs w:val="24"/>
          <w:highlight w:val="none"/>
        </w:rPr>
      </w:pPr>
      <w:r>
        <w:rPr>
          <w:rFonts w:hint="eastAsia" w:ascii="宋体" w:hAnsi="宋体" w:cs="宋体"/>
          <w:sz w:val="24"/>
          <w:szCs w:val="24"/>
          <w:highlight w:val="none"/>
        </w:rPr>
        <w:t xml:space="preserve">  3、成交供应商在履行合同时，应按照民法典用工，若出现员工不符合办理“五项保险”条件时，成交供应商应给予上述员工办理有关“商业保险中的意外伤害险”，且意外伤害险所赔付的保额不得低于当期工伤保险的赔付额。</w:t>
      </w:r>
    </w:p>
    <w:p w14:paraId="53EBB255">
      <w:pPr>
        <w:snapToGrid w:val="0"/>
        <w:spacing w:line="360" w:lineRule="auto"/>
        <w:ind w:firstLine="480" w:firstLineChars="200"/>
        <w:rPr>
          <w:rFonts w:hint="eastAsia" w:ascii="宋体" w:hAnsi="宋体" w:cs="宋体"/>
          <w:kern w:val="1"/>
          <w:sz w:val="24"/>
          <w:szCs w:val="24"/>
          <w:highlight w:val="none"/>
        </w:rPr>
      </w:pPr>
      <w:r>
        <w:rPr>
          <w:rFonts w:hint="eastAsia" w:ascii="宋体" w:hAnsi="宋体" w:cs="宋体"/>
          <w:sz w:val="24"/>
          <w:szCs w:val="24"/>
          <w:highlight w:val="none"/>
        </w:rPr>
        <w:t>4、成交供应商</w:t>
      </w:r>
      <w:r>
        <w:rPr>
          <w:rFonts w:hint="eastAsia" w:ascii="宋体" w:hAnsi="宋体" w:cs="宋体"/>
          <w:kern w:val="1"/>
          <w:sz w:val="24"/>
          <w:szCs w:val="24"/>
          <w:highlight w:val="none"/>
        </w:rPr>
        <w:t>在履行合同期间，应对</w:t>
      </w:r>
      <w:r>
        <w:rPr>
          <w:rFonts w:hint="eastAsia" w:ascii="宋体" w:hAnsi="宋体" w:cs="宋体"/>
          <w:sz w:val="24"/>
          <w:szCs w:val="24"/>
          <w:highlight w:val="none"/>
        </w:rPr>
        <w:t>成交供应商</w:t>
      </w:r>
      <w:r>
        <w:rPr>
          <w:rFonts w:hint="eastAsia" w:ascii="宋体" w:hAnsi="宋体" w:cs="宋体"/>
          <w:kern w:val="1"/>
          <w:sz w:val="24"/>
          <w:szCs w:val="24"/>
          <w:highlight w:val="none"/>
        </w:rPr>
        <w:t>（或其雇佣人员）的疏忽、故意或过失而造成采购人的直接或间接损失、第三者的财产损失及安全责任事故等负责，并承担相应费用。</w:t>
      </w:r>
    </w:p>
    <w:p w14:paraId="7521780B">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74"/>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kern w:val="1"/>
          <w:sz w:val="24"/>
          <w:szCs w:val="24"/>
          <w:highlight w:val="none"/>
          <w:lang w:val="en-US" w:eastAsia="zh-CN"/>
        </w:rPr>
        <w:t>5、</w:t>
      </w:r>
      <w:r>
        <w:rPr>
          <w:rFonts w:hint="eastAsia" w:ascii="宋体" w:hAnsi="宋体" w:eastAsia="宋体" w:cs="宋体"/>
          <w:color w:val="auto"/>
          <w:sz w:val="24"/>
          <w:szCs w:val="24"/>
          <w:highlight w:val="none"/>
          <w:lang w:val="en-US" w:eastAsia="zh-CN"/>
        </w:rPr>
        <w:t>成交供应商违反合同约定不按时将采购人所需材料和设备送达到现场的,或者更换设备、零部件、材料等不及时给采购人造成损失或者更换设备零部件等存在不匹配或有质量问题导致采购人项目无法正常开展的，采购人有权扣除供应商的履约保证金。同时供应商应当向采购人承担合同金额 20%的违约责任，给采购人造成损失的，成交供应商还应当承担采购人的一切损失。</w:t>
      </w:r>
    </w:p>
    <w:p w14:paraId="5C0C668F">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6、材料清单1到6项相关要求</w:t>
      </w:r>
    </w:p>
    <w:p w14:paraId="334CA371">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（1）施工队伍须具有满足本项目施工的资质要求。</w:t>
      </w:r>
    </w:p>
    <w:p w14:paraId="1AB4CE8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（2）余土外运队伍需要有相关资质。</w:t>
      </w:r>
    </w:p>
    <w:p w14:paraId="41E5EEF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（3）配置机械台班其挖机、零星电焊台班的工作人员证件都在有效期内。</w:t>
      </w:r>
    </w:p>
    <w:p w14:paraId="1E5E9F6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注：开工前采购人会组织检查相关证件、若无证件或过期证件，采购人可要求成交供应商更换人员，若成交供应商在施工中未满足上述要求，因此而造成的相关损失由成交供应商承担。</w:t>
      </w:r>
    </w:p>
    <w:p w14:paraId="44A04968">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74"/>
        <w:jc w:val="left"/>
        <w:textAlignment w:val="auto"/>
        <w:outlineLvl w:val="9"/>
        <w:rPr>
          <w:rFonts w:hint="eastAsia" w:ascii="宋体" w:hAnsi="宋体" w:cs="宋体"/>
          <w:b/>
          <w:bCs/>
          <w:sz w:val="32"/>
          <w:szCs w:val="32"/>
          <w:highlight w:val="none"/>
          <w:lang w:val="zh-CN"/>
        </w:rPr>
      </w:pPr>
      <w:r>
        <w:rPr>
          <w:rFonts w:hint="eastAsia" w:ascii="宋体" w:hAnsi="宋体" w:eastAsia="宋体" w:cs="宋体"/>
          <w:color w:val="auto"/>
          <w:sz w:val="24"/>
          <w:szCs w:val="24"/>
          <w:highlight w:val="none"/>
          <w:lang w:val="en-US" w:eastAsia="zh-CN"/>
        </w:rPr>
        <w:t>7、其他未尽事宜可在合同中约定。</w:t>
      </w:r>
      <w:r>
        <w:rPr>
          <w:rFonts w:hint="eastAsia" w:ascii="宋体" w:hAnsi="宋体" w:eastAsia="宋体" w:cs="宋体"/>
          <w:color w:val="auto"/>
          <w:sz w:val="24"/>
          <w:szCs w:val="24"/>
          <w:highlight w:val="none"/>
          <w:lang w:val="zh-CN" w:eastAsia="zh-CN"/>
        </w:rPr>
        <w:t xml:space="preserve">   </w:t>
      </w:r>
      <w:r>
        <w:rPr>
          <w:rFonts w:hint="eastAsia" w:ascii="宋体" w:hAnsi="宋体" w:cs="宋体"/>
          <w:b/>
          <w:bCs/>
          <w:sz w:val="32"/>
          <w:szCs w:val="32"/>
          <w:highlight w:val="none"/>
          <w:lang w:val="zh-CN"/>
        </w:rPr>
        <w:t xml:space="preserve">  </w:t>
      </w:r>
    </w:p>
    <w:p w14:paraId="7AE68F5C">
      <w:pPr>
        <w:snapToGrid w:val="0"/>
        <w:spacing w:line="336" w:lineRule="auto"/>
        <w:rPr>
          <w:rFonts w:hint="eastAsia" w:ascii="宋体" w:hAnsi="宋体" w:cs="宋体"/>
          <w:sz w:val="28"/>
          <w:szCs w:val="28"/>
          <w:highlight w:val="none"/>
        </w:rPr>
      </w:pPr>
    </w:p>
    <w:p w14:paraId="2ABCA3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77984"/>
    <w:multiLevelType w:val="singleLevel"/>
    <w:tmpl w:val="50C77984"/>
    <w:lvl w:ilvl="0" w:tentative="0">
      <w:start w:val="1"/>
      <w:numFmt w:val="decimal"/>
      <w:suff w:val="nothing"/>
      <w:lvlText w:val="（%1）"/>
      <w:lvlJc w:val="left"/>
    </w:lvl>
  </w:abstractNum>
  <w:abstractNum w:abstractNumId="1">
    <w:nsid w:val="61C7FBEF"/>
    <w:multiLevelType w:val="singleLevel"/>
    <w:tmpl w:val="61C7FB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WJlMDE2N2QwZTc2MGZiNjM2NGQ2YzZmODZkNzAifQ=="/>
  </w:docVars>
  <w:rsids>
    <w:rsidRoot w:val="295C4351"/>
    <w:rsid w:val="06256349"/>
    <w:rsid w:val="07591FC8"/>
    <w:rsid w:val="0C711B61"/>
    <w:rsid w:val="0D30708F"/>
    <w:rsid w:val="107D46CE"/>
    <w:rsid w:val="1E706FDD"/>
    <w:rsid w:val="1EB12291"/>
    <w:rsid w:val="20823EE5"/>
    <w:rsid w:val="22643C6A"/>
    <w:rsid w:val="28A46F73"/>
    <w:rsid w:val="28E07CD0"/>
    <w:rsid w:val="295C4351"/>
    <w:rsid w:val="2D0637A8"/>
    <w:rsid w:val="2F86217A"/>
    <w:rsid w:val="37404319"/>
    <w:rsid w:val="37C8447C"/>
    <w:rsid w:val="39050DB8"/>
    <w:rsid w:val="3A04440A"/>
    <w:rsid w:val="4250579A"/>
    <w:rsid w:val="42B97B05"/>
    <w:rsid w:val="43A538C3"/>
    <w:rsid w:val="4C485BD0"/>
    <w:rsid w:val="529B480F"/>
    <w:rsid w:val="551408A9"/>
    <w:rsid w:val="5AFC1378"/>
    <w:rsid w:val="61532759"/>
    <w:rsid w:val="630A578B"/>
    <w:rsid w:val="641206A9"/>
    <w:rsid w:val="69A07D1D"/>
    <w:rsid w:val="6AED7028"/>
    <w:rsid w:val="6FE70C3C"/>
    <w:rsid w:val="71105F71"/>
    <w:rsid w:val="72B56DCF"/>
    <w:rsid w:val="78DD0EF2"/>
    <w:rsid w:val="7970130E"/>
    <w:rsid w:val="79DD6C0C"/>
    <w:rsid w:val="7BBC7578"/>
    <w:rsid w:val="7C0C0492"/>
    <w:rsid w:val="7D3B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480" w:after="360"/>
      <w:jc w:val="center"/>
      <w:outlineLvl w:val="0"/>
    </w:pPr>
    <w:rPr>
      <w:rFonts w:ascii="Arial" w:hAnsi="Arial"/>
      <w:b/>
      <w:bCs/>
      <w:sz w:val="36"/>
      <w:szCs w:val="36"/>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itle"/>
    <w:basedOn w:val="1"/>
    <w:next w:val="1"/>
    <w:qFormat/>
    <w:uiPriority w:val="99"/>
    <w:pPr>
      <w:spacing w:line="640" w:lineRule="atLeast"/>
      <w:jc w:val="center"/>
    </w:pPr>
    <w:rPr>
      <w:rFonts w:ascii="Arial" w:hAnsi="Arial" w:eastAsia="方正小标宋_GBK" w:cs="Arial"/>
      <w:bCs/>
      <w:szCs w:val="32"/>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99"/>
    <w:pPr>
      <w:ind w:firstLine="560" w:firstLineChars="200"/>
    </w:pPr>
  </w:style>
  <w:style w:type="paragraph" w:styleId="10">
    <w:name w:val="toc 2"/>
    <w:basedOn w:val="1"/>
    <w:next w:val="1"/>
    <w:qFormat/>
    <w:uiPriority w:val="39"/>
    <w:pPr>
      <w:tabs>
        <w:tab w:val="right" w:leader="dot" w:pos="9629"/>
      </w:tabs>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qFormat/>
    <w:uiPriority w:val="0"/>
    <w:pPr>
      <w:spacing w:after="0"/>
      <w:ind w:firstLine="420" w:firstLineChars="200"/>
    </w:pPr>
    <w:rPr>
      <w:rFonts w:hAnsi="宋体"/>
      <w:szCs w:val="22"/>
    </w:rPr>
  </w:style>
  <w:style w:type="table" w:styleId="14">
    <w:name w:val="Table Grid"/>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character" w:customStyle="1" w:styleId="17">
    <w:name w:val="Body text|2 + PMingLiU"/>
    <w:unhideWhenUsed/>
    <w:qFormat/>
    <w:uiPriority w:val="0"/>
    <w:rPr>
      <w:rFonts w:ascii="PMingLiU" w:hAnsi="PMingLiU" w:eastAsia="PMingLiU" w:cs="PMingLiU"/>
      <w:color w:val="000000"/>
      <w:spacing w:val="0"/>
      <w:w w:val="100"/>
      <w:position w:val="0"/>
      <w:sz w:val="15"/>
      <w:szCs w:val="15"/>
      <w:lang w:val="zh-CN" w:eastAsia="zh-CN" w:bidi="zh-CN"/>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缩进1"/>
    <w:basedOn w:val="1"/>
    <w:qFormat/>
    <w:uiPriority w:val="0"/>
    <w:pPr>
      <w:ind w:firstLine="420" w:firstLineChars="200"/>
    </w:pPr>
  </w:style>
  <w:style w:type="paragraph" w:customStyle="1" w:styleId="21">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3355</Words>
  <Characters>3436</Characters>
  <Lines>0</Lines>
  <Paragraphs>0</Paragraphs>
  <TotalTime>80</TotalTime>
  <ScaleCrop>false</ScaleCrop>
  <LinksUpToDate>false</LinksUpToDate>
  <CharactersWithSpaces>3458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2024-09-09T06:05:00Z</dcterms:created>
  <dc:creator>JF</dc:creator>
  <cp:lastModifiedBy>Clytze</cp:lastModifiedBy>
  <cp:lastPrinted>2025-12-10T07:11:00Z</cp:lastPrinted>
  <dcterms:modified xsi:type="dcterms:W3CDTF">2025-12-10T08:54:10Z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17F321EF4AA846DE85F34E673603CFBF_13</vt:lpwstr>
  </property>
  <property fmtid="{D5CDD505-2E9C-101B-9397-08002B2CF9AE}" pid="4" name="KSOTemplateDocerSaveRecord">
    <vt:lpwstr>eyJoZGlkIjoiYzI4NDlmMDhjNjE5NThkMzI5YzUwOTM0OTg3YzQ1ZDEiLCJ1c2VySWQiOiIyODAzMzM3OTUifQ==</vt:lpwstr>
  </property>
</Properties>
</file>