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B5315">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both"/>
        <w:rPr>
          <w:rFonts w:hint="eastAsia" w:ascii="宋体" w:hAnsi="宋体" w:eastAsia="宋体" w:cs="宋体"/>
          <w:i w:val="0"/>
          <w:iCs w:val="0"/>
          <w:caps w:val="0"/>
          <w:color w:val="333333"/>
          <w:spacing w:val="0"/>
          <w:sz w:val="28"/>
          <w:szCs w:val="28"/>
          <w:highlight w:val="none"/>
          <w:shd w:val="clear" w:fill="FFFFFF"/>
        </w:rPr>
      </w:pPr>
      <w:bookmarkStart w:id="1" w:name="_GoBack"/>
      <w:bookmarkEnd w:id="1"/>
    </w:p>
    <w:p w14:paraId="5DFE79E2">
      <w:pPr>
        <w:rPr>
          <w:rFonts w:hint="eastAsia"/>
          <w:b/>
          <w:bCs/>
          <w:sz w:val="32"/>
          <w:szCs w:val="40"/>
          <w:highlight w:val="none"/>
          <w:lang w:val="en-US" w:eastAsia="zh-CN"/>
        </w:rPr>
      </w:pPr>
      <w:r>
        <w:rPr>
          <w:rFonts w:hint="eastAsia"/>
          <w:b/>
          <w:bCs/>
          <w:sz w:val="32"/>
          <w:szCs w:val="40"/>
          <w:highlight w:val="none"/>
          <w:lang w:val="en-US" w:eastAsia="zh-CN"/>
        </w:rPr>
        <w:t>附件</w:t>
      </w:r>
    </w:p>
    <w:p w14:paraId="23D33127">
      <w:pPr>
        <w:snapToGrid w:val="0"/>
        <w:spacing w:line="336" w:lineRule="auto"/>
        <w:ind w:left="0" w:leftChars="0" w:firstLine="417" w:firstLineChars="174"/>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以下所列产品中如有仅指某生产商的，则仅供参考，投标人在满足或优于所要求的技术参数基础上可自行选择生产商及型号。</w:t>
      </w:r>
    </w:p>
    <w:p w14:paraId="728947F0">
      <w:pPr>
        <w:snapToGrid w:val="0"/>
        <w:spacing w:line="336" w:lineRule="auto"/>
        <w:ind w:right="519" w:rightChars="247"/>
        <w:rPr>
          <w:rFonts w:hint="eastAsia" w:ascii="宋体" w:hAnsi="宋体"/>
          <w:b/>
          <w:color w:val="auto"/>
          <w:sz w:val="32"/>
          <w:szCs w:val="32"/>
          <w:highlight w:val="none"/>
        </w:rPr>
      </w:pPr>
      <w:r>
        <w:rPr>
          <w:rFonts w:hint="eastAsia" w:ascii="宋体" w:hAnsi="宋体"/>
          <w:b/>
          <w:color w:val="auto"/>
          <w:sz w:val="32"/>
          <w:szCs w:val="32"/>
          <w:highlight w:val="none"/>
        </w:rPr>
        <w:t>一、项目内容、技术参数要求</w:t>
      </w:r>
    </w:p>
    <w:p w14:paraId="0CFDD68A">
      <w:pPr>
        <w:numPr>
          <w:ilvl w:val="0"/>
          <w:numId w:val="1"/>
        </w:numPr>
        <w:snapToGrid w:val="0"/>
        <w:spacing w:line="336" w:lineRule="auto"/>
        <w:ind w:right="519" w:rightChars="247"/>
        <w:rPr>
          <w:rFonts w:hint="eastAsia" w:ascii="宋体" w:hAnsi="宋体"/>
          <w:b/>
          <w:sz w:val="28"/>
          <w:szCs w:val="28"/>
          <w:highlight w:val="none"/>
        </w:rPr>
      </w:pPr>
      <w:r>
        <w:rPr>
          <w:rFonts w:hint="eastAsia" w:ascii="宋体" w:hAnsi="宋体"/>
          <w:b/>
          <w:sz w:val="28"/>
          <w:szCs w:val="28"/>
          <w:highlight w:val="none"/>
        </w:rPr>
        <w:t>、仪器设备</w:t>
      </w:r>
    </w:p>
    <w:tbl>
      <w:tblPr>
        <w:tblStyle w:val="15"/>
        <w:tblW w:w="1417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08"/>
        <w:gridCol w:w="683"/>
        <w:gridCol w:w="825"/>
        <w:gridCol w:w="10088"/>
      </w:tblGrid>
      <w:tr w14:paraId="650D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5" w:type="dxa"/>
            <w:noWrap w:val="0"/>
            <w:vAlign w:val="center"/>
          </w:tcPr>
          <w:p w14:paraId="7B84BBC1">
            <w:pPr>
              <w:widowControl/>
              <w:jc w:val="center"/>
              <w:textAlignment w:val="center"/>
              <w:rPr>
                <w:rFonts w:hint="eastAsia" w:ascii="宋体" w:hAnsi="宋体" w:cs="宋体"/>
                <w:b/>
                <w:bCs/>
                <w:color w:val="000000"/>
                <w:sz w:val="24"/>
                <w:szCs w:val="24"/>
                <w:highlight w:val="none"/>
              </w:rPr>
            </w:pPr>
            <w:r>
              <w:rPr>
                <w:rFonts w:hint="eastAsia" w:ascii="宋体" w:hAnsi="宋体" w:cs="宋体"/>
                <w:b/>
                <w:bCs/>
                <w:color w:val="000000"/>
                <w:kern w:val="0"/>
                <w:sz w:val="24"/>
                <w:szCs w:val="24"/>
                <w:highlight w:val="none"/>
                <w:lang w:bidi="ar"/>
              </w:rPr>
              <w:t>序号</w:t>
            </w:r>
          </w:p>
        </w:tc>
        <w:tc>
          <w:tcPr>
            <w:tcW w:w="1908" w:type="dxa"/>
            <w:noWrap w:val="0"/>
            <w:vAlign w:val="center"/>
          </w:tcPr>
          <w:p w14:paraId="437A2EB3">
            <w:pPr>
              <w:widowControl/>
              <w:jc w:val="center"/>
              <w:textAlignment w:val="center"/>
              <w:rPr>
                <w:rFonts w:hint="eastAsia" w:ascii="宋体" w:hAnsi="宋体" w:cs="宋体"/>
                <w:b/>
                <w:bCs/>
                <w:color w:val="000000"/>
                <w:sz w:val="24"/>
                <w:szCs w:val="24"/>
                <w:highlight w:val="none"/>
              </w:rPr>
            </w:pPr>
            <w:r>
              <w:rPr>
                <w:rFonts w:hint="eastAsia" w:ascii="宋体" w:hAnsi="宋体" w:cs="宋体"/>
                <w:b/>
                <w:bCs/>
                <w:color w:val="000000"/>
                <w:kern w:val="0"/>
                <w:sz w:val="24"/>
                <w:szCs w:val="24"/>
                <w:highlight w:val="none"/>
                <w:lang w:bidi="ar"/>
              </w:rPr>
              <w:t>名称</w:t>
            </w:r>
          </w:p>
        </w:tc>
        <w:tc>
          <w:tcPr>
            <w:tcW w:w="683" w:type="dxa"/>
            <w:noWrap w:val="0"/>
            <w:vAlign w:val="center"/>
          </w:tcPr>
          <w:p w14:paraId="7C5FD32B">
            <w:pPr>
              <w:widowControl/>
              <w:jc w:val="center"/>
              <w:textAlignment w:val="center"/>
              <w:rPr>
                <w:rFonts w:hint="eastAsia" w:ascii="宋体" w:hAnsi="宋体" w:cs="宋体"/>
                <w:b/>
                <w:bCs/>
                <w:color w:val="000000"/>
                <w:sz w:val="24"/>
                <w:szCs w:val="24"/>
                <w:highlight w:val="none"/>
              </w:rPr>
            </w:pPr>
            <w:r>
              <w:rPr>
                <w:rFonts w:hint="eastAsia" w:ascii="宋体" w:hAnsi="宋体" w:cs="宋体"/>
                <w:b/>
                <w:bCs/>
                <w:color w:val="000000"/>
                <w:kern w:val="0"/>
                <w:sz w:val="24"/>
                <w:szCs w:val="24"/>
                <w:highlight w:val="none"/>
                <w:lang w:bidi="ar"/>
              </w:rPr>
              <w:t>数量</w:t>
            </w:r>
          </w:p>
        </w:tc>
        <w:tc>
          <w:tcPr>
            <w:tcW w:w="825" w:type="dxa"/>
            <w:noWrap w:val="0"/>
            <w:vAlign w:val="center"/>
          </w:tcPr>
          <w:p w14:paraId="4B665897">
            <w:pPr>
              <w:widowControl/>
              <w:jc w:val="center"/>
              <w:textAlignment w:val="center"/>
              <w:rPr>
                <w:rFonts w:hint="eastAsia" w:ascii="宋体" w:hAnsi="宋体" w:cs="宋体"/>
                <w:b/>
                <w:bCs/>
                <w:color w:val="000000"/>
                <w:sz w:val="24"/>
                <w:szCs w:val="24"/>
                <w:highlight w:val="none"/>
              </w:rPr>
            </w:pPr>
            <w:r>
              <w:rPr>
                <w:rFonts w:hint="eastAsia" w:ascii="宋体" w:hAnsi="宋体" w:cs="宋体"/>
                <w:b/>
                <w:bCs/>
                <w:color w:val="000000"/>
                <w:kern w:val="0"/>
                <w:sz w:val="24"/>
                <w:szCs w:val="24"/>
                <w:highlight w:val="none"/>
                <w:lang w:bidi="ar"/>
              </w:rPr>
              <w:t>单位</w:t>
            </w:r>
          </w:p>
        </w:tc>
        <w:tc>
          <w:tcPr>
            <w:tcW w:w="10088" w:type="dxa"/>
            <w:noWrap w:val="0"/>
            <w:vAlign w:val="center"/>
          </w:tcPr>
          <w:p w14:paraId="00315E38">
            <w:pPr>
              <w:widowControl/>
              <w:jc w:val="center"/>
              <w:textAlignment w:val="center"/>
              <w:rPr>
                <w:rFonts w:hint="eastAsia" w:ascii="宋体" w:hAnsi="宋体" w:cs="宋体"/>
                <w:b/>
                <w:bCs/>
                <w:color w:val="000000"/>
                <w:sz w:val="24"/>
                <w:szCs w:val="24"/>
                <w:highlight w:val="none"/>
              </w:rPr>
            </w:pPr>
            <w:r>
              <w:rPr>
                <w:rFonts w:hint="eastAsia" w:ascii="宋体" w:hAnsi="宋体" w:cs="宋体"/>
                <w:b/>
                <w:bCs/>
                <w:color w:val="000000"/>
                <w:kern w:val="0"/>
                <w:sz w:val="24"/>
                <w:szCs w:val="24"/>
                <w:highlight w:val="none"/>
                <w:lang w:bidi="ar"/>
              </w:rPr>
              <w:t>技术参数</w:t>
            </w:r>
          </w:p>
        </w:tc>
      </w:tr>
      <w:tr w14:paraId="4686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0" w:hRule="atLeast"/>
        </w:trPr>
        <w:tc>
          <w:tcPr>
            <w:tcW w:w="675" w:type="dxa"/>
            <w:noWrap/>
            <w:vAlign w:val="center"/>
          </w:tcPr>
          <w:p w14:paraId="43EE53BF">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1908" w:type="dxa"/>
            <w:noWrap w:val="0"/>
            <w:vAlign w:val="center"/>
          </w:tcPr>
          <w:p w14:paraId="37BE6EBF">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便携式流速测量仪</w:t>
            </w:r>
          </w:p>
        </w:tc>
        <w:tc>
          <w:tcPr>
            <w:tcW w:w="683" w:type="dxa"/>
            <w:noWrap w:val="0"/>
            <w:vAlign w:val="center"/>
          </w:tcPr>
          <w:p w14:paraId="45797666">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3</w:t>
            </w:r>
          </w:p>
        </w:tc>
        <w:tc>
          <w:tcPr>
            <w:tcW w:w="825" w:type="dxa"/>
            <w:noWrap w:val="0"/>
            <w:vAlign w:val="center"/>
          </w:tcPr>
          <w:p w14:paraId="32431042">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13176B9C">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超声波多普勒流速流量仪</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1、测流范围：0.01~5.00m/s</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2、测流准确度：1.0%±1cm/s</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3、分辨率：1mm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4、水温测量范围：±1℃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5、水位范围：0-10m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6、水位精度：0.2%±0.2cm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7、流量范围：1升/秒~99999999立方米/小时</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8、工作电源：内置锂电池DC12V±10%</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AC220V，50Hz，±10%</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9、测量模式：手动和自动两种</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10、测量间隔：自动方式：0-120分钟选择值，以5分钟为最小递增或递减间隔单位</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手动方式：可单次或连续多次测量，间隔任意</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11、测速历时：手动方式：60秒和100秒两种</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自动方式：10-120秒，递增或递减选择</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12、数据存储：可存储10万组数据</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13、测量方式：便携式，插杆2米，若加长可定制</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14、屏幕液晶显示：具有连续背景光功能</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15、配有数据读取软件，实现数据的传输，打印和输出功能</w:t>
            </w:r>
          </w:p>
        </w:tc>
      </w:tr>
      <w:tr w14:paraId="4454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0" w:hRule="atLeast"/>
        </w:trPr>
        <w:tc>
          <w:tcPr>
            <w:tcW w:w="675" w:type="dxa"/>
            <w:noWrap/>
            <w:vAlign w:val="center"/>
          </w:tcPr>
          <w:p w14:paraId="7E2E87C2">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w:t>
            </w:r>
          </w:p>
        </w:tc>
        <w:tc>
          <w:tcPr>
            <w:tcW w:w="1908" w:type="dxa"/>
            <w:noWrap w:val="0"/>
            <w:vAlign w:val="center"/>
          </w:tcPr>
          <w:p w14:paraId="04263353">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便携式多参数水质测试仪</w:t>
            </w:r>
          </w:p>
        </w:tc>
        <w:tc>
          <w:tcPr>
            <w:tcW w:w="683" w:type="dxa"/>
            <w:noWrap w:val="0"/>
            <w:vAlign w:val="center"/>
          </w:tcPr>
          <w:p w14:paraId="50618D33">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3</w:t>
            </w:r>
          </w:p>
        </w:tc>
        <w:tc>
          <w:tcPr>
            <w:tcW w:w="825" w:type="dxa"/>
            <w:noWrap w:val="0"/>
            <w:vAlign w:val="center"/>
          </w:tcPr>
          <w:p w14:paraId="08A5488D">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621C0E63">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1.检测项目：可测pH值、溶解氧、电导率、水温、浊度等</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2.仪器级别: pH/pX：0.001级  电导：0.5级</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3.pH：（-2.000～20.000）pH  最小分辨率：0.001 pH</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4.pX：（-2.000～20.000）pX  最小分辨率：0.001 pX</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5.离子浓度：（0～19990）Unit:mol/L、mmol/L、g/L、mg/L、μg/L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6.电导率：0.000μS/cm～3000mS/cm  最小分辨率：0.001μS/cm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7.电阻率：5.00Ω.cm～100.0MΩ·cm  最小分辨率：0.01Ω·cm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8.TDS：0.000 mg/L～1000g/L  最小分辨率：0.001mg/L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9.溶解氧：电子单元：（0.00～99.99）mg/L  配套范围：（0.00～50.00）mg/L</w:t>
            </w:r>
            <w:r>
              <w:rPr>
                <w:rFonts w:hint="eastAsia" w:ascii="宋体" w:hAnsi="宋体" w:cs="宋体"/>
                <w:color w:val="000000"/>
                <w:kern w:val="0"/>
                <w:sz w:val="24"/>
                <w:szCs w:val="24"/>
                <w:highlight w:val="none"/>
                <w:lang w:val="en-US" w:eastAsia="zh-CN" w:bidi="ar"/>
              </w:rPr>
              <w:t xml:space="preserve">    </w:t>
            </w:r>
            <w:r>
              <w:rPr>
                <w:rFonts w:hint="eastAsia" w:ascii="宋体" w:hAnsi="宋体" w:cs="宋体"/>
                <w:color w:val="000000"/>
                <w:kern w:val="0"/>
                <w:sz w:val="24"/>
                <w:szCs w:val="24"/>
                <w:highlight w:val="none"/>
                <w:lang w:bidi="ar"/>
              </w:rPr>
              <w:t>最小分辨率：0.01mg/L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10.溶解氧饱和度：（0.0～600.0）%</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11.温度：(-10.0～135.0) ℃/(14.0～275.0) °F  最小分辨率：0.1 ℃/0.1°F</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12.配置：配套便携设备箱子、配套仪器使用缓冲液和备用探头</w:t>
            </w:r>
          </w:p>
        </w:tc>
      </w:tr>
      <w:tr w14:paraId="6F1A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trPr>
        <w:tc>
          <w:tcPr>
            <w:tcW w:w="675" w:type="dxa"/>
            <w:noWrap/>
            <w:vAlign w:val="center"/>
          </w:tcPr>
          <w:p w14:paraId="3718BD17">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3</w:t>
            </w:r>
          </w:p>
        </w:tc>
        <w:tc>
          <w:tcPr>
            <w:tcW w:w="1908" w:type="dxa"/>
            <w:noWrap w:val="0"/>
            <w:vAlign w:val="center"/>
          </w:tcPr>
          <w:p w14:paraId="2939F668">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便携式pH 计</w:t>
            </w:r>
          </w:p>
        </w:tc>
        <w:tc>
          <w:tcPr>
            <w:tcW w:w="683" w:type="dxa"/>
            <w:noWrap w:val="0"/>
            <w:vAlign w:val="center"/>
          </w:tcPr>
          <w:p w14:paraId="054F83A0">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3</w:t>
            </w:r>
          </w:p>
        </w:tc>
        <w:tc>
          <w:tcPr>
            <w:tcW w:w="825" w:type="dxa"/>
            <w:noWrap w:val="0"/>
            <w:vAlign w:val="center"/>
          </w:tcPr>
          <w:p w14:paraId="1634C08A">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60B3C7DB">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1.测量范围：-2.00~20.00pH</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2.显示分辨率：0.01pH</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3.测量精度：±0.01pH</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 1至3点校准, 自动识别USA与NIST标准缓冲液</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 温度补偿范围：0~100°C/32~212°F, 自动温度补偿, 确保全量程范围的准确测量</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6. 测量结果，自动锁定稳定的数据结果</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7. 设置菜单可自定义pH缓冲组, 校准点数量, 温度单位、自动关机等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8. 重置功能, 自动恢复仪表至工厂默认设置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9. 配备USB接口，可用于传输数据及连接电源适配器到仪表中</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10.配置：配套便携设备箱子、配套仪器使用缓冲液和备用探头</w:t>
            </w:r>
          </w:p>
        </w:tc>
      </w:tr>
      <w:tr w14:paraId="25FA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0" w:hRule="atLeast"/>
        </w:trPr>
        <w:tc>
          <w:tcPr>
            <w:tcW w:w="675" w:type="dxa"/>
            <w:noWrap/>
            <w:vAlign w:val="center"/>
          </w:tcPr>
          <w:p w14:paraId="76A29BB0">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4</w:t>
            </w:r>
          </w:p>
        </w:tc>
        <w:tc>
          <w:tcPr>
            <w:tcW w:w="1908" w:type="dxa"/>
            <w:noWrap w:val="0"/>
            <w:vAlign w:val="center"/>
          </w:tcPr>
          <w:p w14:paraId="6F8055C0">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便携式溶解氧测定仪</w:t>
            </w:r>
          </w:p>
        </w:tc>
        <w:tc>
          <w:tcPr>
            <w:tcW w:w="683" w:type="dxa"/>
            <w:noWrap w:val="0"/>
            <w:vAlign w:val="center"/>
          </w:tcPr>
          <w:p w14:paraId="50742A30">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3</w:t>
            </w:r>
          </w:p>
        </w:tc>
        <w:tc>
          <w:tcPr>
            <w:tcW w:w="825" w:type="dxa"/>
            <w:noWrap w:val="0"/>
            <w:vAlign w:val="center"/>
          </w:tcPr>
          <w:p w14:paraId="356499D7">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337510ED">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1.测量范围：0.00～20.00mg/L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2.显示分辨率：0.01mg/L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3.测量精度：±0.5mg/L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4.%饱和度测量范围：0.00～200.0%饱和</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5.%饱和度显示分辨率：0.1%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6.%饱和度测量精度 ：±2.0%</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7.校准点：1或2点</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8.温度补偿范围：0～50℃/32～122°F,自动</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9.盐度补偿范围：0～50.0g/L，自动</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10.大气压力补偿范围：60～112.5kPa/450～850mmHg，手动</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11.温度校准：测量值±10°C/°F</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12.设备需采用光学法或膜电极法</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13.数据传输：配备USB接口，可用于传输数据</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14.电源类型：AA 型电池 3 节或 DC5V 电源适配器</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15.标准配置：说明书，保修卡，合格证，专用电极，AA电池，专用户外手提箱。专用户外手提箱，配有备用探头以及现场测量所需的缆线或传输线</w:t>
            </w:r>
          </w:p>
        </w:tc>
      </w:tr>
      <w:tr w14:paraId="3605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noWrap/>
            <w:vAlign w:val="center"/>
          </w:tcPr>
          <w:p w14:paraId="347BEAA7">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5</w:t>
            </w:r>
          </w:p>
        </w:tc>
        <w:tc>
          <w:tcPr>
            <w:tcW w:w="1908" w:type="dxa"/>
            <w:noWrap w:val="0"/>
            <w:vAlign w:val="center"/>
          </w:tcPr>
          <w:p w14:paraId="45A55BB4">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便携式电导仪</w:t>
            </w:r>
          </w:p>
        </w:tc>
        <w:tc>
          <w:tcPr>
            <w:tcW w:w="683" w:type="dxa"/>
            <w:noWrap w:val="0"/>
            <w:vAlign w:val="center"/>
          </w:tcPr>
          <w:p w14:paraId="774A6D80">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3</w:t>
            </w:r>
          </w:p>
        </w:tc>
        <w:tc>
          <w:tcPr>
            <w:tcW w:w="825" w:type="dxa"/>
            <w:noWrap w:val="0"/>
            <w:vAlign w:val="center"/>
          </w:tcPr>
          <w:p w14:paraId="0B331EBE">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209E977F">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1.测量范围：0.01~20.00, 200.0, 2000</w:t>
            </w:r>
            <w:r>
              <w:rPr>
                <w:rStyle w:val="29"/>
                <w:rFonts w:hint="default"/>
                <w:sz w:val="24"/>
                <w:szCs w:val="24"/>
                <w:highlight w:val="none"/>
                <w:lang w:bidi="ar"/>
              </w:rPr>
              <w:t>µS/cm, 20.00, 200.0mS/cm</w:t>
            </w:r>
            <w:r>
              <w:rPr>
                <w:rStyle w:val="29"/>
                <w:rFonts w:hint="default"/>
                <w:sz w:val="24"/>
                <w:szCs w:val="24"/>
                <w:highlight w:val="none"/>
                <w:lang w:bidi="ar"/>
              </w:rPr>
              <w:br w:type="textWrapping"/>
            </w:r>
            <w:r>
              <w:rPr>
                <w:rStyle w:val="29"/>
                <w:rFonts w:hint="default"/>
                <w:sz w:val="24"/>
                <w:szCs w:val="24"/>
                <w:highlight w:val="none"/>
                <w:lang w:bidi="ar"/>
              </w:rPr>
              <w:t xml:space="preserve">2.显示分辨率：0.001, 0.01, 0.1, 1  </w:t>
            </w:r>
            <w:r>
              <w:rPr>
                <w:rStyle w:val="29"/>
                <w:rFonts w:hint="default"/>
                <w:sz w:val="24"/>
                <w:szCs w:val="24"/>
                <w:highlight w:val="none"/>
                <w:lang w:bidi="ar"/>
              </w:rPr>
              <w:br w:type="textWrapping"/>
            </w:r>
            <w:r>
              <w:rPr>
                <w:rStyle w:val="29"/>
                <w:rFonts w:hint="default"/>
                <w:sz w:val="24"/>
                <w:szCs w:val="24"/>
                <w:highlight w:val="none"/>
                <w:lang w:bidi="ar"/>
              </w:rPr>
              <w:t>3.测量精度：全量程 ±0.5%</w:t>
            </w:r>
            <w:r>
              <w:rPr>
                <w:rStyle w:val="29"/>
                <w:rFonts w:hint="default"/>
                <w:sz w:val="24"/>
                <w:szCs w:val="24"/>
                <w:highlight w:val="none"/>
                <w:lang w:bidi="ar"/>
              </w:rPr>
              <w:br w:type="textWrapping"/>
            </w:r>
            <w:r>
              <w:rPr>
                <w:rStyle w:val="29"/>
                <w:rFonts w:hint="default"/>
                <w:sz w:val="24"/>
                <w:szCs w:val="24"/>
                <w:highlight w:val="none"/>
                <w:lang w:bidi="ar"/>
              </w:rPr>
              <w:t xml:space="preserve">4.校准点：1~3 点 </w:t>
            </w:r>
            <w:r>
              <w:rPr>
                <w:rStyle w:val="29"/>
                <w:rFonts w:hint="default"/>
                <w:sz w:val="24"/>
                <w:szCs w:val="24"/>
                <w:highlight w:val="none"/>
                <w:lang w:bidi="ar"/>
              </w:rPr>
              <w:br w:type="textWrapping"/>
            </w:r>
            <w:r>
              <w:rPr>
                <w:rStyle w:val="29"/>
                <w:rFonts w:hint="default"/>
                <w:sz w:val="24"/>
                <w:szCs w:val="24"/>
                <w:highlight w:val="none"/>
                <w:lang w:bidi="ar"/>
              </w:rPr>
              <w:t>5.使用校准液：0µS/cm, 84µS/cm, 1413µS/cm, 12.88mS/cm, 111.8mS/cm</w:t>
            </w:r>
            <w:r>
              <w:rPr>
                <w:rStyle w:val="29"/>
                <w:rFonts w:hint="default"/>
                <w:sz w:val="24"/>
                <w:szCs w:val="24"/>
                <w:highlight w:val="none"/>
                <w:lang w:bidi="ar"/>
              </w:rPr>
              <w:br w:type="textWrapping"/>
            </w:r>
            <w:r>
              <w:rPr>
                <w:rStyle w:val="29"/>
                <w:rFonts w:hint="default"/>
                <w:sz w:val="24"/>
                <w:szCs w:val="24"/>
                <w:highlight w:val="none"/>
                <w:lang w:bidi="ar"/>
              </w:rPr>
              <w:t>6.温度测量范围：0~105°C/32~221°F</w:t>
            </w:r>
            <w:r>
              <w:rPr>
                <w:rStyle w:val="29"/>
                <w:rFonts w:hint="default"/>
                <w:sz w:val="24"/>
                <w:szCs w:val="24"/>
                <w:highlight w:val="none"/>
                <w:lang w:bidi="ar"/>
              </w:rPr>
              <w:br w:type="textWrapping"/>
            </w:r>
            <w:r>
              <w:rPr>
                <w:rStyle w:val="29"/>
                <w:rFonts w:hint="default"/>
                <w:sz w:val="24"/>
                <w:szCs w:val="24"/>
                <w:highlight w:val="none"/>
                <w:lang w:bidi="ar"/>
              </w:rPr>
              <w:t xml:space="preserve">7.显示分辨率：0.1°C/0.1°F </w:t>
            </w:r>
            <w:r>
              <w:rPr>
                <w:rStyle w:val="29"/>
                <w:rFonts w:hint="default"/>
                <w:sz w:val="24"/>
                <w:szCs w:val="24"/>
                <w:highlight w:val="none"/>
                <w:lang w:bidi="ar"/>
              </w:rPr>
              <w:br w:type="textWrapping"/>
            </w:r>
            <w:r>
              <w:rPr>
                <w:rStyle w:val="29"/>
                <w:rFonts w:hint="default"/>
                <w:sz w:val="24"/>
                <w:szCs w:val="24"/>
                <w:highlight w:val="none"/>
                <w:lang w:bidi="ar"/>
              </w:rPr>
              <w:t xml:space="preserve">8.测量精度：±0.5°C/±0.9°F </w:t>
            </w:r>
            <w:r>
              <w:rPr>
                <w:rStyle w:val="29"/>
                <w:rFonts w:hint="default"/>
                <w:sz w:val="24"/>
                <w:szCs w:val="24"/>
                <w:highlight w:val="none"/>
                <w:lang w:bidi="ar"/>
              </w:rPr>
              <w:br w:type="textWrapping"/>
            </w:r>
            <w:r>
              <w:rPr>
                <w:rStyle w:val="29"/>
                <w:rFonts w:hint="default"/>
                <w:sz w:val="24"/>
                <w:szCs w:val="24"/>
                <w:highlight w:val="none"/>
                <w:lang w:bidi="ar"/>
              </w:rPr>
              <w:t>9.偏移校准：1 点, 测量值：±10°C</w:t>
            </w:r>
            <w:r>
              <w:rPr>
                <w:rStyle w:val="29"/>
                <w:rFonts w:hint="default"/>
                <w:sz w:val="24"/>
                <w:szCs w:val="24"/>
                <w:highlight w:val="none"/>
                <w:lang w:bidi="ar"/>
              </w:rPr>
              <w:br w:type="textWrapping"/>
            </w:r>
            <w:r>
              <w:rPr>
                <w:rStyle w:val="29"/>
                <w:rFonts w:hint="default"/>
                <w:sz w:val="24"/>
                <w:szCs w:val="24"/>
                <w:highlight w:val="none"/>
                <w:lang w:bidi="ar"/>
              </w:rPr>
              <w:t>10.温度补偿范围:0~100°C, 手动或自动</w:t>
            </w:r>
            <w:r>
              <w:rPr>
                <w:rStyle w:val="29"/>
                <w:rFonts w:hint="default"/>
                <w:sz w:val="24"/>
                <w:szCs w:val="24"/>
                <w:highlight w:val="none"/>
                <w:lang w:bidi="ar"/>
              </w:rPr>
              <w:br w:type="textWrapping"/>
            </w:r>
            <w:r>
              <w:rPr>
                <w:rStyle w:val="29"/>
                <w:rFonts w:hint="default"/>
                <w:sz w:val="24"/>
                <w:szCs w:val="24"/>
                <w:highlight w:val="none"/>
                <w:lang w:bidi="ar"/>
              </w:rPr>
              <w:t>11.温度补偿系数 :线性(0.0~10.0%/°C), 非线性, 纯水</w:t>
            </w:r>
            <w:r>
              <w:rPr>
                <w:rStyle w:val="29"/>
                <w:rFonts w:hint="default"/>
                <w:sz w:val="24"/>
                <w:szCs w:val="24"/>
                <w:highlight w:val="none"/>
                <w:lang w:bidi="ar"/>
              </w:rPr>
              <w:br w:type="textWrapping"/>
            </w:r>
            <w:r>
              <w:rPr>
                <w:rStyle w:val="29"/>
                <w:rFonts w:hint="default"/>
                <w:sz w:val="24"/>
                <w:szCs w:val="24"/>
                <w:highlight w:val="none"/>
                <w:lang w:bidi="ar"/>
              </w:rPr>
              <w:t>12.参考温度:20 或 25°C</w:t>
            </w:r>
            <w:r>
              <w:rPr>
                <w:rStyle w:val="29"/>
                <w:rFonts w:hint="default"/>
                <w:sz w:val="24"/>
                <w:szCs w:val="24"/>
                <w:highlight w:val="none"/>
                <w:lang w:bidi="ar"/>
              </w:rPr>
              <w:br w:type="textWrapping"/>
            </w:r>
            <w:r>
              <w:rPr>
                <w:rStyle w:val="29"/>
                <w:rFonts w:hint="default"/>
                <w:sz w:val="24"/>
                <w:szCs w:val="24"/>
                <w:highlight w:val="none"/>
                <w:lang w:bidi="ar"/>
              </w:rPr>
              <w:t>13.电导池常数:K=0.1, 1, 10</w:t>
            </w:r>
            <w:r>
              <w:rPr>
                <w:rStyle w:val="29"/>
                <w:rFonts w:hint="default"/>
                <w:sz w:val="24"/>
                <w:szCs w:val="24"/>
                <w:highlight w:val="none"/>
                <w:lang w:bidi="ar"/>
              </w:rPr>
              <w:br w:type="textWrapping"/>
            </w:r>
            <w:r>
              <w:rPr>
                <w:rStyle w:val="29"/>
                <w:rFonts w:hint="default"/>
                <w:sz w:val="24"/>
                <w:szCs w:val="24"/>
                <w:highlight w:val="none"/>
                <w:lang w:bidi="ar"/>
              </w:rPr>
              <w:t>14.数据锁定:手动或自动终点锁定</w:t>
            </w:r>
            <w:r>
              <w:rPr>
                <w:rStyle w:val="29"/>
                <w:rFonts w:hint="default"/>
                <w:sz w:val="24"/>
                <w:szCs w:val="24"/>
                <w:highlight w:val="none"/>
                <w:lang w:bidi="ar"/>
              </w:rPr>
              <w:br w:type="textWrapping"/>
            </w:r>
            <w:r>
              <w:rPr>
                <w:rStyle w:val="29"/>
                <w:rFonts w:hint="default"/>
                <w:sz w:val="24"/>
                <w:szCs w:val="24"/>
                <w:highlight w:val="none"/>
                <w:lang w:bidi="ar"/>
              </w:rPr>
              <w:t>15.电源类型:AA 型电池 3 节或 DC5V 电源适配器</w:t>
            </w:r>
            <w:r>
              <w:rPr>
                <w:rStyle w:val="29"/>
                <w:rFonts w:hint="default"/>
                <w:sz w:val="24"/>
                <w:szCs w:val="24"/>
                <w:highlight w:val="none"/>
                <w:lang w:bidi="ar"/>
              </w:rPr>
              <w:br w:type="textWrapping"/>
            </w:r>
            <w:r>
              <w:rPr>
                <w:rStyle w:val="29"/>
                <w:rFonts w:hint="default"/>
                <w:sz w:val="24"/>
                <w:szCs w:val="24"/>
                <w:highlight w:val="none"/>
                <w:lang w:bidi="ar"/>
              </w:rPr>
              <w:t>16.标准配置: 说明书，保修卡，合格证，专用K=1电极，AA电池，专用户外手提箱。</w:t>
            </w:r>
          </w:p>
        </w:tc>
      </w:tr>
      <w:tr w14:paraId="4EA6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noWrap/>
            <w:vAlign w:val="center"/>
          </w:tcPr>
          <w:p w14:paraId="110DE41D">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6</w:t>
            </w:r>
          </w:p>
        </w:tc>
        <w:tc>
          <w:tcPr>
            <w:tcW w:w="1908" w:type="dxa"/>
            <w:noWrap w:val="0"/>
            <w:vAlign w:val="center"/>
          </w:tcPr>
          <w:p w14:paraId="74DF760A">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便携式离子计</w:t>
            </w:r>
          </w:p>
        </w:tc>
        <w:tc>
          <w:tcPr>
            <w:tcW w:w="683" w:type="dxa"/>
            <w:noWrap w:val="0"/>
            <w:vAlign w:val="center"/>
          </w:tcPr>
          <w:p w14:paraId="49EB9F3C">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3</w:t>
            </w:r>
          </w:p>
        </w:tc>
        <w:tc>
          <w:tcPr>
            <w:tcW w:w="825" w:type="dxa"/>
            <w:noWrap w:val="0"/>
            <w:vAlign w:val="center"/>
          </w:tcPr>
          <w:p w14:paraId="564C595F">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62DF2418">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1.支持多种测量模式，包括连续测量模式、平衡测量模式、定时测量；模式，支持连续定时或者间隔定时；</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2.测量支持平衡条件判断，平衡条件提示；</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3.支持电极校正，最多5点标定；</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4.具有pH标液组管理功能，自动识别GB、DIN、NIST等多种pH缓冲溶液；</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5.支持多种常用的离子模式，如：Ag+、Na+、K+、NH4+、Cl-等，支持建立自定义离子模式；</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6.支持多种离子浓度测量模式，包括直读浓度法、标准添加法、样品添加法、GRAN测量法；</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7.pH/pX级别：0.01级；</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8.离子浓度范围：(1.000e-9～9.999e+9): mol/L, mmol/L, g/L, mg/L, μg/L；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9.最小分辨率：4位有效数字；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10.电子单元示值误差：±0.5%；</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11.温度范围：-5.0～110.0℃；</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12.最小分辨率：0.1℃；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13.电子单元基本误差：±0.3℃；</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14.电源类型：AA 型电池 3 节或 DC5V 电源适配器</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15.标准配置：说明书，保修卡，合格证，专用电极，AA电池，专用户外手提箱，配有备用探头以及现场测量所需的缆线或传输线</w:t>
            </w:r>
          </w:p>
        </w:tc>
      </w:tr>
      <w:tr w14:paraId="18AB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75" w:type="dxa"/>
            <w:noWrap/>
            <w:vAlign w:val="center"/>
          </w:tcPr>
          <w:p w14:paraId="5535BD8D">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7</w:t>
            </w:r>
          </w:p>
        </w:tc>
        <w:tc>
          <w:tcPr>
            <w:tcW w:w="1908" w:type="dxa"/>
            <w:noWrap w:val="0"/>
            <w:vAlign w:val="center"/>
          </w:tcPr>
          <w:p w14:paraId="4AC994BC">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水样手持式采样泵</w:t>
            </w:r>
          </w:p>
        </w:tc>
        <w:tc>
          <w:tcPr>
            <w:tcW w:w="683" w:type="dxa"/>
            <w:noWrap w:val="0"/>
            <w:vAlign w:val="center"/>
          </w:tcPr>
          <w:p w14:paraId="3C99288C">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3</w:t>
            </w:r>
          </w:p>
        </w:tc>
        <w:tc>
          <w:tcPr>
            <w:tcW w:w="825" w:type="dxa"/>
            <w:noWrap w:val="0"/>
            <w:vAlign w:val="center"/>
          </w:tcPr>
          <w:p w14:paraId="103AC652">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31CC4585">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1.转速范围：0-1800 rpm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2.工作环境：野外，室内</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3.充电式电源、便于携带、适用于无电源的地方，适用电源：充电选用Ac220V 50/60Hz</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4.最大吸程：10m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5.采样流量：0-3000ml/min</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6.可采集高比重高粘度液体、可采集含固形物颗粒混悬液体、可分层采样，连续或间断使用，可用于水质的分层采样</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7、配置：配备采样用备用泵管、样品瓶；</w:t>
            </w:r>
          </w:p>
        </w:tc>
      </w:tr>
      <w:tr w14:paraId="376D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675" w:type="dxa"/>
            <w:noWrap/>
            <w:vAlign w:val="center"/>
          </w:tcPr>
          <w:p w14:paraId="78413FE8">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8</w:t>
            </w:r>
          </w:p>
        </w:tc>
        <w:tc>
          <w:tcPr>
            <w:tcW w:w="1908" w:type="dxa"/>
            <w:noWrap w:val="0"/>
            <w:vAlign w:val="center"/>
          </w:tcPr>
          <w:p w14:paraId="1C0C7E4D">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便携冷藏箱</w:t>
            </w:r>
          </w:p>
        </w:tc>
        <w:tc>
          <w:tcPr>
            <w:tcW w:w="683" w:type="dxa"/>
            <w:noWrap w:val="0"/>
            <w:vAlign w:val="center"/>
          </w:tcPr>
          <w:p w14:paraId="3F750DF2">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3</w:t>
            </w:r>
          </w:p>
        </w:tc>
        <w:tc>
          <w:tcPr>
            <w:tcW w:w="825" w:type="dxa"/>
            <w:noWrap w:val="0"/>
            <w:vAlign w:val="center"/>
          </w:tcPr>
          <w:p w14:paraId="46ABDF61">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2C5AFCBA">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内外壳选用食品级PP硬质塑料注塑而成，无毒无害，抗紫外线，不易褪色箱体结实耐用，其牢固度＞V级，抗冲击力强，尤其适用于长期高温，载重搬运等恶劣的环境下使用。</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聚氨酯无氟发泡保温层，发泡均匀，导热系数低，密度为40~45kg/m3塑料合页，塑料提手，塑胶防滑垫，使箱体更轻便。</w:t>
            </w:r>
          </w:p>
          <w:p w14:paraId="38F8B436">
            <w:pPr>
              <w:widowControl/>
              <w:jc w:val="left"/>
              <w:textAlignment w:val="top"/>
              <w:rPr>
                <w:rFonts w:hint="default"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规格：不小于500mm</w:t>
            </w:r>
            <w:r>
              <w:rPr>
                <w:rFonts w:hint="eastAsia" w:ascii="宋体" w:hAnsi="宋体" w:cs="宋体"/>
                <w:color w:val="000000"/>
                <w:kern w:val="0"/>
                <w:sz w:val="24"/>
                <w:szCs w:val="24"/>
                <w:highlight w:val="none"/>
                <w:lang w:bidi="ar"/>
              </w:rPr>
              <w:t>×</w:t>
            </w:r>
            <w:r>
              <w:rPr>
                <w:rFonts w:hint="eastAsia" w:ascii="宋体" w:hAnsi="宋体" w:cs="宋体"/>
                <w:color w:val="000000"/>
                <w:kern w:val="0"/>
                <w:sz w:val="24"/>
                <w:szCs w:val="24"/>
                <w:highlight w:val="none"/>
                <w:lang w:val="en-US" w:eastAsia="zh-CN" w:bidi="ar"/>
              </w:rPr>
              <w:t>400mm</w:t>
            </w:r>
            <w:r>
              <w:rPr>
                <w:rFonts w:hint="eastAsia" w:ascii="宋体" w:hAnsi="宋体" w:cs="宋体"/>
                <w:color w:val="000000"/>
                <w:kern w:val="0"/>
                <w:sz w:val="24"/>
                <w:szCs w:val="24"/>
                <w:highlight w:val="none"/>
                <w:lang w:bidi="ar"/>
              </w:rPr>
              <w:t>×</w:t>
            </w:r>
            <w:r>
              <w:rPr>
                <w:rFonts w:hint="eastAsia" w:ascii="宋体" w:hAnsi="宋体" w:cs="宋体"/>
                <w:color w:val="000000"/>
                <w:kern w:val="0"/>
                <w:sz w:val="24"/>
                <w:szCs w:val="24"/>
                <w:highlight w:val="none"/>
                <w:lang w:val="en-US" w:eastAsia="zh-CN" w:bidi="ar"/>
              </w:rPr>
              <w:t>350mm</w:t>
            </w:r>
          </w:p>
        </w:tc>
      </w:tr>
      <w:tr w14:paraId="53B1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675" w:type="dxa"/>
            <w:noWrap/>
            <w:vAlign w:val="center"/>
          </w:tcPr>
          <w:p w14:paraId="147651B6">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9</w:t>
            </w:r>
          </w:p>
        </w:tc>
        <w:tc>
          <w:tcPr>
            <w:tcW w:w="1908" w:type="dxa"/>
            <w:noWrap w:val="0"/>
            <w:vAlign w:val="center"/>
          </w:tcPr>
          <w:p w14:paraId="0A37ED63">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土壤采样器</w:t>
            </w:r>
          </w:p>
        </w:tc>
        <w:tc>
          <w:tcPr>
            <w:tcW w:w="683" w:type="dxa"/>
            <w:noWrap w:val="0"/>
            <w:vAlign w:val="center"/>
          </w:tcPr>
          <w:p w14:paraId="3AFB8F63">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3</w:t>
            </w:r>
          </w:p>
        </w:tc>
        <w:tc>
          <w:tcPr>
            <w:tcW w:w="825" w:type="dxa"/>
            <w:noWrap w:val="0"/>
            <w:vAlign w:val="center"/>
          </w:tcPr>
          <w:p w14:paraId="1C2A467D">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66CDCD0D">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1、不锈钢的心型壤土钻钻头：一次采样长度20cm，螺纹连接；1支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2、T型手柄：长35cm，螺纹连接；　　　　　　　　　　　　1支</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3、延长杆：长50cm，　螺纹连接　　　　　　　　　　　　 1支</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4、延长杆：长100cm，　螺纹连接；　　　　　　　　　　　1支</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5、刮刀：宽20mm用于刮取土样；　　　　　　　　　　　　 1支</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6、扳手：19×22mm，用于拆卸、安装采样钻；　　　　　　 2支</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7、手套：手背透气性好，牛皮材质；　　　　　　　　　　 1支</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8、钢卷尺：3米；　　　　　　　　　　　　　　　　　　　1支</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9、便携包：长110cm，用于装上述部件。　　　　　　　　　1支</w:t>
            </w:r>
          </w:p>
        </w:tc>
      </w:tr>
      <w:tr w14:paraId="0FCB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0" w:hRule="atLeast"/>
        </w:trPr>
        <w:tc>
          <w:tcPr>
            <w:tcW w:w="675" w:type="dxa"/>
            <w:noWrap/>
            <w:vAlign w:val="center"/>
          </w:tcPr>
          <w:p w14:paraId="4DD6D4F4">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10</w:t>
            </w:r>
          </w:p>
        </w:tc>
        <w:tc>
          <w:tcPr>
            <w:tcW w:w="1908" w:type="dxa"/>
            <w:noWrap w:val="0"/>
            <w:vAlign w:val="center"/>
          </w:tcPr>
          <w:p w14:paraId="6821C20D">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1级声级计+校准器</w:t>
            </w:r>
          </w:p>
        </w:tc>
        <w:tc>
          <w:tcPr>
            <w:tcW w:w="683" w:type="dxa"/>
            <w:noWrap w:val="0"/>
            <w:vAlign w:val="center"/>
          </w:tcPr>
          <w:p w14:paraId="794DDA78">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4</w:t>
            </w:r>
          </w:p>
        </w:tc>
        <w:tc>
          <w:tcPr>
            <w:tcW w:w="825" w:type="dxa"/>
            <w:noWrap w:val="0"/>
            <w:vAlign w:val="center"/>
          </w:tcPr>
          <w:p w14:paraId="5D1B21A0">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0F217F33">
            <w:pPr>
              <w:widowControl/>
              <w:numPr>
                <w:ilvl w:val="0"/>
                <w:numId w:val="2"/>
              </w:numPr>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声级计技术参数：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w:t>
            </w: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bidi="ar"/>
              </w:rPr>
              <w:t>传声器和前置级组合灵敏度级：-35 dB</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1.2</w:t>
            </w: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bidi="ar"/>
              </w:rPr>
              <w:t xml:space="preserve">测量范围：18dB(A)～144dB(A)；30dB(C)～144 dB(C)；40dB(Z)～144 dB(Z)  ；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1.3</w:t>
            </w: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bidi="ar"/>
              </w:rPr>
              <w:t>频率范围：10 Hz～20kHz；</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1.4</w:t>
            </w: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bidi="ar"/>
              </w:rPr>
              <w:t xml:space="preserve">本机电噪声：&lt;20 dB(A)； &lt;25dB(C)；&lt;40dB(Z) 。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1.5</w:t>
            </w: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bidi="ar"/>
              </w:rPr>
              <w:t>频率计权：并行A、C、Z计权。</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1.6</w:t>
            </w: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bidi="ar"/>
              </w:rPr>
              <w:t>时间计权：并行F(快)，S(慢)，I(脉冲)。</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1.7</w:t>
            </w: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bidi="ar"/>
              </w:rPr>
              <w:t>准确度：GB/T 3785.1-20101级；GB/T 3241-2010  1级。</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1.8</w:t>
            </w: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bidi="ar"/>
              </w:rPr>
              <w:t>数据存贮：4 MB Flash RAM。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1.9</w:t>
            </w: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bidi="ar"/>
              </w:rPr>
              <w:t>存贮组数：512组。</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1.10</w:t>
            </w: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bidi="ar"/>
              </w:rPr>
              <w:t>测量时间：1 s到24 h。</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1.11</w:t>
            </w: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bidi="ar"/>
              </w:rPr>
              <w:t>统计分析功能：单次或24h。</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1.12</w:t>
            </w: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bidi="ar"/>
              </w:rPr>
              <w:t>统计分析指标：Lxyi、Lxyp、Lxeq,T、Lxmax、Lxmin、LxN、SD、SEL。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1.13</w:t>
            </w: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bidi="ar"/>
              </w:rPr>
              <w:t>24h模式分析指标：Lxyi、Lxyp、Lxeq,T、Lxmax、Lxmin、LxN、SD、SEL、Ld、Ln、Ldn等。</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1.14</w:t>
            </w: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bidi="ar"/>
              </w:rPr>
              <w:t>1/1倍频程频谱分析功能：并行(实时)倍频程，G=103/10，符合标准：GB/T 3241-2010 1级</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1.15</w:t>
            </w: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bidi="ar"/>
              </w:rPr>
              <w:t>滤波器中心频率：16Hz、31.5Hz、63Hz、125Hz、250Hz、500Hz、630Hz、800Hz、1kHz、2kHz、4kHz、8kHz、16kHz。</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1.16</w:t>
            </w: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bidi="ar"/>
              </w:rPr>
              <w:t>实时分析：同时完成所有中心频率及A计权，C计权，Z计权。</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1.17</w:t>
            </w: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bidi="ar"/>
              </w:rPr>
              <w:t>日历时钟：每月误差小于1分钟。</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1.18</w:t>
            </w: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bidi="ar"/>
              </w:rPr>
              <w:t>数据接口：RS232、直流信号、交流信号。</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1.19</w:t>
            </w: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bidi="ar"/>
              </w:rPr>
              <w:t>电源：4节AA碱性电池：连续工作大于30 h；</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1.20</w:t>
            </w: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bidi="ar"/>
              </w:rPr>
              <w:t>使用条件：气温：-10 ℃～50 ℃。相对湿度：25 %～90 %。气 压：65 kPa～108 kPa。</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1.2</w:t>
            </w:r>
            <w:r>
              <w:rPr>
                <w:rFonts w:hint="eastAsia" w:ascii="宋体" w:hAnsi="宋体" w:cs="宋体"/>
                <w:color w:val="000000"/>
                <w:kern w:val="0"/>
                <w:sz w:val="24"/>
                <w:szCs w:val="24"/>
                <w:highlight w:val="none"/>
                <w:lang w:val="en-US" w:eastAsia="zh-CN" w:bidi="ar"/>
              </w:rPr>
              <w:t>1、</w:t>
            </w:r>
            <w:r>
              <w:rPr>
                <w:rFonts w:hint="eastAsia" w:ascii="宋体" w:hAnsi="宋体" w:cs="宋体"/>
                <w:color w:val="000000"/>
                <w:kern w:val="0"/>
                <w:sz w:val="24"/>
                <w:szCs w:val="24"/>
                <w:highlight w:val="none"/>
                <w:lang w:bidi="ar"/>
              </w:rPr>
              <w:t>拓展功能：主机支持噪声或振动传感器智能切换，支持拓展振动测量。</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2.配置：主机、统计分析功能、OCT分析功能、打印机</w:t>
            </w:r>
            <w:r>
              <w:rPr>
                <w:rFonts w:hint="eastAsia" w:ascii="宋体" w:hAnsi="宋体" w:cs="宋体"/>
                <w:color w:val="000000"/>
                <w:kern w:val="0"/>
                <w:sz w:val="24"/>
                <w:szCs w:val="24"/>
                <w:highlight w:val="none"/>
                <w:lang w:eastAsia="zh-CN" w:bidi="ar"/>
              </w:rPr>
              <w:t>（可扫描复印、正反打印，支持A4幅面）</w:t>
            </w:r>
            <w:r>
              <w:rPr>
                <w:rFonts w:hint="eastAsia" w:ascii="宋体" w:hAnsi="宋体" w:cs="宋体"/>
                <w:color w:val="000000"/>
                <w:kern w:val="0"/>
                <w:sz w:val="24"/>
                <w:szCs w:val="24"/>
                <w:highlight w:val="none"/>
                <w:lang w:bidi="ar"/>
              </w:rPr>
              <w:t>、三脚架</w:t>
            </w:r>
            <w:r>
              <w:rPr>
                <w:rFonts w:hint="eastAsia" w:ascii="宋体" w:hAnsi="宋体" w:cs="宋体"/>
                <w:color w:val="000000"/>
                <w:kern w:val="0"/>
                <w:sz w:val="24"/>
                <w:szCs w:val="24"/>
                <w:highlight w:val="none"/>
                <w:lang w:bidi="ar"/>
              </w:rPr>
              <w:br w:type="textWrapping"/>
            </w:r>
          </w:p>
          <w:p w14:paraId="6677E633">
            <w:pPr>
              <w:widowControl/>
              <w:numPr>
                <w:ilvl w:val="0"/>
                <w:numId w:val="2"/>
              </w:numPr>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声校准器技术参数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1.1符合标准：GB/T 15173-2010、1EC 60942:2003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1.2频率1kHZ 声压级可调94、104、114、124</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1.3声压级误差：士0.25dB</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1.4谐波失真：≤1.5%</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1.5总失真：≤2.5%</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1.6使用电压范围：3-5V</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1.7使用电池：3.7V软包锂电池，充电3小时可充满，连续工作时间达5个小时。</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1.9稳定时间：15s以内</w:t>
            </w:r>
          </w:p>
        </w:tc>
      </w:tr>
      <w:tr w14:paraId="30F2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noWrap/>
            <w:vAlign w:val="center"/>
          </w:tcPr>
          <w:p w14:paraId="70941FCC">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11</w:t>
            </w:r>
          </w:p>
        </w:tc>
        <w:tc>
          <w:tcPr>
            <w:tcW w:w="1908" w:type="dxa"/>
            <w:noWrap w:val="0"/>
            <w:vAlign w:val="center"/>
          </w:tcPr>
          <w:p w14:paraId="32BC652D">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环境空气综合采样器</w:t>
            </w:r>
          </w:p>
        </w:tc>
        <w:tc>
          <w:tcPr>
            <w:tcW w:w="683" w:type="dxa"/>
            <w:noWrap w:val="0"/>
            <w:vAlign w:val="center"/>
          </w:tcPr>
          <w:p w14:paraId="16BC0851">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5</w:t>
            </w:r>
          </w:p>
        </w:tc>
        <w:tc>
          <w:tcPr>
            <w:tcW w:w="825" w:type="dxa"/>
            <w:noWrap w:val="0"/>
            <w:vAlign w:val="center"/>
          </w:tcPr>
          <w:p w14:paraId="3ADE25F2">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6C87FE52">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一.设备用途：</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环境空气颗粒物综合采样器是采用滤膜法捕集环境空气中的颗粒物（TSP、PM10、PM2.5），采用溶液吸收法采集环境大气、室内空气中各种有害气体。可供环保、卫生、劳动、安监、科研、教育等部门用于环境监测。</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二.技术特点：</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 高清液晶触摸屏，附带按键功能，操控简单便捷；</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2.2 内置高效锂电池，充电快捷，满足无外接电源情况下一定时间的采样；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2.3 体积小，重量轻，方便携带；</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2.4 整机防雨、防尘、防静电及防碰撞设计，可保证在雨、雪、扬尘、重度霾天气条件下正常工作；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2.5 具有五路同时采样功能，可同时采集空气中的颗粒物和气态污染物；</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2.6 保温箱标配恒温功能，确保宽温采样；</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2.7 采用大流量、高负压无刷采样泵，流量100L/min时，负载能力＞6kPa，额定80%负载时，可不间断运行时间＞5000小时；</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2.8 采样泵控制器具有防气路阻塞及低流量保护功能；</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2.9 可实现恒流采样、定时采样、间隔采样、24小时连续采样多种采样方式，且采样流量和采样时间均可单独控制；</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2.10 采用高精度、耐腐蚀、耐高湿电子流量计，确保采样参数精准；</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2.11 内置大容量数据存储器，具备瞬时数据存储功能，支持USB数据导出；</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无线蓝牙打印；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2.12 TSP/PM10/PM2.5切割器铝合金材质，抗静电吸附；</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2.13 环境大气压力和温度，可测量可输入；压力传感器，免维护免标定；</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采样过程中断电数据自动保护，来电后继续采样。</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三、主要技术指标</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3.1颗粒物采样流量：(0～150)L/min，分辨率0.1L/min，最大允许误差±5%；</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3.2颗粒物采样时间：1min～99h59min，辨率1s，最大允许误差±0.1%；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3.3带载能力：100L/min流量时，负载能力＞6kPa</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3.4 A/B路大气采样流量：(0～2)L/min，分辨率0.01L/min最大允许误差±5%；</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3.5 C/D路大气采样流量：(0～500)mL/min，分辨率0.1mL/min，最大允许误差±5%；</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3.5大气采样时间：1min～99h59min分辨率1s，最大允许误差±0.1；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3.6环境大气压：(60～130)kPa，分辨率0.01kPa，最大允许误差±0.5kPa；</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3.7保温箱恒温范围 (15～30)℃，分辨率0.1℃，最大允许误差±2℃</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3.8放电时长：五路同时工作，TSP负载2kPa，放电时长64h(保温箱常温)</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3.9充电时间：内置充电＜12h，外置充电＜4h</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3.10主机功耗：≤120W</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3.11主机重量 ≤5kg (含电池)</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四、配置清单</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1.环境空气颗粒物综合采样器主机1台，铝合金TSP/PM10/PM2.5切割器1套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2.主机箱包1个</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3.AC220交流电源线1跟</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4.玻璃纤维滤膜1盒</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5.干燥筒2个</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6.标定接嘴1个</w:t>
            </w:r>
          </w:p>
        </w:tc>
      </w:tr>
      <w:tr w14:paraId="44325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noWrap/>
            <w:vAlign w:val="center"/>
          </w:tcPr>
          <w:p w14:paraId="6CEE1EED">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12</w:t>
            </w:r>
          </w:p>
        </w:tc>
        <w:tc>
          <w:tcPr>
            <w:tcW w:w="1908" w:type="dxa"/>
            <w:noWrap w:val="0"/>
            <w:vAlign w:val="center"/>
          </w:tcPr>
          <w:p w14:paraId="21D3F0D5">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烟气烟尘（直读）测试仪</w:t>
            </w:r>
          </w:p>
        </w:tc>
        <w:tc>
          <w:tcPr>
            <w:tcW w:w="683" w:type="dxa"/>
            <w:noWrap w:val="0"/>
            <w:vAlign w:val="center"/>
          </w:tcPr>
          <w:p w14:paraId="543587F7">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825" w:type="dxa"/>
            <w:noWrap w:val="0"/>
            <w:vAlign w:val="center"/>
          </w:tcPr>
          <w:p w14:paraId="00292B74">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27E9AFEB">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 产品用途：</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采用β射线吸收原理，实现固定污染源排气中颗粒物浓度现场监测，可直接读取数据并不受颗粒物大小、形状等其他理化性质影响。不仅测量精度高，而且轻巧便携，可灵活拆卸组装，特别适合超低排放工况使用。</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 技术要求：</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2.1采用低活度的14Cβ射线源，安全可靠；</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2.2最低检出限是0.1mg/m3，可满足超低工况监测要求；</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2.3采用滤带式采测异工位结构设计，采样与测量过程分离；</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2.4滤膜前后位双重加热，防止烟气冷凝对测量结果造成影响；</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2.5具备滤带用尽前预警和纸带用尽、断裂报警功能；</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2.6内置阻容法湿度传感器，可直测烟气含湿量；</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2.7流量大，负载高，采样/直读双模式；</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 技术指标：</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3.1浓度范围：(0～50)mg/m3 分辨率：0.01mg/m3 准确度：不超过±20%</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3.2取样管伴热温度：130℃（50-160可设）分辨率：1℃ 准确度：不超过±10℃</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3.3滤膜加热温度：105℃（50-160可设）分辨率： 1℃ 准确度：不超过±5℃</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3.4采样流量：（10～40）L/min分辨率：0.1L/min 准确度：不超过±2.5%</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3.5测孔直径要求：≥φ60mm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3.6滤带规格：宽：≥30mm，长：≥3.5m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 烟尘测试仪技术参数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4.1技术要求：</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4.1.1可完成固定污染源废气中浓度低于20mg/m3的颗粒物测定；</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4.1.2微电脑控制等速跟踪采样，实时监测计温、计压，自动调节流量；</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4.1.3具有烟尘测量、烟气分析、烟气采样同步运行功能；</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4.1.4烟尘采样和烟气分析气路都具有独立排水功能，可自动排出冷凝水；</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4.1.5多合一多功能取样管，简单更换采样头就能满足一体称重滤膜式、滤筒式和油烟采样；</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4.2技术指标</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4.2.1采样流量：(0～120)L/min  分辨率：0.1L/min 准确度：不超过±2.5%FS</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4.2.2烟气动压：(0～2000)Pa 分辨率：1Pa  准确度：不超过±1%FS</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4.2.3烟气静压：(-30～＋30)kPa  分辨率：0.01kPa  准确度：不超过±1%FS</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4.2.4烟气温度：(0～500)℃   分辨率：1℃        准确度：不超过±3℃</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4.3烟气采样技术指标</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4.3.1烟气采样流量：不小于0.5L/min</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4.3.2 传感器参数：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O2：(0～30)%， SO2：(0～5700) mg/m3 ，NO：(0～1300) mg/m3，NO2：(0～200) mg/m3，CO： (0～5000) mg/m3，重复性：≤2.0%，响应时间：≤90s，稳定性:1小时内示数值变化≤5.0%</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 主要配置：主机，1.5米烟尘多功能取样管，β射线烟尘检测器，含湿量、O2、SO2、NO、NO2、CO传感器，校准膜组件、玻璃纤维滤带等。</w:t>
            </w:r>
          </w:p>
        </w:tc>
      </w:tr>
      <w:tr w14:paraId="4149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atLeast"/>
        </w:trPr>
        <w:tc>
          <w:tcPr>
            <w:tcW w:w="675" w:type="dxa"/>
            <w:noWrap/>
            <w:vAlign w:val="center"/>
          </w:tcPr>
          <w:p w14:paraId="3A2105C6">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13</w:t>
            </w:r>
          </w:p>
        </w:tc>
        <w:tc>
          <w:tcPr>
            <w:tcW w:w="1908" w:type="dxa"/>
            <w:noWrap w:val="0"/>
            <w:vAlign w:val="center"/>
          </w:tcPr>
          <w:p w14:paraId="4D900D90">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便携式多气体检测仪</w:t>
            </w:r>
          </w:p>
        </w:tc>
        <w:tc>
          <w:tcPr>
            <w:tcW w:w="683" w:type="dxa"/>
            <w:noWrap w:val="0"/>
            <w:vAlign w:val="center"/>
          </w:tcPr>
          <w:p w14:paraId="70B10FB1">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w:t>
            </w:r>
          </w:p>
        </w:tc>
        <w:tc>
          <w:tcPr>
            <w:tcW w:w="825" w:type="dxa"/>
            <w:noWrap w:val="0"/>
            <w:vAlign w:val="center"/>
          </w:tcPr>
          <w:p w14:paraId="6159DE2E">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5280ED26">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 用途：</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  适用于常规、消防或易燃易爆等场合的应急检测、浓度超限报警等；职业卫生场所有毒有害气体检测；特别适用于染污源不明确的应急事故监测。</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 技术要求：</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2.1仪器分体式设计，可通过智能显示终端对主机进行控制，从而可使人远离危险源进行操作；</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2.2应对不同工况，智能显示终端与主机采用有线或无线双传输模式；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2.3实时测量大气压、环境温度、环境相对湿度参数；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2.4气体模块之间为快接设计，无需手动拆卸螺丝进行连接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2.5配置激光颗粒物传感器，实时检测PM2.5/PM10颗粒物浓度</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2.6可独立设置不同种类有毒有害气体的限值：TWA、STEL、MAC；</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2.7内置大容量锂电池，可连续工作11小时；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2.8仪器自带报警灯提示，在智能显示终端不在身边时，也可提醒气体浓度超标；</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2.9具有umol/mol和mg/m3双单位换算功能；</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2.10可搭载无人机进行气体检测，也可独立进行使用</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2.11专业可视化分析系统，可与环境检测仪器无缝对接，实现秒级响应</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2.12预留气象参数接口，外接气象检测仪读取气象参数;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 技术指标：</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3.1数据存储：大于5000组</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3.2工作电池：内置锂电池（7.4V/3.5Ah）或外接5V/3.5A电源适配器</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3.3外壳防护等级：不低于IP66</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4.传感器技术指标：</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  挥发性有机物：(0～20/2000*) umlo/mol 分辨率：1/0.01 umlo/mol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  氨  气：100 umlo/mol  分辨率：0.01 umlo/mol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硫化氢：(0～50/200* ) umlo/mol 分辨率：0.01/0.1 umlo/mol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甲  醛：(0～2/10*) umlo/mol  分辨率：0.001 /0.01 umlo/mol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PM1.0：(0～1000)ug/m3   分辨率：1ug/m3</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PM2.5：(0～1000)ug/m3   分辨率：1ug/m3</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PM10：(0～1000)ug/m3    分辨率：1ug/m3</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TSP：(0～1000)ug/m3     分辨率：1ug/m3</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 配置：控制模块、检测模块、气体传感器（TSP、PM10、PM2.5、VOC、NH3、HCL、甲醛）、智能显示终端、有限通信数据线、充电器及充电线、仪器防护包等</w:t>
            </w:r>
          </w:p>
        </w:tc>
      </w:tr>
      <w:tr w14:paraId="38E26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75" w:type="dxa"/>
            <w:noWrap/>
            <w:vAlign w:val="center"/>
          </w:tcPr>
          <w:p w14:paraId="44CA95FB">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14</w:t>
            </w:r>
          </w:p>
        </w:tc>
        <w:tc>
          <w:tcPr>
            <w:tcW w:w="1908" w:type="dxa"/>
            <w:noWrap w:val="0"/>
            <w:vAlign w:val="center"/>
          </w:tcPr>
          <w:p w14:paraId="49F77BE8">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废气采样器</w:t>
            </w:r>
          </w:p>
        </w:tc>
        <w:tc>
          <w:tcPr>
            <w:tcW w:w="683" w:type="dxa"/>
            <w:noWrap w:val="0"/>
            <w:vAlign w:val="center"/>
          </w:tcPr>
          <w:p w14:paraId="6686B845">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4</w:t>
            </w:r>
          </w:p>
        </w:tc>
        <w:tc>
          <w:tcPr>
            <w:tcW w:w="825" w:type="dxa"/>
            <w:noWrap w:val="0"/>
            <w:vAlign w:val="center"/>
          </w:tcPr>
          <w:p w14:paraId="31329FCF">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41E740EB">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1、设备用途</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废气盐酸雾/硫酸雾/氟化物采样装置具备流量可控的分流装置，可独立完成采样也可与烟尘采样器配套使用，适用于固定污染源废气中酸性物质采集测定。</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一体化设计：采样管、S型皮托管与铂电阻有机组合，液晶显示，结构紧凑，既可以进行采样也能够测出流速、烟温等参数。一机多用，可满足盐酸雾、硫酸雾、氟化物等多种酸性气体采集。广泛应用于环保、卫生、劳动、安监、军事、科研、教育等部门。</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2、执行标准</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HJ 688-2019  固定污染源废气 氟化氢的测定 离子色谱法</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HJ 544-2016  固定污染源废气 硫酸雾的测定 离子色谱法</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HJ 548-2016  固定污染源废气 氯化氢的测定 硝酸银容量法</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HJ 549-2016  环境空气和废气 氯化氢的测定 离子色谱法</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HJ 1040-2019 固定污源废气 溴化氢的测定 离子色谱法</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HJ/T 67-2001 大气固定污染源 氟化物的测定 离子选择电极法</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3、技术指标</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3.1取样外管采用钛金属材质，重量轻，耐腐蚀。</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3.2气路采用聚四氟乙烯材料，有效降低吸附。</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3.3配有烟气采样泵，可独立完成烟气采样。</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3.4滤筒或滤膜及采样管全程两点加热，可单独设置加热温度，自动恒温加热，能对颗粒态、蒸汽态和气态硫酸雾\盐酸雾进行采集。</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3.5高效保温箱，独特设计吸收瓶支架，可满足不同规格吸收瓶。</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3.6冰浴箱外挂式，既可用于水平烟道采样也可以用于垂直烟道采样。</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3.7多功能组合型采样枪，包含测量烟温及皮托管测流速功能。</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3.8一机多用，可满足硫酸雾\氯化氢\氟化氢\溴化氢等多种酸性气体采样。</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3.9配有单向阀，防止采样时吸收液回流。</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4、仪器指标</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4.1加热温度范围 （80~180）℃ 0.1℃ ±3℃</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4.2采样流量 （0.5 ~1.5）L/min 0.01L/min ±2%</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4.3烟温测量范围 （0~200）℃ 0.1℃ ±3℃</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4.4烟气动压 （0~2000）Pa 1Pa ±2%</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4.5烟气静压 （-30~30）kPa 0.01kPa ±2%</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4.6烟气全压 （-30~30）kPa 0.01kPa ±2%</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4.7流量计前压力 （-40~0）kPa 0.01kPa ±2%</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4.8流量计前温度 （-55~125）℃ 0.1℃ ±3℃</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4.9隔膜泵负载能力 ≥1L/min（阻力为30kPa时）</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4.10采样嘴规格 φ4.5、φ6、φ7、φ8、φ10、φ12</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5、仪器配置要求单</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5.1废气盐酸雾/硫酸雾/氟化物采样装置1只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5.2采样管布套                                 1个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5.3附件箱                             1个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5.4冰浴箱                                   1个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5.5电源线                                   1根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5.6干燥筒                                     1个 </w:t>
            </w:r>
          </w:p>
        </w:tc>
      </w:tr>
      <w:tr w14:paraId="11BD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trPr>
        <w:tc>
          <w:tcPr>
            <w:tcW w:w="675" w:type="dxa"/>
            <w:noWrap/>
            <w:vAlign w:val="center"/>
          </w:tcPr>
          <w:p w14:paraId="2B854755">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15</w:t>
            </w:r>
          </w:p>
        </w:tc>
        <w:tc>
          <w:tcPr>
            <w:tcW w:w="1908" w:type="dxa"/>
            <w:noWrap w:val="0"/>
            <w:vAlign w:val="center"/>
          </w:tcPr>
          <w:p w14:paraId="739ADEBA">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紫外烟气测试仪</w:t>
            </w:r>
          </w:p>
        </w:tc>
        <w:tc>
          <w:tcPr>
            <w:tcW w:w="683" w:type="dxa"/>
            <w:noWrap w:val="0"/>
            <w:vAlign w:val="center"/>
          </w:tcPr>
          <w:p w14:paraId="1A3A3F44">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825" w:type="dxa"/>
            <w:noWrap w:val="0"/>
            <w:vAlign w:val="center"/>
          </w:tcPr>
          <w:p w14:paraId="14B10857">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25ACC759">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用途：以紫外差分吸收光谱技术为基础，采用热湿法原理设计的一体式烟气分析仪，主要用于固定污染源废气中SO2、NO、NO2、NH3、CO（电化学）、CO2（红外）、O2（电化学）等烟气浓度的现场检测与分析，特别适合高湿、低浓度排放的各种锅炉、烟道、工业炉窑等固定污染源中烟气成分的现场分析及氨逃逸监测。</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2、产品性能要求</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2.1可实现固定污染源中含氧量及SO2、NO、NO2、CO、CO2、NH3等多种有害气体检测</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2.2采用紫外差分吸收光谱技术，抗干扰能力强，不受水分和粉尘影响</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2.3热湿法测量，全程伴热，避免液态水对检测气体的吸收损失，保证测量精度</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2.4实时测量显示烟气湿度，同时显示、记录干基浓度和湿基浓度</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2.5搭配皮托管实现动压、静压、烟温、流速等参数测量</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2.6内置锂电池，满足现场采样需求</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2.7采用一体化设计，功能高度集成，无需繁琐的管路连接，真正做到方便用户</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2.8具有独立手操器，无线控制主机、携带、使用更方便</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2.9具有仪器故障检测与报警功能，方便用户维护及使用</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3、技术指标</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3.1烟气温度：（0～500）℃（可扩展）</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3.2烟气流速：（1～45）m/s</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3.3烟气动压：（0～2000）Pa</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3.4烟气静压：（-30～＋30）kPa</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3.5大气压：（50～130）kPa</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3.6烟气浓度：</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SO2：低量程：(0～150)μmol/mol或（0～430）mg/m3</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高量程：(0～1500)μmol/mol或（0～4300）mg/m3</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NO：(0～1000)μmol/mol或（0～1340）mg/m3</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NO2：(0～500)μmol/mol或（0～1030）mg/m3</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O2：(0～30)%</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CO：(0～4000) μmol/mol或（0～5000）mg/m3</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CO2：(0～20)%</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NH3：(0～263) μmol/mol或（0～200）mg/m3</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烟气湿度：（0～40）%</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4、配置：主机、手操器、电源适配器、耐高温延长管、过滤器、皮托管</w:t>
            </w:r>
          </w:p>
        </w:tc>
      </w:tr>
      <w:tr w14:paraId="60A23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675" w:type="dxa"/>
            <w:noWrap/>
            <w:vAlign w:val="center"/>
          </w:tcPr>
          <w:p w14:paraId="769B2272">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16</w:t>
            </w:r>
          </w:p>
        </w:tc>
        <w:tc>
          <w:tcPr>
            <w:tcW w:w="1908" w:type="dxa"/>
            <w:noWrap w:val="0"/>
            <w:vAlign w:val="center"/>
          </w:tcPr>
          <w:p w14:paraId="086FA4A7">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烟尘烟气采样器流量 校准仪</w:t>
            </w:r>
          </w:p>
        </w:tc>
        <w:tc>
          <w:tcPr>
            <w:tcW w:w="683" w:type="dxa"/>
            <w:noWrap w:val="0"/>
            <w:vAlign w:val="center"/>
          </w:tcPr>
          <w:p w14:paraId="6650135D">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825" w:type="dxa"/>
            <w:noWrap w:val="0"/>
            <w:vAlign w:val="center"/>
          </w:tcPr>
          <w:p w14:paraId="21537F70">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3BDAB83F">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1.集成微压、表压、温度、流量校准于一体；</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2.一机多用，可完成微小、小、中、大等多路量程流量测量；</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3.常用PT100烟温标定（包括三个以上的校准点）；</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4.孔板集成于仪器内部，在进行流量校准时，不需要频繁的更换孔板；</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5.触摸屏，操作简便，方便用户使用，操作简单易学；</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6.支持数据保存，支持数据导出；</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7.参数范围10-200ml/min分辨率0.1mL/min准确度不超过±1%；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8..参数范围（0.2~2）L/min分辨率≤0.001L/min准确度不超过±1.5％；</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9.参数范围（20~130.0）L/min分辨率0.1L/min准确度不超过±1.5％；</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10.微压参数范围（0~2500）Pa分辨率1Pa准确度优于不超过±0.5％；</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11.表压参数范围（-30.00~+30.00）kPa分辨率0.01kPa准确度不超过±0.5kpa；</w:t>
            </w:r>
          </w:p>
        </w:tc>
      </w:tr>
      <w:tr w14:paraId="404D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trPr>
        <w:tc>
          <w:tcPr>
            <w:tcW w:w="675" w:type="dxa"/>
            <w:noWrap/>
            <w:vAlign w:val="center"/>
          </w:tcPr>
          <w:p w14:paraId="610BE9BE">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17</w:t>
            </w:r>
          </w:p>
        </w:tc>
        <w:tc>
          <w:tcPr>
            <w:tcW w:w="1908" w:type="dxa"/>
            <w:noWrap w:val="0"/>
            <w:vAlign w:val="center"/>
          </w:tcPr>
          <w:p w14:paraId="51883423">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原子吸收分光光度计</w:t>
            </w:r>
          </w:p>
        </w:tc>
        <w:tc>
          <w:tcPr>
            <w:tcW w:w="683" w:type="dxa"/>
            <w:noWrap w:val="0"/>
            <w:vAlign w:val="center"/>
          </w:tcPr>
          <w:p w14:paraId="604D689F">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825" w:type="dxa"/>
            <w:noWrap w:val="0"/>
            <w:vAlign w:val="center"/>
          </w:tcPr>
          <w:p w14:paraId="477A2BF9">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6ACF89CA">
            <w:pPr>
              <w:widowControl/>
              <w:numPr>
                <w:ilvl w:val="0"/>
                <w:numId w:val="0"/>
              </w:numPr>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color w:val="000000"/>
                <w:kern w:val="0"/>
                <w:sz w:val="24"/>
                <w:szCs w:val="24"/>
                <w:highlight w:val="none"/>
                <w:lang w:bidi="ar"/>
              </w:rPr>
              <w:t>技术参数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1. 工作环境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使用温度范围 10°C～35°C</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使用湿度范围 20%～80%（如果温度超过 30°C，湿度应该小于 70%）</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2. 技术指标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 测光系统</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2.1.1 光学系统 "火焰：光学双光束 石墨炉：电子双光束 自动切换，"</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2.1.2 燃烧器/石墨炉切换 火焰/石墨炉一体机，自动切换</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2.1.3 测定波长范围 185～900 nm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2.1.4 分光系统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2.1.5 谱带宽 0.1，0.2,0.4(三档以上自动切换）</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2.1.6 检测器 光电倍增管</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2.1.7 基线稳定性 ≤0.004Abs/30min</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2.1.8背景校正方式 快速氘灯法或者快速自吸收法或者塞曼扣背景。</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2.1.9 波长准确度 ≤±0.3nm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2.1.10 波长重现性 ≤0.1nm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2.1.11分辨率 0.1nm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2.2 灯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2.2.1 灯座数量6 灯座以上</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2.2.2 点灯方式 Emission或其他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2.3 火焰分析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2.3.1 燃烧头金属材质</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2.3.2 喷雾器 特氟隆喷嘴</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2.3.3 雾化室 耐腐蚀</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2.3.4 燃烧头位置调节前后位置，</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2.3.5气体控制 燃气流量自动设定（0.1L/min步长）</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2.3.6 安全措施 气体泄露、防止回火、压力监测等安全装置。</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2.3.7 重现性 Cu相对标准偏差不大于1%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2.3.8 检出限 Cu不大于0.004μg/mL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2.4 石墨炉分析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2.4.1 加热温度范围 室温～3,000℃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2.4.2 升温速率 最大升温速度≥3,000℃ /秒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2.4.3内气流量  0.1L/min 可调</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2.4.4 安全措施 冷却水流量监视器 、气体压力监视器、防止电流过载装置等安全措施</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2.4.5 灵敏度值 检出限： Pb 不大于1.0pg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2.5 自动进样器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2.5.1 火焰和石墨炉通用自动进样器主机即可用于火焰分析也可用于石墨炉分析</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2.5.2 样品位数≥60位</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2.5.3 采样功能 稀释功能  试剂添加功能等</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2.5.4 可设定样品、试剂的进样顺序</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2.5.5 自动稀释再测定 根据工作曲线对未知样品的结果进行判断。</w:t>
            </w:r>
            <w:r>
              <w:rPr>
                <w:rFonts w:hint="eastAsia" w:ascii="宋体" w:hAnsi="宋体" w:cs="宋体"/>
                <w:color w:val="000000"/>
                <w:kern w:val="0"/>
                <w:sz w:val="24"/>
                <w:szCs w:val="24"/>
                <w:highlight w:val="none"/>
                <w:lang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2.6 数据处理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2.6.1 软件环境 兼容各种主流操作系统</w:t>
            </w:r>
          </w:p>
          <w:p w14:paraId="1F325964">
            <w:pPr>
              <w:widowControl/>
              <w:numPr>
                <w:ilvl w:val="0"/>
                <w:numId w:val="0"/>
              </w:numPr>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2.6.</w:t>
            </w:r>
            <w:r>
              <w:rPr>
                <w:rFonts w:hint="eastAsia" w:ascii="宋体" w:hAnsi="宋体" w:cs="宋体"/>
                <w:color w:val="000000"/>
                <w:kern w:val="0"/>
                <w:sz w:val="24"/>
                <w:szCs w:val="24"/>
                <w:highlight w:val="none"/>
                <w:lang w:val="en-US" w:eastAsia="zh-CN" w:bidi="ar"/>
              </w:rPr>
              <w:t>2</w:t>
            </w:r>
            <w:r>
              <w:rPr>
                <w:rFonts w:hint="eastAsia" w:ascii="宋体" w:hAnsi="宋体" w:cs="宋体"/>
                <w:color w:val="000000"/>
                <w:kern w:val="0"/>
                <w:sz w:val="24"/>
                <w:szCs w:val="24"/>
                <w:highlight w:val="none"/>
                <w:lang w:bidi="ar"/>
              </w:rPr>
              <w:t xml:space="preserve"> 参数设定 通过软件设置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2.6.</w:t>
            </w:r>
            <w:r>
              <w:rPr>
                <w:rFonts w:hint="eastAsia" w:ascii="宋体" w:hAnsi="宋体" w:cs="宋体"/>
                <w:color w:val="000000"/>
                <w:kern w:val="0"/>
                <w:sz w:val="24"/>
                <w:szCs w:val="24"/>
                <w:highlight w:val="none"/>
                <w:lang w:val="en-US" w:eastAsia="zh-CN" w:bidi="ar"/>
              </w:rPr>
              <w:t>3</w:t>
            </w:r>
            <w:r>
              <w:rPr>
                <w:rFonts w:hint="eastAsia" w:ascii="宋体" w:hAnsi="宋体" w:cs="宋体"/>
                <w:color w:val="000000"/>
                <w:kern w:val="0"/>
                <w:sz w:val="24"/>
                <w:szCs w:val="24"/>
                <w:highlight w:val="none"/>
                <w:lang w:bidi="ar"/>
              </w:rPr>
              <w:t xml:space="preserve"> 测定方式 火焰吸收法，石墨炉法</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2.6.</w:t>
            </w:r>
            <w:r>
              <w:rPr>
                <w:rFonts w:hint="eastAsia" w:ascii="宋体" w:hAnsi="宋体" w:cs="宋体"/>
                <w:color w:val="000000"/>
                <w:kern w:val="0"/>
                <w:sz w:val="24"/>
                <w:szCs w:val="24"/>
                <w:highlight w:val="none"/>
                <w:lang w:val="en-US" w:eastAsia="zh-CN" w:bidi="ar"/>
              </w:rPr>
              <w:t>4</w:t>
            </w:r>
            <w:r>
              <w:rPr>
                <w:rFonts w:hint="eastAsia" w:ascii="宋体" w:hAnsi="宋体" w:cs="宋体"/>
                <w:color w:val="000000"/>
                <w:kern w:val="0"/>
                <w:sz w:val="24"/>
                <w:szCs w:val="24"/>
                <w:highlight w:val="none"/>
                <w:lang w:bidi="ar"/>
              </w:rPr>
              <w:t>多任务功能 测试进行中能够使用文字编辑等软件</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2.6.</w:t>
            </w:r>
            <w:r>
              <w:rPr>
                <w:rFonts w:hint="eastAsia" w:ascii="宋体" w:hAnsi="宋体" w:cs="宋体"/>
                <w:color w:val="000000"/>
                <w:kern w:val="0"/>
                <w:sz w:val="24"/>
                <w:szCs w:val="24"/>
                <w:highlight w:val="none"/>
                <w:lang w:val="en-US" w:eastAsia="zh-CN" w:bidi="ar"/>
              </w:rPr>
              <w:t>5</w:t>
            </w:r>
            <w:r>
              <w:rPr>
                <w:rFonts w:hint="eastAsia" w:ascii="宋体" w:hAnsi="宋体" w:cs="宋体"/>
                <w:color w:val="000000"/>
                <w:kern w:val="0"/>
                <w:sz w:val="24"/>
                <w:szCs w:val="24"/>
                <w:highlight w:val="none"/>
                <w:lang w:bidi="ar"/>
              </w:rPr>
              <w:t>顺序/结果显示 MRT 工作表(MRT: Measured Results Table)</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2.6.</w:t>
            </w:r>
            <w:r>
              <w:rPr>
                <w:rFonts w:hint="eastAsia" w:ascii="宋体" w:hAnsi="宋体" w:cs="宋体"/>
                <w:color w:val="000000"/>
                <w:kern w:val="0"/>
                <w:sz w:val="24"/>
                <w:szCs w:val="24"/>
                <w:highlight w:val="none"/>
                <w:lang w:val="en-US" w:eastAsia="zh-CN" w:bidi="ar"/>
              </w:rPr>
              <w:t>6</w:t>
            </w:r>
            <w:r>
              <w:rPr>
                <w:rFonts w:hint="eastAsia" w:ascii="宋体" w:hAnsi="宋体" w:cs="宋体"/>
                <w:color w:val="000000"/>
                <w:kern w:val="0"/>
                <w:sz w:val="24"/>
                <w:szCs w:val="24"/>
                <w:highlight w:val="none"/>
                <w:lang w:bidi="ar"/>
              </w:rPr>
              <w:t>结果打印 汇总报告(Summary  report)</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2.6.</w:t>
            </w:r>
            <w:r>
              <w:rPr>
                <w:rFonts w:hint="eastAsia" w:ascii="宋体" w:hAnsi="宋体" w:cs="宋体"/>
                <w:color w:val="000000"/>
                <w:kern w:val="0"/>
                <w:sz w:val="24"/>
                <w:szCs w:val="24"/>
                <w:highlight w:val="none"/>
                <w:lang w:val="en-US" w:eastAsia="zh-CN" w:bidi="ar"/>
              </w:rPr>
              <w:t>7</w:t>
            </w:r>
            <w:r>
              <w:rPr>
                <w:rFonts w:hint="eastAsia" w:ascii="宋体" w:hAnsi="宋体" w:cs="宋体"/>
                <w:color w:val="000000"/>
                <w:kern w:val="0"/>
                <w:sz w:val="24"/>
                <w:szCs w:val="24"/>
                <w:highlight w:val="none"/>
                <w:lang w:bidi="ar"/>
              </w:rPr>
              <w:t xml:space="preserve"> QA/AC 相关系数、LCS、SPK、样品上限、%RSD</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2.6.</w:t>
            </w:r>
            <w:r>
              <w:rPr>
                <w:rFonts w:hint="eastAsia" w:ascii="宋体" w:hAnsi="宋体" w:cs="宋体"/>
                <w:color w:val="000000"/>
                <w:kern w:val="0"/>
                <w:sz w:val="24"/>
                <w:szCs w:val="24"/>
                <w:highlight w:val="none"/>
                <w:lang w:val="en-US" w:eastAsia="zh-CN" w:bidi="ar"/>
              </w:rPr>
              <w:t>8</w:t>
            </w:r>
            <w:r>
              <w:rPr>
                <w:rFonts w:hint="eastAsia" w:ascii="宋体" w:hAnsi="宋体" w:cs="宋体"/>
                <w:color w:val="000000"/>
                <w:kern w:val="0"/>
                <w:sz w:val="24"/>
                <w:szCs w:val="24"/>
                <w:highlight w:val="none"/>
                <w:lang w:bidi="ar"/>
              </w:rPr>
              <w:t xml:space="preserve"> 电子记录 注册ID /密码管理，按使用者级别的使用权限管理、日志记录、数据检查跟踪、电子签名。</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二、配置清单</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 火焰、石墨炉一体原子吸收分光光度计</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1.2 空气/乙炔燃烧头；</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1.3 石墨炉原子化器</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1.4 自动进样器 1台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1.5 石墨管 1盒（5根）</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1.6 元素灯：镉、铅、铜、锌、铁、镍、铬、锰各1支</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1.7 电脑一台（23.8英寸显示器，内存不小于16GB，不小于512G固态硬盘）、打印机 1台 （ 可扫描复印、正反打印，支持A4幅面），配套硒鼓4个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1.8 乙炔气、氩气（气+钢瓶+减压阀）各1套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1.9 循环水系统  1套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1.10 空压机  1台  </w:t>
            </w:r>
          </w:p>
        </w:tc>
      </w:tr>
      <w:tr w14:paraId="47E8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75" w:type="dxa"/>
            <w:noWrap/>
            <w:vAlign w:val="center"/>
          </w:tcPr>
          <w:p w14:paraId="294C9F71">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18</w:t>
            </w:r>
          </w:p>
        </w:tc>
        <w:tc>
          <w:tcPr>
            <w:tcW w:w="1908" w:type="dxa"/>
            <w:noWrap w:val="0"/>
            <w:vAlign w:val="center"/>
          </w:tcPr>
          <w:p w14:paraId="79FC6C08">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全自动紫外测油仪</w:t>
            </w:r>
          </w:p>
        </w:tc>
        <w:tc>
          <w:tcPr>
            <w:tcW w:w="683" w:type="dxa"/>
            <w:noWrap/>
            <w:vAlign w:val="center"/>
          </w:tcPr>
          <w:p w14:paraId="28A54320">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825" w:type="dxa"/>
            <w:noWrap w:val="0"/>
            <w:vAlign w:val="center"/>
          </w:tcPr>
          <w:p w14:paraId="51AFB7D3">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1C403BD1">
            <w:pPr>
              <w:widowControl/>
              <w:numPr>
                <w:ilvl w:val="0"/>
                <w:numId w:val="3"/>
              </w:numPr>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基本要求</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1.1符合国标：HJ 970-2018水质石油类测定紫外分光光度法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1.2应用范围：可用于地表水、地下水和海水中石油类的测定</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1.3系统集成前处理单元、检测单元、数据分析单元，各单元均为分体式</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1.4水样体积读取、试剂定量、萃取、分离、吸附到进样、测试分析、清洗、排废，全流程自动化</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1.5样品位数不少于12位，测试过程中可无限循环添加样品</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1.6波长扫描范围：190-1100nm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1.7测试波长： 225nm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1.8波长准确度：±0.5nm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1.9分辨率：0.0002mg/L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1.10测量范围：0-50mg/L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1.11仪器检出限：DL&lt;0.005mg/L（正己烷空白液测定11次的3倍SD）；</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1.12最低检出浓度：0.01mg/L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1.13准确度误差：≤±2%</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1.14重复性：RSD≤0.6%</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1.15线性相关系数：r&gt; 0.999</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1.16分析时间：连续测样时间单个样品不超过15分钟</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1.17专用分析软件系统：软件集样品信息录入、扫描采集、计算分析于一体多功能软件</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2、仪器配置要求</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2.1前处理单元   1套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2.2检测主机     1台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2.3数据工作站   1套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2.4专用采样箱   1套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2.5水样采样器   1套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2.6采样杯       10个</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2.7四氟膜       50片</w:t>
            </w:r>
          </w:p>
          <w:p w14:paraId="732D5ED1">
            <w:pPr>
              <w:widowControl/>
              <w:jc w:val="left"/>
              <w:textAlignment w:val="top"/>
              <w:rPr>
                <w:rFonts w:ascii="宋体" w:hAnsi="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2.8</w:t>
            </w:r>
            <w:r>
              <w:rPr>
                <w:rFonts w:hint="eastAsia" w:ascii="宋体" w:hAnsi="宋体" w:eastAsia="宋体" w:cs="宋体"/>
                <w:color w:val="000000"/>
                <w:kern w:val="0"/>
                <w:sz w:val="24"/>
                <w:szCs w:val="24"/>
                <w:highlight w:val="none"/>
                <w:lang w:eastAsia="zh-CN" w:bidi="ar"/>
              </w:rPr>
              <w:t>电脑一台（</w:t>
            </w:r>
            <w:r>
              <w:rPr>
                <w:rFonts w:hint="eastAsia" w:ascii="宋体" w:hAnsi="宋体" w:eastAsia="宋体" w:cs="宋体"/>
                <w:color w:val="000000"/>
                <w:kern w:val="0"/>
                <w:sz w:val="24"/>
                <w:szCs w:val="24"/>
                <w:highlight w:val="none"/>
                <w:lang w:val="en-US" w:eastAsia="zh-CN" w:bidi="ar"/>
              </w:rPr>
              <w:t>23.8英寸显示器，内存不小于16GB，不小于512G固态硬盘</w:t>
            </w:r>
            <w:r>
              <w:rPr>
                <w:rFonts w:hint="eastAsia" w:ascii="宋体" w:hAnsi="宋体" w:eastAsia="宋体" w:cs="宋体"/>
                <w:color w:val="000000"/>
                <w:kern w:val="0"/>
                <w:sz w:val="24"/>
                <w:szCs w:val="24"/>
                <w:highlight w:val="none"/>
                <w:lang w:eastAsia="zh-CN" w:bidi="ar"/>
              </w:rPr>
              <w:t>）、打印机 1台 （ 可扫描复印、正反打印，支持</w:t>
            </w:r>
            <w:r>
              <w:rPr>
                <w:rFonts w:hint="eastAsia" w:ascii="宋体" w:hAnsi="宋体" w:eastAsia="宋体" w:cs="宋体"/>
                <w:color w:val="000000"/>
                <w:kern w:val="0"/>
                <w:sz w:val="24"/>
                <w:szCs w:val="24"/>
                <w:highlight w:val="none"/>
                <w:lang w:val="en-US" w:eastAsia="zh-CN" w:bidi="ar"/>
              </w:rPr>
              <w:t>A4幅面</w:t>
            </w:r>
            <w:r>
              <w:rPr>
                <w:rFonts w:hint="eastAsia" w:ascii="宋体" w:hAnsi="宋体" w:eastAsia="宋体" w:cs="宋体"/>
                <w:color w:val="000000"/>
                <w:kern w:val="0"/>
                <w:sz w:val="24"/>
                <w:szCs w:val="24"/>
                <w:highlight w:val="none"/>
                <w:lang w:eastAsia="zh-CN" w:bidi="ar"/>
              </w:rPr>
              <w:t>），配套硒鼓</w:t>
            </w:r>
            <w:r>
              <w:rPr>
                <w:rFonts w:hint="eastAsia" w:ascii="宋体" w:hAnsi="宋体" w:eastAsia="宋体" w:cs="宋体"/>
                <w:color w:val="000000"/>
                <w:kern w:val="0"/>
                <w:sz w:val="24"/>
                <w:szCs w:val="24"/>
                <w:highlight w:val="none"/>
                <w:lang w:val="en-US" w:eastAsia="zh-CN" w:bidi="ar"/>
              </w:rPr>
              <w:t>4个</w:t>
            </w:r>
          </w:p>
        </w:tc>
      </w:tr>
      <w:tr w14:paraId="6151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75" w:type="dxa"/>
            <w:noWrap/>
            <w:vAlign w:val="center"/>
          </w:tcPr>
          <w:p w14:paraId="4B2FD7C7">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19</w:t>
            </w:r>
          </w:p>
        </w:tc>
        <w:tc>
          <w:tcPr>
            <w:tcW w:w="1908" w:type="dxa"/>
            <w:noWrap w:val="0"/>
            <w:vAlign w:val="center"/>
          </w:tcPr>
          <w:p w14:paraId="1592AB49">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全自动红外测油仪</w:t>
            </w:r>
          </w:p>
        </w:tc>
        <w:tc>
          <w:tcPr>
            <w:tcW w:w="683" w:type="dxa"/>
            <w:noWrap w:val="0"/>
            <w:vAlign w:val="center"/>
          </w:tcPr>
          <w:p w14:paraId="114090C6">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825" w:type="dxa"/>
            <w:noWrap w:val="0"/>
            <w:vAlign w:val="center"/>
          </w:tcPr>
          <w:p w14:paraId="6E7732BE">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4E1A2A0E">
            <w:pPr>
              <w:widowControl/>
              <w:numPr>
                <w:ilvl w:val="0"/>
                <w:numId w:val="4"/>
              </w:numPr>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符合国标：“HJ637-2018”《水质 石油类和动植物油的测定 红外分光光度法》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2、样品位数不少于12位，测试过程中可无限循环添加样品</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3、自动监测预警：仪器发生故障时自动报警并停止运转</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 校正方法：系数校正、标准曲线校正</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5、波数范围：3400cm-1～2400cm-1（即波长范围2941nm～4167nm）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6、吸光度范围：（0.0000～2.0000）AU，即透光率为（100～1）%T</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7、 测量范围：(0-50000)mg/L超量程自动稀释</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8、线性相关系数：r&gt; 0.9995</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9、分析时间：连续测样时为15分</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10.试剂兼容：四氯乙烯</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 测量项目：连续测量油类、石油类、动植物油类</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12. 仪器采用进口高精度注射泵，保证加液精度</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13. 水样种类：污水、废水</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14. 萃取：搅拌萃取</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15. 分辨率：0.001mg/L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16. 检出限：0.05mg/L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17. 重现性：RSD&lt;2%</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18. 准确度：±5%</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19、数据处理： 不小于8G内存，不少于480G SSD硬盘容量、液晶显示屏</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20、仪器配置要求</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20.1、前处理单元   1套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20.2、检测主机     1台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20.3、数据工作站   1套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20.4、专用采样箱   1套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20.5、水样采样器   1套</w:t>
            </w:r>
          </w:p>
          <w:p w14:paraId="7CF9E5D4">
            <w:pPr>
              <w:widowControl/>
              <w:jc w:val="left"/>
              <w:textAlignment w:val="top"/>
              <w:rPr>
                <w:rFonts w:hint="default" w:ascii="宋体" w:hAnsi="宋体" w:eastAsia="Microsoft YaHei UI"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bidi="ar"/>
              </w:rPr>
              <w:t>20.6、</w:t>
            </w:r>
            <w:r>
              <w:rPr>
                <w:rFonts w:hint="eastAsia" w:ascii="宋体" w:hAnsi="宋体" w:eastAsia="宋体" w:cs="宋体"/>
                <w:color w:val="000000"/>
                <w:kern w:val="0"/>
                <w:sz w:val="24"/>
                <w:szCs w:val="24"/>
                <w:highlight w:val="none"/>
                <w:lang w:eastAsia="zh-CN" w:bidi="ar"/>
              </w:rPr>
              <w:t>电脑一台（</w:t>
            </w:r>
            <w:r>
              <w:rPr>
                <w:rFonts w:hint="eastAsia" w:ascii="宋体" w:hAnsi="宋体" w:eastAsia="宋体" w:cs="宋体"/>
                <w:color w:val="000000"/>
                <w:kern w:val="0"/>
                <w:sz w:val="24"/>
                <w:szCs w:val="24"/>
                <w:highlight w:val="none"/>
                <w:lang w:val="en-US" w:eastAsia="zh-CN" w:bidi="ar"/>
              </w:rPr>
              <w:t>23.8英寸显示器，内存不小于16GB，不小于512G固态硬盘</w:t>
            </w:r>
            <w:r>
              <w:rPr>
                <w:rFonts w:hint="eastAsia" w:ascii="宋体" w:hAnsi="宋体" w:eastAsia="宋体" w:cs="宋体"/>
                <w:color w:val="000000"/>
                <w:kern w:val="0"/>
                <w:sz w:val="24"/>
                <w:szCs w:val="24"/>
                <w:highlight w:val="none"/>
                <w:lang w:eastAsia="zh-CN" w:bidi="ar"/>
              </w:rPr>
              <w:t>）、打印机 1台 （ 可扫描复印、正反打印，支持</w:t>
            </w:r>
            <w:r>
              <w:rPr>
                <w:rFonts w:hint="eastAsia" w:ascii="宋体" w:hAnsi="宋体" w:eastAsia="宋体" w:cs="宋体"/>
                <w:color w:val="000000"/>
                <w:kern w:val="0"/>
                <w:sz w:val="24"/>
                <w:szCs w:val="24"/>
                <w:highlight w:val="none"/>
                <w:lang w:val="en-US" w:eastAsia="zh-CN" w:bidi="ar"/>
              </w:rPr>
              <w:t>A4幅面</w:t>
            </w:r>
            <w:r>
              <w:rPr>
                <w:rFonts w:hint="eastAsia" w:ascii="宋体" w:hAnsi="宋体" w:eastAsia="宋体" w:cs="宋体"/>
                <w:color w:val="000000"/>
                <w:kern w:val="0"/>
                <w:sz w:val="24"/>
                <w:szCs w:val="24"/>
                <w:highlight w:val="none"/>
                <w:lang w:eastAsia="zh-CN" w:bidi="ar"/>
              </w:rPr>
              <w:t>），配套硒鼓</w:t>
            </w:r>
            <w:r>
              <w:rPr>
                <w:rFonts w:hint="eastAsia" w:ascii="宋体" w:hAnsi="宋体" w:eastAsia="宋体" w:cs="宋体"/>
                <w:color w:val="000000"/>
                <w:kern w:val="0"/>
                <w:sz w:val="24"/>
                <w:szCs w:val="24"/>
                <w:highlight w:val="none"/>
                <w:lang w:val="en-US" w:eastAsia="zh-CN" w:bidi="ar"/>
              </w:rPr>
              <w:t>4个</w:t>
            </w:r>
          </w:p>
        </w:tc>
      </w:tr>
      <w:tr w14:paraId="5D37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0" w:hRule="atLeast"/>
        </w:trPr>
        <w:tc>
          <w:tcPr>
            <w:tcW w:w="675" w:type="dxa"/>
            <w:noWrap/>
            <w:vAlign w:val="center"/>
          </w:tcPr>
          <w:p w14:paraId="5BC88FB8">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20</w:t>
            </w:r>
          </w:p>
        </w:tc>
        <w:tc>
          <w:tcPr>
            <w:tcW w:w="1908" w:type="dxa"/>
            <w:noWrap w:val="0"/>
            <w:vAlign w:val="center"/>
          </w:tcPr>
          <w:p w14:paraId="49A0383B">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原子荧光分光光度计</w:t>
            </w:r>
          </w:p>
        </w:tc>
        <w:tc>
          <w:tcPr>
            <w:tcW w:w="683" w:type="dxa"/>
            <w:noWrap w:val="0"/>
            <w:vAlign w:val="center"/>
          </w:tcPr>
          <w:p w14:paraId="06CAA437">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825" w:type="dxa"/>
            <w:noWrap w:val="0"/>
            <w:vAlign w:val="center"/>
          </w:tcPr>
          <w:p w14:paraId="7A357AA4">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5ACB5642">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1、适用于As、Hg、Se、Pb、Ge、Sn、Te、Bi、Sb、Cd、Zn等十一种元素的痕量测定。</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2、光源系统：采用特制编码免调元素空心阴极灯，自动识别元素灯； 元素灯免调。</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3、光学系统：光源自动对准，所有空心阴极灯即插即用，无需手动调节元素灯。</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4、原子化器：高效新型屏蔽式石英原子化器，双层炉芯，一层通过载气，一层通过屏蔽气。</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5、灯位：双通道灯位设计（可实现双通道同时测定）。</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6、进样器：超静音——高效、静音、大样品盘自动进样系统，单盘样品位设有200位，满足不同用户需求，可自动清洗，自动补载流。</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7、自动液位跟踪功能的大样品位自动进样器，保证进样针一直维持在样品液面下1-2cm,使用特制金属进样针.</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8、检测系统：采用高信噪比光电检测系统。</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9、进样系统：采用全自动双进样系统（具有注射泵进样系统+蠕动泵进样系统），利用软件选择进样系统，自动切换。注射泵可精确控制溶液进量（包括样品、还原剂溶液体积）,最小进液体积0.01mL，实现对氢化物反应酸碱度要求严格元素的测量（Pb、Cd、Sn等）；同时，也适用于珍贵样品的检测。蠕动泵进样系统具有测样速度快的特点（单个样品测量时间小于s），缩短检测时间，提高工作效率。适用于浑浊及基体复杂样品的检测。</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10、汞扣除光源漂移技术：具有光源扣除漂移装置，自动扣除汞灯漂移，确保仪器稳定。（连续做八小时，汞漂移控制10%），汞灯自动激发技术。</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11、气液分离器：具有双重气液分离装置，能够充分的进行气液分离，将氢化物中的水蒸汽含量降到最低，减少了水蒸气带来的光散射，极大的降低了基线噪声，提高了有效检测灵敏度。蠕动泵排废方式，克服了自排式气液分离器反应液面高度不稳的缺点，提高了仪器的可靠性和长期稳定性。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12、气路设计：气体流量可靠稳定，并能实时显示气体流量和流量异常提示及无载气安全保护；关机可自动切断气路，避免了进气的不稳定性，步精密控制载气及屏蔽气，真正实现可靠稳定的实时可显示可控制的功能。</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13、全自动标准加入系统：针对基体复杂干扰严重样品，在线自动完成待测样品，标准溶液加入，自动混合，自动测量，减少实验人员的工作量，大大提高了工作效率。</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14、精密度（RSD）：双道同测 RSD≤0.6%。</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15、检出限（DL）：As、Sb、Bi、Se、Pb、Te、Sn&lt;0.01μg/ml; Hg、Cd&lt;0.001μg/ml; Zn&lt;1.0μg/ml; Au&lt;3.0μg/ml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16、仪器配置</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全自动双通道原子荧光光度计    1套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数据处理系统                  1套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空心阴极灯（砷、汞、硒、锑、铋）各1支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光源漂移扣除装置              1套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不少于200位自动进样器         1台</w:t>
            </w:r>
            <w:r>
              <w:rPr>
                <w:rFonts w:hint="eastAsia" w:ascii="宋体" w:hAnsi="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电脑一台</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val="en-US" w:eastAsia="zh-CN" w:bidi="ar"/>
              </w:rPr>
              <w:t>23.8英寸显示器，内存不小于16GB，不小于512G固态硬盘</w:t>
            </w:r>
            <w:r>
              <w:rPr>
                <w:rFonts w:hint="eastAsia" w:ascii="宋体" w:hAnsi="宋体" w:eastAsia="宋体" w:cs="宋体"/>
                <w:color w:val="000000"/>
                <w:kern w:val="0"/>
                <w:sz w:val="24"/>
                <w:szCs w:val="24"/>
                <w:highlight w:val="none"/>
                <w:lang w:eastAsia="zh-CN" w:bidi="ar"/>
              </w:rPr>
              <w:t>）、打印机 1台 （ 可扫描复印、正反打印，支持</w:t>
            </w:r>
            <w:r>
              <w:rPr>
                <w:rFonts w:hint="eastAsia" w:ascii="宋体" w:hAnsi="宋体" w:eastAsia="宋体" w:cs="宋体"/>
                <w:color w:val="000000"/>
                <w:kern w:val="0"/>
                <w:sz w:val="24"/>
                <w:szCs w:val="24"/>
                <w:highlight w:val="none"/>
                <w:lang w:val="en-US" w:eastAsia="zh-CN" w:bidi="ar"/>
              </w:rPr>
              <w:t>A4幅面</w:t>
            </w:r>
            <w:r>
              <w:rPr>
                <w:rFonts w:hint="eastAsia" w:ascii="宋体" w:hAnsi="宋体" w:eastAsia="宋体" w:cs="宋体"/>
                <w:color w:val="000000"/>
                <w:kern w:val="0"/>
                <w:sz w:val="24"/>
                <w:szCs w:val="24"/>
                <w:highlight w:val="none"/>
                <w:lang w:eastAsia="zh-CN" w:bidi="ar"/>
              </w:rPr>
              <w:t>），配套硒鼓</w:t>
            </w:r>
            <w:r>
              <w:rPr>
                <w:rFonts w:hint="eastAsia" w:ascii="宋体" w:hAnsi="宋体" w:eastAsia="宋体" w:cs="宋体"/>
                <w:color w:val="000000"/>
                <w:kern w:val="0"/>
                <w:sz w:val="24"/>
                <w:szCs w:val="24"/>
                <w:highlight w:val="none"/>
                <w:lang w:val="en-US" w:eastAsia="zh-CN" w:bidi="ar"/>
              </w:rPr>
              <w:t>4个</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专用工具包及备品备件          1套</w:t>
            </w:r>
          </w:p>
        </w:tc>
      </w:tr>
      <w:tr w14:paraId="5B3C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0" w:hRule="atLeast"/>
        </w:trPr>
        <w:tc>
          <w:tcPr>
            <w:tcW w:w="675" w:type="dxa"/>
            <w:noWrap/>
            <w:vAlign w:val="center"/>
          </w:tcPr>
          <w:p w14:paraId="550829B4">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21</w:t>
            </w:r>
          </w:p>
        </w:tc>
        <w:tc>
          <w:tcPr>
            <w:tcW w:w="1908" w:type="dxa"/>
            <w:noWrap w:val="0"/>
            <w:vAlign w:val="center"/>
          </w:tcPr>
          <w:p w14:paraId="2F426BB1">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紫外可见分光光度计（带全自动进样器）</w:t>
            </w:r>
          </w:p>
        </w:tc>
        <w:tc>
          <w:tcPr>
            <w:tcW w:w="683" w:type="dxa"/>
            <w:noWrap w:val="0"/>
            <w:vAlign w:val="center"/>
          </w:tcPr>
          <w:p w14:paraId="2F6311E9">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825" w:type="dxa"/>
            <w:noWrap w:val="0"/>
            <w:vAlign w:val="center"/>
          </w:tcPr>
          <w:p w14:paraId="041C8A25">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59393849">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1.技术参数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1.波长范围：190 -1,100 nm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2.光谱带宽：1 nm (190 to 1,100 nm)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3.波长显示：0.1 nm步进</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4.波长设置：0.1 nm步进</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5.波长准确度：± 0.3 nm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6.波长重复性：± 0.1 nm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7.波长转动速度：20,000 nm/min</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8.波长扫描速度：20,000 -2 nm/min</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9.杂散光：&lt;0.05% (220 nm，NaI)</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11.光路系统：双光束</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12.光度范围：吸光度： -4-4 Abs</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13.光度准确性：± 0.002 Abs （0.5 Abs）± 0.004 Abs （1.0 Abs）</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14.光度重复性：&lt;± 0.005 Abs at 0.5 Abs</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15.基线稳定性：&lt;0.0005 Abs/Hr (700 nm，光源稳定1小时后)</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16.基线平坦度：&lt;± 0.0006 Abs (1,100 - 190 nm, 光源稳定1小时后)</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17.噪声水平: &lt;0.0005 Abs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18.光源: 钨灯和氘灯,自动灯位转换</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20.检测器：硅光二极管</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21.软件：标配原厂软件</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22.比色皿长度满足10-30mm；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2.产品配置: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仪器部分：紫外可见分光光度计主机1台+操作软件1套+自动六联池架1套+方形石英比色皿7个</w:t>
            </w:r>
            <w:r>
              <w:rPr>
                <w:rFonts w:hint="eastAsia" w:ascii="宋体" w:hAnsi="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辅助系统：电脑一台</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val="en-US" w:eastAsia="zh-CN" w:bidi="ar"/>
              </w:rPr>
              <w:t>23.8英寸显示器，内存不小于16GB，不小于512G固态硬盘</w:t>
            </w:r>
            <w:r>
              <w:rPr>
                <w:rFonts w:hint="eastAsia" w:ascii="宋体" w:hAnsi="宋体" w:eastAsia="宋体" w:cs="宋体"/>
                <w:color w:val="000000"/>
                <w:kern w:val="0"/>
                <w:sz w:val="24"/>
                <w:szCs w:val="24"/>
                <w:highlight w:val="none"/>
                <w:lang w:eastAsia="zh-CN" w:bidi="ar"/>
              </w:rPr>
              <w:t>）、打印机 1台 （ 可扫描复印、正反打印，支持</w:t>
            </w:r>
            <w:r>
              <w:rPr>
                <w:rFonts w:hint="eastAsia" w:ascii="宋体" w:hAnsi="宋体" w:eastAsia="宋体" w:cs="宋体"/>
                <w:color w:val="000000"/>
                <w:kern w:val="0"/>
                <w:sz w:val="24"/>
                <w:szCs w:val="24"/>
                <w:highlight w:val="none"/>
                <w:lang w:val="en-US" w:eastAsia="zh-CN" w:bidi="ar"/>
              </w:rPr>
              <w:t>A4幅面</w:t>
            </w:r>
            <w:r>
              <w:rPr>
                <w:rFonts w:hint="eastAsia" w:ascii="宋体" w:hAnsi="宋体" w:eastAsia="宋体" w:cs="宋体"/>
                <w:color w:val="000000"/>
                <w:kern w:val="0"/>
                <w:sz w:val="24"/>
                <w:szCs w:val="24"/>
                <w:highlight w:val="none"/>
                <w:lang w:eastAsia="zh-CN" w:bidi="ar"/>
              </w:rPr>
              <w:t>），配套硒鼓</w:t>
            </w:r>
            <w:r>
              <w:rPr>
                <w:rFonts w:hint="eastAsia" w:ascii="宋体" w:hAnsi="宋体" w:eastAsia="宋体" w:cs="宋体"/>
                <w:color w:val="000000"/>
                <w:kern w:val="0"/>
                <w:sz w:val="24"/>
                <w:szCs w:val="24"/>
                <w:highlight w:val="none"/>
                <w:lang w:val="en-US" w:eastAsia="zh-CN" w:bidi="ar"/>
              </w:rPr>
              <w:t>4个</w:t>
            </w:r>
          </w:p>
        </w:tc>
      </w:tr>
      <w:tr w14:paraId="3AD9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trPr>
        <w:tc>
          <w:tcPr>
            <w:tcW w:w="675" w:type="dxa"/>
            <w:noWrap/>
            <w:vAlign w:val="center"/>
          </w:tcPr>
          <w:p w14:paraId="5F8571B2">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22</w:t>
            </w:r>
          </w:p>
        </w:tc>
        <w:tc>
          <w:tcPr>
            <w:tcW w:w="1908" w:type="dxa"/>
            <w:noWrap w:val="0"/>
            <w:vAlign w:val="center"/>
          </w:tcPr>
          <w:p w14:paraId="684E6E3C">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BOD 培养箱</w:t>
            </w:r>
          </w:p>
        </w:tc>
        <w:tc>
          <w:tcPr>
            <w:tcW w:w="683" w:type="dxa"/>
            <w:noWrap w:val="0"/>
            <w:vAlign w:val="center"/>
          </w:tcPr>
          <w:p w14:paraId="434FAF1F">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w:t>
            </w:r>
          </w:p>
        </w:tc>
        <w:tc>
          <w:tcPr>
            <w:tcW w:w="825" w:type="dxa"/>
            <w:noWrap w:val="0"/>
            <w:vAlign w:val="center"/>
          </w:tcPr>
          <w:p w14:paraId="10B5F9E0">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0C3EE7E8">
            <w:pPr>
              <w:widowControl/>
              <w:jc w:val="left"/>
              <w:textAlignment w:val="top"/>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1.容积：不小于100L；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2.控温范围℃：0-65；</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3.分辨率℃：0.1；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4.波动度℃：±1℃；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5.均匀度℃：±2；</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6.输入功率W：不小于300；</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7.定时范围：0-999h；</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8.载物托架（最多）：3；</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9.每层搁板承重Kg：不小于15；</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10.配冷藏箱一台：</w:t>
            </w:r>
            <w:r>
              <w:rPr>
                <w:rFonts w:hint="eastAsia" w:ascii="宋体" w:hAnsi="宋体" w:cs="宋体"/>
                <w:color w:val="000000"/>
                <w:kern w:val="0"/>
                <w:sz w:val="24"/>
                <w:szCs w:val="24"/>
                <w:highlight w:val="none"/>
                <w:lang w:val="en-US" w:eastAsia="zh-CN" w:bidi="ar"/>
              </w:rPr>
              <w:t>不小于500mm</w:t>
            </w:r>
            <w:r>
              <w:rPr>
                <w:rFonts w:hint="eastAsia" w:ascii="宋体" w:hAnsi="宋体" w:cs="宋体"/>
                <w:color w:val="000000"/>
                <w:kern w:val="0"/>
                <w:sz w:val="24"/>
                <w:szCs w:val="24"/>
                <w:highlight w:val="none"/>
                <w:lang w:bidi="ar"/>
              </w:rPr>
              <w:t>×</w:t>
            </w:r>
            <w:r>
              <w:rPr>
                <w:rFonts w:hint="eastAsia" w:ascii="宋体" w:hAnsi="宋体" w:cs="宋体"/>
                <w:color w:val="000000"/>
                <w:kern w:val="0"/>
                <w:sz w:val="24"/>
                <w:szCs w:val="24"/>
                <w:highlight w:val="none"/>
                <w:lang w:val="en-US" w:eastAsia="zh-CN" w:bidi="ar"/>
              </w:rPr>
              <w:t>400mm</w:t>
            </w:r>
            <w:r>
              <w:rPr>
                <w:rFonts w:hint="eastAsia" w:ascii="宋体" w:hAnsi="宋体" w:cs="宋体"/>
                <w:color w:val="000000"/>
                <w:kern w:val="0"/>
                <w:sz w:val="24"/>
                <w:szCs w:val="24"/>
                <w:highlight w:val="none"/>
                <w:lang w:bidi="ar"/>
              </w:rPr>
              <w:t>×</w:t>
            </w:r>
            <w:r>
              <w:rPr>
                <w:rFonts w:hint="eastAsia" w:ascii="宋体" w:hAnsi="宋体" w:cs="宋体"/>
                <w:color w:val="000000"/>
                <w:kern w:val="0"/>
                <w:sz w:val="24"/>
                <w:szCs w:val="24"/>
                <w:highlight w:val="none"/>
                <w:lang w:val="en-US" w:eastAsia="zh-CN" w:bidi="ar"/>
              </w:rPr>
              <w:t>350mm</w:t>
            </w:r>
          </w:p>
        </w:tc>
      </w:tr>
      <w:tr w14:paraId="625B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675" w:type="dxa"/>
            <w:noWrap/>
            <w:vAlign w:val="center"/>
          </w:tcPr>
          <w:p w14:paraId="6BE38C31">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23</w:t>
            </w:r>
          </w:p>
        </w:tc>
        <w:tc>
          <w:tcPr>
            <w:tcW w:w="1908" w:type="dxa"/>
            <w:noWrap w:val="0"/>
            <w:vAlign w:val="center"/>
          </w:tcPr>
          <w:p w14:paraId="332284A3">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溶解氧测定仪</w:t>
            </w:r>
          </w:p>
        </w:tc>
        <w:tc>
          <w:tcPr>
            <w:tcW w:w="683" w:type="dxa"/>
            <w:noWrap w:val="0"/>
            <w:vAlign w:val="center"/>
          </w:tcPr>
          <w:p w14:paraId="5E9F2876">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825" w:type="dxa"/>
            <w:noWrap w:val="0"/>
            <w:vAlign w:val="center"/>
          </w:tcPr>
          <w:p w14:paraId="3E99B3A6">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5BE43789">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1、PH测量范围：-2.00 至 +16.00 pH，mV范围：-1999 至 +1999 mV。</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2、精确度方面，PH值的准确度为±0.01，mV值在+15℃至+35℃的温度范围内为±0.3 mV，温度范围为-5.0℃至+105.0℃。温度补偿可通过TFK325/Pt1000温度探头或手动方式实现。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3、仪器配备LCD显示，可同时显示温度、pH值及电极性能状态等字符信息。电极性能会根据校正结果在屏幕上进行判断。</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4、校正功能多样，自动校正。校正报警设置在1至999天之间可调，自动读数确保再现性优于0.02 pH。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5、对于溶解氧浓度，测量范围为0.00 至 19.99 mg/l，饱和度范围为0.0 至 199.9%。温度测量范围为-5.0 至 +50.0℃，准确度为±0.5%测试值，饱和度也相应准确。</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6.大气压力补偿范围：60～112.5kPa/450～850mmHg，手动</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7.温度校准：测量值±10°C/°F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8、仪器采用膜电极法</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9.数据传输：配备USB接口，可用于传输数据</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10.电源类型：AA 型电池 3 节或 DC5V 电源适配器</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11.标准配置：说明书，保修卡，合格证，专用电极，AA电池，专用户外手提箱。</w:t>
            </w:r>
          </w:p>
        </w:tc>
      </w:tr>
      <w:tr w14:paraId="1B56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atLeast"/>
        </w:trPr>
        <w:tc>
          <w:tcPr>
            <w:tcW w:w="675" w:type="dxa"/>
            <w:noWrap/>
            <w:vAlign w:val="center"/>
          </w:tcPr>
          <w:p w14:paraId="7BA195A6">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24</w:t>
            </w:r>
          </w:p>
        </w:tc>
        <w:tc>
          <w:tcPr>
            <w:tcW w:w="1908" w:type="dxa"/>
            <w:noWrap w:val="0"/>
            <w:vAlign w:val="center"/>
          </w:tcPr>
          <w:p w14:paraId="1543555D">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BOD 测试仪</w:t>
            </w:r>
          </w:p>
        </w:tc>
        <w:tc>
          <w:tcPr>
            <w:tcW w:w="683" w:type="dxa"/>
            <w:noWrap w:val="0"/>
            <w:vAlign w:val="center"/>
          </w:tcPr>
          <w:p w14:paraId="6CA1466D">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825" w:type="dxa"/>
            <w:noWrap w:val="0"/>
            <w:vAlign w:val="center"/>
          </w:tcPr>
          <w:p w14:paraId="3DEC2430">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0F3EFB98">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1.符合水质五日生化需氧量HJ505-2009 精度测试标准；</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2.只需要简单的按键即可完成设置，按照量程设置的体积数将水样装瓶，即可完成测试；</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3.测试量程：0-2000mg/L；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4.分 辨 率：不超过0.1mg/L；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5.准 确 度：±8%；</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6.样品数量：1-6个；</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7.测试周期：1~15天；</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8.采样点数：60个；</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9.浓度数据：直读；</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10.测试原理：无汞差感测法；</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11.培养温度：20±1℃；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12.电源：AC220V；</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13.额定功率：不超过20W；</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14.搅拌速度：50~100转/min</w:t>
            </w:r>
          </w:p>
        </w:tc>
      </w:tr>
      <w:tr w14:paraId="33B2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0" w:hRule="atLeast"/>
        </w:trPr>
        <w:tc>
          <w:tcPr>
            <w:tcW w:w="675" w:type="dxa"/>
            <w:noWrap/>
            <w:vAlign w:val="center"/>
          </w:tcPr>
          <w:p w14:paraId="78E8863B">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25</w:t>
            </w:r>
          </w:p>
        </w:tc>
        <w:tc>
          <w:tcPr>
            <w:tcW w:w="1908" w:type="dxa"/>
            <w:noWrap w:val="0"/>
            <w:vAlign w:val="center"/>
          </w:tcPr>
          <w:p w14:paraId="7D55C6C1">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全自动蒸馏装置、高压消解锅等配套辅助设备</w:t>
            </w:r>
          </w:p>
        </w:tc>
        <w:tc>
          <w:tcPr>
            <w:tcW w:w="683" w:type="dxa"/>
            <w:noWrap w:val="0"/>
            <w:vAlign w:val="center"/>
          </w:tcPr>
          <w:p w14:paraId="787363A5">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w:t>
            </w:r>
          </w:p>
        </w:tc>
        <w:tc>
          <w:tcPr>
            <w:tcW w:w="825" w:type="dxa"/>
            <w:noWrap w:val="0"/>
            <w:vAlign w:val="center"/>
          </w:tcPr>
          <w:p w14:paraId="39632A32">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1E68997B">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1.全自动蒸馏装置</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1.1加热方式：0~100%功率可程序线性设定。</w:t>
            </w:r>
            <w:r>
              <w:rPr>
                <w:rStyle w:val="29"/>
                <w:rFonts w:hint="default"/>
                <w:sz w:val="24"/>
                <w:szCs w:val="24"/>
                <w:highlight w:val="none"/>
                <w:lang w:bidi="ar"/>
              </w:rPr>
              <w:t xml:space="preserve"> </w:t>
            </w:r>
            <w:r>
              <w:rPr>
                <w:rStyle w:val="29"/>
                <w:rFonts w:hint="default"/>
                <w:sz w:val="24"/>
                <w:szCs w:val="24"/>
                <w:highlight w:val="none"/>
                <w:lang w:bidi="ar"/>
              </w:rPr>
              <w:br w:type="textWrapping"/>
            </w:r>
            <w:r>
              <w:rPr>
                <w:rStyle w:val="29"/>
                <w:rFonts w:hint="default"/>
                <w:sz w:val="24"/>
                <w:szCs w:val="24"/>
                <w:highlight w:val="none"/>
                <w:lang w:bidi="ar"/>
              </w:rPr>
              <w:t>1.2加热功率：单孔加热功率≤400W（可调），整机额定加热功率≤3600W</w:t>
            </w:r>
            <w:r>
              <w:rPr>
                <w:rStyle w:val="29"/>
                <w:rFonts w:hint="default"/>
                <w:sz w:val="24"/>
                <w:szCs w:val="24"/>
                <w:highlight w:val="none"/>
                <w:lang w:bidi="ar"/>
              </w:rPr>
              <w:br w:type="textWrapping"/>
            </w:r>
            <w:r>
              <w:rPr>
                <w:rStyle w:val="29"/>
                <w:rFonts w:hint="default"/>
                <w:sz w:val="24"/>
                <w:szCs w:val="24"/>
                <w:highlight w:val="none"/>
                <w:lang w:bidi="ar"/>
              </w:rPr>
              <w:t>1.3蒸馏终点控制：称重+时间双重控制</w:t>
            </w:r>
            <w:r>
              <w:rPr>
                <w:rStyle w:val="29"/>
                <w:rFonts w:hint="default"/>
                <w:sz w:val="24"/>
                <w:szCs w:val="24"/>
                <w:highlight w:val="none"/>
                <w:lang w:bidi="ar"/>
              </w:rPr>
              <w:br w:type="textWrapping"/>
            </w:r>
            <w:r>
              <w:rPr>
                <w:rStyle w:val="29"/>
                <w:rFonts w:hint="default"/>
                <w:sz w:val="24"/>
                <w:szCs w:val="24"/>
                <w:highlight w:val="none"/>
                <w:lang w:bidi="ar"/>
              </w:rPr>
              <w:t>1.4蒸馏终点设定范围：1-500ml或同等换算单位：1-500g</w:t>
            </w:r>
            <w:r>
              <w:rPr>
                <w:rStyle w:val="29"/>
                <w:rFonts w:hint="default"/>
                <w:sz w:val="24"/>
                <w:szCs w:val="24"/>
                <w:highlight w:val="none"/>
                <w:lang w:bidi="ar"/>
              </w:rPr>
              <w:br w:type="textWrapping"/>
            </w:r>
            <w:r>
              <w:rPr>
                <w:rStyle w:val="29"/>
                <w:rFonts w:hint="default"/>
                <w:sz w:val="24"/>
                <w:szCs w:val="24"/>
                <w:highlight w:val="none"/>
                <w:lang w:bidi="ar"/>
              </w:rPr>
              <w:t>1.5倒计时工作时间设定：1-255min</w:t>
            </w:r>
            <w:r>
              <w:rPr>
                <w:rStyle w:val="29"/>
                <w:rFonts w:hint="default"/>
                <w:sz w:val="24"/>
                <w:szCs w:val="24"/>
                <w:highlight w:val="none"/>
                <w:lang w:bidi="ar"/>
              </w:rPr>
              <w:br w:type="textWrapping"/>
            </w:r>
            <w:r>
              <w:rPr>
                <w:rStyle w:val="29"/>
                <w:rFonts w:hint="default"/>
                <w:sz w:val="24"/>
                <w:szCs w:val="24"/>
                <w:highlight w:val="none"/>
                <w:lang w:bidi="ar"/>
              </w:rPr>
              <w:t>1.6接收瓶规格：锥形瓶、容量瓶、烧杯等</w:t>
            </w:r>
            <w:r>
              <w:rPr>
                <w:rStyle w:val="29"/>
                <w:rFonts w:hint="default"/>
                <w:sz w:val="24"/>
                <w:szCs w:val="24"/>
                <w:highlight w:val="none"/>
                <w:lang w:bidi="ar"/>
              </w:rPr>
              <w:br w:type="textWrapping"/>
            </w:r>
            <w:r>
              <w:rPr>
                <w:rStyle w:val="29"/>
                <w:rFonts w:hint="default"/>
                <w:sz w:val="24"/>
                <w:szCs w:val="24"/>
                <w:highlight w:val="none"/>
                <w:lang w:bidi="ar"/>
              </w:rPr>
              <w:t>2. 设备部件要求</w:t>
            </w:r>
            <w:r>
              <w:rPr>
                <w:rStyle w:val="29"/>
                <w:rFonts w:hint="default"/>
                <w:sz w:val="24"/>
                <w:szCs w:val="24"/>
                <w:highlight w:val="none"/>
                <w:lang w:bidi="ar"/>
              </w:rPr>
              <w:br w:type="textWrapping"/>
            </w:r>
            <w:r>
              <w:rPr>
                <w:rStyle w:val="29"/>
                <w:rFonts w:hint="default"/>
                <w:sz w:val="24"/>
                <w:szCs w:val="24"/>
                <w:highlight w:val="none"/>
                <w:lang w:bidi="ar"/>
              </w:rPr>
              <w:t>2.1智能一体化蒸馏仪应包括以下单元：加热控制单元、冷却水自循环单元、称重控制单元、防倒吸保护单元、蒸汽冷凝单元、防止干烧单元、自动清洗单元、自动反吹单元、蒸馏液截止单元等。</w:t>
            </w:r>
            <w:r>
              <w:rPr>
                <w:rStyle w:val="29"/>
                <w:rFonts w:hint="default"/>
                <w:sz w:val="24"/>
                <w:szCs w:val="24"/>
                <w:highlight w:val="none"/>
                <w:lang w:bidi="ar"/>
              </w:rPr>
              <w:br w:type="textWrapping"/>
            </w:r>
            <w:r>
              <w:rPr>
                <w:rStyle w:val="29"/>
                <w:rFonts w:hint="default"/>
                <w:sz w:val="24"/>
                <w:szCs w:val="24"/>
                <w:highlight w:val="none"/>
                <w:lang w:bidi="ar"/>
              </w:rPr>
              <w:t>2.2采用真空蛇形冷凝瓶，气流流通顺畅，不回流，蒸馏速度快；冷凝效果好，而加热位独立控制，蒸馏效率高，是普通蒸馏仪的2倍以上，该设备可同时蒸馏8个样品，以蒸馏200mL计，约35分钟，而其他普通蒸馏设备需要一个半小时左右。</w:t>
            </w:r>
            <w:r>
              <w:rPr>
                <w:rStyle w:val="29"/>
                <w:rFonts w:hint="default"/>
                <w:sz w:val="24"/>
                <w:szCs w:val="24"/>
                <w:highlight w:val="none"/>
                <w:lang w:bidi="ar"/>
              </w:rPr>
              <w:br w:type="textWrapping"/>
            </w:r>
            <w:r>
              <w:rPr>
                <w:rStyle w:val="29"/>
                <w:rFonts w:hint="default"/>
                <w:sz w:val="24"/>
                <w:szCs w:val="24"/>
                <w:highlight w:val="none"/>
                <w:lang w:bidi="ar"/>
              </w:rPr>
              <w:t>2.3主机设计有防过量蒸馏保护系统，在每个馏出液出口设计有防过量蒸馏保护装置，蒸馏结束后系统能自动锁定馏出液出口。</w:t>
            </w:r>
            <w:r>
              <w:rPr>
                <w:rStyle w:val="29"/>
                <w:rFonts w:hint="default"/>
                <w:sz w:val="24"/>
                <w:szCs w:val="24"/>
                <w:highlight w:val="none"/>
                <w:lang w:bidi="ar"/>
              </w:rPr>
              <w:br w:type="textWrapping"/>
            </w:r>
            <w:r>
              <w:rPr>
                <w:rStyle w:val="29"/>
                <w:rFonts w:hint="default"/>
                <w:sz w:val="24"/>
                <w:szCs w:val="24"/>
                <w:highlight w:val="none"/>
                <w:lang w:bidi="ar"/>
              </w:rPr>
              <w:t>2.4设计有自动排空功能，蒸馏结束后管路内的残液可通过自动排空功能放出多余冷循环液。</w:t>
            </w:r>
            <w:r>
              <w:rPr>
                <w:rStyle w:val="29"/>
                <w:rFonts w:hint="default"/>
                <w:sz w:val="24"/>
                <w:szCs w:val="24"/>
                <w:highlight w:val="none"/>
                <w:lang w:bidi="ar"/>
              </w:rPr>
              <w:br w:type="textWrapping"/>
            </w:r>
            <w:r>
              <w:rPr>
                <w:rStyle w:val="29"/>
                <w:rFonts w:hint="default"/>
                <w:sz w:val="24"/>
                <w:szCs w:val="24"/>
                <w:highlight w:val="none"/>
                <w:lang w:bidi="ar"/>
              </w:rPr>
              <w:t>2.5清洗系统：主机设有冷凝管通道自动清洗系统，蒸馏结束后选择需要清洗的流路，按清洗键可自动吸入纯水，自馏出液接收端至烧瓶加热端实现反向冲洗，各通道自动依次清洗，无需插拔玻璃塞；</w:t>
            </w:r>
            <w:r>
              <w:rPr>
                <w:rStyle w:val="29"/>
                <w:rFonts w:hint="default"/>
                <w:sz w:val="24"/>
                <w:szCs w:val="24"/>
                <w:highlight w:val="none"/>
                <w:lang w:bidi="ar"/>
              </w:rPr>
              <w:br w:type="textWrapping"/>
            </w:r>
            <w:r>
              <w:rPr>
                <w:rStyle w:val="29"/>
                <w:rFonts w:hint="default"/>
                <w:sz w:val="24"/>
                <w:szCs w:val="24"/>
                <w:highlight w:val="none"/>
                <w:lang w:bidi="ar"/>
              </w:rPr>
              <w:t>2.6 采用外置冷却水自循环单元，技术成熟，热源和制冷模块距离远，制冷效果好，且后期维护方便；严禁使用内置冷却水自循环单元，维护不方便。</w:t>
            </w:r>
            <w:r>
              <w:rPr>
                <w:rStyle w:val="29"/>
                <w:rFonts w:hint="default"/>
                <w:sz w:val="24"/>
                <w:szCs w:val="24"/>
                <w:highlight w:val="none"/>
                <w:lang w:bidi="ar"/>
              </w:rPr>
              <w:br w:type="textWrapping"/>
            </w:r>
            <w:r>
              <w:rPr>
                <w:rStyle w:val="29"/>
                <w:rFonts w:hint="default"/>
                <w:sz w:val="24"/>
                <w:szCs w:val="24"/>
                <w:highlight w:val="none"/>
                <w:lang w:bidi="ar"/>
              </w:rPr>
              <w:t>2.7配备气密性检测功能，操作界面可自由选择需要检测的通道，检测结束会在界面显示检测通过和不通过的通道。</w:t>
            </w:r>
            <w:r>
              <w:rPr>
                <w:rStyle w:val="29"/>
                <w:rFonts w:hint="default"/>
                <w:sz w:val="24"/>
                <w:szCs w:val="24"/>
                <w:highlight w:val="none"/>
                <w:lang w:bidi="ar"/>
              </w:rPr>
              <w:br w:type="textWrapping"/>
            </w:r>
            <w:r>
              <w:rPr>
                <w:rStyle w:val="29"/>
                <w:rFonts w:hint="default"/>
                <w:sz w:val="24"/>
                <w:szCs w:val="24"/>
                <w:highlight w:val="none"/>
                <w:lang w:bidi="ar"/>
              </w:rPr>
              <w:t>2.高压消解锅</w:t>
            </w:r>
            <w:r>
              <w:rPr>
                <w:rStyle w:val="29"/>
                <w:rFonts w:hint="default"/>
                <w:sz w:val="24"/>
                <w:szCs w:val="24"/>
                <w:highlight w:val="none"/>
                <w:lang w:bidi="ar"/>
              </w:rPr>
              <w:br w:type="textWrapping"/>
            </w:r>
            <w:r>
              <w:rPr>
                <w:rStyle w:val="29"/>
                <w:rFonts w:hint="default"/>
                <w:sz w:val="24"/>
                <w:szCs w:val="24"/>
                <w:highlight w:val="none"/>
                <w:lang w:bidi="ar"/>
              </w:rPr>
              <w:t xml:space="preserve">1.1全自控型：灭菌温度可选设定范围50℃-126℃ </w:t>
            </w:r>
            <w:r>
              <w:rPr>
                <w:rStyle w:val="29"/>
                <w:rFonts w:hint="default"/>
                <w:sz w:val="24"/>
                <w:szCs w:val="24"/>
                <w:highlight w:val="none"/>
                <w:lang w:bidi="ar"/>
              </w:rPr>
              <w:br w:type="textWrapping"/>
            </w:r>
            <w:r>
              <w:rPr>
                <w:rStyle w:val="29"/>
                <w:rFonts w:hint="default"/>
                <w:sz w:val="24"/>
                <w:szCs w:val="24"/>
                <w:highlight w:val="none"/>
                <w:lang w:bidi="ar"/>
              </w:rPr>
              <w:t>1.2消解锅容积≥24L，功率2000w。</w:t>
            </w:r>
            <w:r>
              <w:rPr>
                <w:rStyle w:val="29"/>
                <w:rFonts w:hint="default"/>
                <w:sz w:val="24"/>
                <w:szCs w:val="24"/>
                <w:highlight w:val="none"/>
                <w:lang w:bidi="ar"/>
              </w:rPr>
              <w:br w:type="textWrapping"/>
            </w:r>
            <w:r>
              <w:rPr>
                <w:rStyle w:val="29"/>
                <w:rFonts w:hint="default"/>
                <w:sz w:val="24"/>
                <w:szCs w:val="24"/>
                <w:highlight w:val="none"/>
                <w:lang w:bidi="ar"/>
              </w:rPr>
              <w:t>1.3具备超压自泄安全阀，安全可靠。</w:t>
            </w:r>
            <w:r>
              <w:rPr>
                <w:rStyle w:val="29"/>
                <w:rFonts w:hint="default"/>
                <w:sz w:val="24"/>
                <w:szCs w:val="24"/>
                <w:highlight w:val="none"/>
                <w:lang w:bidi="ar"/>
              </w:rPr>
              <w:br w:type="textWrapping"/>
            </w:r>
            <w:r>
              <w:rPr>
                <w:rStyle w:val="29"/>
                <w:rFonts w:hint="default"/>
                <w:sz w:val="24"/>
                <w:szCs w:val="24"/>
                <w:highlight w:val="none"/>
                <w:lang w:bidi="ar"/>
              </w:rPr>
              <w:t>1.4采用4层加厚不锈钢，确保处于高压工作下稳定使用。</w:t>
            </w:r>
            <w:r>
              <w:rPr>
                <w:rStyle w:val="29"/>
                <w:rFonts w:hint="default"/>
                <w:sz w:val="24"/>
                <w:szCs w:val="24"/>
                <w:highlight w:val="none"/>
                <w:lang w:bidi="ar"/>
              </w:rPr>
              <w:br w:type="textWrapping"/>
            </w:r>
            <w:r>
              <w:rPr>
                <w:rStyle w:val="29"/>
                <w:rFonts w:hint="default"/>
                <w:sz w:val="24"/>
                <w:szCs w:val="24"/>
                <w:highlight w:val="none"/>
                <w:lang w:bidi="ar"/>
              </w:rPr>
              <w:t>1.5设计20min内快速升温，可从室温快速升温至126℃。</w:t>
            </w:r>
            <w:r>
              <w:rPr>
                <w:rStyle w:val="29"/>
                <w:rFonts w:hint="default"/>
                <w:sz w:val="24"/>
                <w:szCs w:val="24"/>
                <w:highlight w:val="none"/>
                <w:lang w:bidi="ar"/>
              </w:rPr>
              <w:br w:type="textWrapping"/>
            </w:r>
            <w:r>
              <w:rPr>
                <w:rStyle w:val="29"/>
                <w:rFonts w:hint="default"/>
                <w:sz w:val="24"/>
                <w:szCs w:val="24"/>
                <w:highlight w:val="none"/>
                <w:lang w:bidi="ar"/>
              </w:rPr>
              <w:t>1.6设备设有智能温控、智能调温、智能定时功能，操作使用更省心。</w:t>
            </w:r>
            <w:r>
              <w:rPr>
                <w:rStyle w:val="29"/>
                <w:rFonts w:hint="default"/>
                <w:sz w:val="24"/>
                <w:szCs w:val="24"/>
                <w:highlight w:val="none"/>
                <w:lang w:bidi="ar"/>
              </w:rPr>
              <w:br w:type="textWrapping"/>
            </w:r>
            <w:r>
              <w:rPr>
                <w:rStyle w:val="29"/>
                <w:rFonts w:hint="default"/>
                <w:sz w:val="24"/>
                <w:szCs w:val="24"/>
                <w:highlight w:val="none"/>
                <w:lang w:bidi="ar"/>
              </w:rPr>
              <w:t>1.7加盖方式采用快开式，自动化程度高，双安全阀门。</w:t>
            </w:r>
            <w:r>
              <w:rPr>
                <w:rStyle w:val="29"/>
                <w:rFonts w:hint="default"/>
                <w:sz w:val="24"/>
                <w:szCs w:val="24"/>
                <w:highlight w:val="none"/>
                <w:lang w:bidi="ar"/>
              </w:rPr>
              <w:br w:type="textWrapping"/>
            </w:r>
            <w:r>
              <w:rPr>
                <w:rStyle w:val="29"/>
                <w:rFonts w:hint="default"/>
                <w:sz w:val="24"/>
                <w:szCs w:val="24"/>
                <w:highlight w:val="none"/>
                <w:lang w:bidi="ar"/>
              </w:rPr>
              <w:t>3.智能恒温水浴锅</w:t>
            </w:r>
            <w:r>
              <w:rPr>
                <w:rStyle w:val="29"/>
                <w:rFonts w:hint="default"/>
                <w:sz w:val="24"/>
                <w:szCs w:val="24"/>
                <w:highlight w:val="none"/>
                <w:lang w:bidi="ar"/>
              </w:rPr>
              <w:br w:type="textWrapping"/>
            </w:r>
            <w:r>
              <w:rPr>
                <w:rStyle w:val="29"/>
                <w:rFonts w:hint="default"/>
                <w:sz w:val="24"/>
                <w:szCs w:val="24"/>
                <w:highlight w:val="none"/>
                <w:lang w:bidi="ar"/>
              </w:rPr>
              <w:t>1.1内壁材质：采用304不锈钢内胆，坚实耐用。</w:t>
            </w:r>
            <w:r>
              <w:rPr>
                <w:rStyle w:val="29"/>
                <w:rFonts w:hint="default"/>
                <w:sz w:val="24"/>
                <w:szCs w:val="24"/>
                <w:highlight w:val="none"/>
                <w:lang w:bidi="ar"/>
              </w:rPr>
              <w:br w:type="textWrapping"/>
            </w:r>
            <w:r>
              <w:rPr>
                <w:rStyle w:val="29"/>
                <w:rFonts w:hint="default"/>
                <w:sz w:val="24"/>
                <w:szCs w:val="24"/>
                <w:highlight w:val="none"/>
                <w:lang w:bidi="ar"/>
              </w:rPr>
              <w:t>1.2智能恒温：±0.8℃精准控温。</w:t>
            </w:r>
            <w:r>
              <w:rPr>
                <w:rStyle w:val="29"/>
                <w:rFonts w:hint="default"/>
                <w:sz w:val="24"/>
                <w:szCs w:val="24"/>
                <w:highlight w:val="none"/>
                <w:lang w:bidi="ar"/>
              </w:rPr>
              <w:br w:type="textWrapping"/>
            </w:r>
            <w:r>
              <w:rPr>
                <w:rStyle w:val="29"/>
                <w:rFonts w:hint="default"/>
                <w:sz w:val="24"/>
                <w:szCs w:val="24"/>
                <w:highlight w:val="none"/>
                <w:lang w:bidi="ar"/>
              </w:rPr>
              <w:t>1.3定时功能：0-9999min，自定化设计。</w:t>
            </w:r>
            <w:r>
              <w:rPr>
                <w:rStyle w:val="29"/>
                <w:rFonts w:hint="default"/>
                <w:sz w:val="24"/>
                <w:szCs w:val="24"/>
                <w:highlight w:val="none"/>
                <w:lang w:bidi="ar"/>
              </w:rPr>
              <w:br w:type="textWrapping"/>
            </w:r>
            <w:r>
              <w:rPr>
                <w:rStyle w:val="29"/>
                <w:rFonts w:hint="default"/>
                <w:sz w:val="24"/>
                <w:szCs w:val="24"/>
                <w:highlight w:val="none"/>
                <w:lang w:bidi="ar"/>
              </w:rPr>
              <w:t>1.4加热位数：6位</w:t>
            </w:r>
            <w:r>
              <w:rPr>
                <w:rStyle w:val="29"/>
                <w:rFonts w:hint="default"/>
                <w:sz w:val="24"/>
                <w:szCs w:val="24"/>
                <w:highlight w:val="none"/>
                <w:lang w:bidi="ar"/>
              </w:rPr>
              <w:br w:type="textWrapping"/>
            </w:r>
            <w:r>
              <w:rPr>
                <w:rStyle w:val="29"/>
                <w:rFonts w:hint="default"/>
                <w:sz w:val="24"/>
                <w:szCs w:val="24"/>
                <w:highlight w:val="none"/>
                <w:lang w:bidi="ar"/>
              </w:rPr>
              <w:t>1.5温控范围：室温-100℃</w:t>
            </w:r>
            <w:r>
              <w:rPr>
                <w:rStyle w:val="29"/>
                <w:rFonts w:hint="default"/>
                <w:sz w:val="24"/>
                <w:szCs w:val="24"/>
                <w:highlight w:val="none"/>
                <w:lang w:bidi="ar"/>
              </w:rPr>
              <w:br w:type="textWrapping"/>
            </w:r>
            <w:r>
              <w:rPr>
                <w:rStyle w:val="29"/>
                <w:rFonts w:hint="default"/>
                <w:sz w:val="24"/>
                <w:szCs w:val="24"/>
                <w:highlight w:val="none"/>
                <w:lang w:bidi="ar"/>
              </w:rPr>
              <w:t>1.6设备采用按键控制，高效防误触，使用寿命长。</w:t>
            </w:r>
          </w:p>
        </w:tc>
      </w:tr>
      <w:tr w14:paraId="3F30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75" w:type="dxa"/>
            <w:noWrap/>
            <w:vAlign w:val="center"/>
          </w:tcPr>
          <w:p w14:paraId="641C4AA1">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26</w:t>
            </w:r>
          </w:p>
        </w:tc>
        <w:tc>
          <w:tcPr>
            <w:tcW w:w="1908" w:type="dxa"/>
            <w:noWrap w:val="0"/>
            <w:vAlign w:val="center"/>
          </w:tcPr>
          <w:p w14:paraId="55A22130">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气相分子吸收光谱仪</w:t>
            </w:r>
          </w:p>
        </w:tc>
        <w:tc>
          <w:tcPr>
            <w:tcW w:w="683" w:type="dxa"/>
            <w:noWrap w:val="0"/>
            <w:vAlign w:val="center"/>
          </w:tcPr>
          <w:p w14:paraId="0BBF99C7">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825" w:type="dxa"/>
            <w:noWrap w:val="0"/>
            <w:vAlign w:val="center"/>
          </w:tcPr>
          <w:p w14:paraId="0A4D156D">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3839F9A8">
            <w:pPr>
              <w:widowControl/>
              <w:numPr>
                <w:ilvl w:val="0"/>
                <w:numId w:val="5"/>
              </w:numPr>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基本要求</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适用于环境水体中氨氮、硫化物、硝酸盐氮、亚酸硝盐氮和总氮等项</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目的测定，符合 HJ 195-2023、HJ 199-2023 和 HJ 200-2023 等标准要</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求。</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2、技术参数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 样品位数：≥50 位。</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2.2 光源：氘灯。</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2.3 载气类型：空气、氮气或其它惰性气体。</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2.4 泵类型：蠕动泵或注射泵。</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2.5 自动稀释：最大稀释倍数≥40 倍。</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2.6 操作软件：具有自检功能，在项目测定前能够自动检测波长（波长</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重复性≤0.1 nm）、泵转速等有关参数。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2.7 加热系统：配备自动在线加热模块，超过设定温度自动停止。</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2.8 配备除水系统，在使用过程中完全不使用任何干燥剂。</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2.9 配备样品均质系统，自动吹入气体将样品搅拌均匀。</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2.10 配备电子压力报警系统，当流量、气源异常时停机、报警并在操</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作软件提示。</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2.11 具备测量试剂管路、气路清洗功能。</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2.12 氨氮项目：</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2.12.1 精密度（连续测定 6 次）：0.1 mg/L，RSD≤5%；0.2 mg/L，RSD</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37</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≤3%；0.5 mg/L，RSD≤2%。</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2.12.2 仪器线性：根据设定自动配置标准曲线，相关性系数 r≥0.9995。</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2.12.3 检出限：≤0.02 mg/L。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2.13 硫化物项目：</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2.13.1 精密度（连续测定 6 次）：0.1 mg/L，RSD≤5%；0.2 mg/L，RSD</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≤3%；0.5 mg/L，RSD≤2%。</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2.13.2 仪器线性：根据设定自动配置标准曲线，相关性系数 r≥0.9995。</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2.13.3 检出限：≤0.005 mg/L。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2.14 硝酸盐氮项目：</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2.14.1 精密度（连续测定 6 次）：0.2 mg/L，RSD≤5%；0.5 mg/L，RSD</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≤3%；1.0 mg/L，RSD≤2%。</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2.14.2 仪器线性：根据设定自动配置标准曲线，相关性系数 r≥0.9995。</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2.14.3 检出限：≤0.006 mg/L。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2.15 亚硝酸盐氮项目：</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2.15.1 精密度（连续测定 6 次）：0.1 mg/L，RSD≤5%；0.2 mg/L，RSD</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≤3%；0.5 mg/L，RSD≤2%。</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2.15.2 仪器线性：根据设定自动配置标准曲线，相关性系数 r≥0.9995。</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2.15.3 检出限：≤0.003 mg/L。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2.16 总氮项目：配备总氮紫外在线消解模块，消解过程自动；单个样</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品测量含消解时间小于 5 min。</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2.16.1 精密度（连续测定 6 次）：0.2mg/L，RSD≤5％；0.5mg/L，RSD</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≤3％；1.0mg/L，RSD≤2％；</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2.16.2 仪器线性：根据设定自动配置标准曲线，相关性系数 r≥0.9995；</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2.16.3 检出限：≤0.05 mg/L。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3、主要配置</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3.1 气相分子吸收光谱仪分析系统 1 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3.2 全自动进样器 1 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3.3 耗材配件：包括但不限于进样软管，配套样品管、泵管、尾气吸收</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装置、备用吸光管、进样针等 1 套，1ml、5ml、10ml 高精度移液枪各</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 支，枪头各 2 包。</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3.4 数据终端处理系统 1 套</w:t>
            </w:r>
          </w:p>
          <w:p w14:paraId="5FB3DC19">
            <w:pPr>
              <w:widowControl/>
              <w:jc w:val="left"/>
              <w:textAlignment w:val="top"/>
              <w:rPr>
                <w:rFonts w:ascii="宋体" w:hAnsi="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3.5电脑一台</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val="en-US" w:eastAsia="zh-CN" w:bidi="ar"/>
              </w:rPr>
              <w:t>23.8英寸显示器，内存不小于16GB，不小于512G固态硬盘</w:t>
            </w:r>
            <w:r>
              <w:rPr>
                <w:rFonts w:hint="eastAsia" w:ascii="宋体" w:hAnsi="宋体" w:eastAsia="宋体" w:cs="宋体"/>
                <w:color w:val="000000"/>
                <w:kern w:val="0"/>
                <w:sz w:val="24"/>
                <w:szCs w:val="24"/>
                <w:highlight w:val="none"/>
                <w:lang w:eastAsia="zh-CN" w:bidi="ar"/>
              </w:rPr>
              <w:t>）、打印机 1台 （ 可扫描复印、正反打印，支持</w:t>
            </w:r>
            <w:r>
              <w:rPr>
                <w:rFonts w:hint="eastAsia" w:ascii="宋体" w:hAnsi="宋体" w:eastAsia="宋体" w:cs="宋体"/>
                <w:color w:val="000000"/>
                <w:kern w:val="0"/>
                <w:sz w:val="24"/>
                <w:szCs w:val="24"/>
                <w:highlight w:val="none"/>
                <w:lang w:val="en-US" w:eastAsia="zh-CN" w:bidi="ar"/>
              </w:rPr>
              <w:t>A4幅面</w:t>
            </w:r>
            <w:r>
              <w:rPr>
                <w:rFonts w:hint="eastAsia" w:ascii="宋体" w:hAnsi="宋体" w:eastAsia="宋体" w:cs="宋体"/>
                <w:color w:val="000000"/>
                <w:kern w:val="0"/>
                <w:sz w:val="24"/>
                <w:szCs w:val="24"/>
                <w:highlight w:val="none"/>
                <w:lang w:eastAsia="zh-CN" w:bidi="ar"/>
              </w:rPr>
              <w:t>），配套硒鼓</w:t>
            </w:r>
            <w:r>
              <w:rPr>
                <w:rFonts w:hint="eastAsia" w:ascii="宋体" w:hAnsi="宋体" w:eastAsia="宋体" w:cs="宋体"/>
                <w:color w:val="000000"/>
                <w:kern w:val="0"/>
                <w:sz w:val="24"/>
                <w:szCs w:val="24"/>
                <w:highlight w:val="none"/>
                <w:lang w:val="en-US" w:eastAsia="zh-CN" w:bidi="ar"/>
              </w:rPr>
              <w:t>4个</w:t>
            </w:r>
          </w:p>
        </w:tc>
      </w:tr>
      <w:tr w14:paraId="1F1B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noWrap/>
            <w:vAlign w:val="center"/>
          </w:tcPr>
          <w:p w14:paraId="7F790232">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27</w:t>
            </w:r>
          </w:p>
        </w:tc>
        <w:tc>
          <w:tcPr>
            <w:tcW w:w="1908" w:type="dxa"/>
            <w:noWrap w:val="0"/>
            <w:vAlign w:val="center"/>
          </w:tcPr>
          <w:p w14:paraId="7535D31F">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气相色谱仪</w:t>
            </w:r>
          </w:p>
        </w:tc>
        <w:tc>
          <w:tcPr>
            <w:tcW w:w="683" w:type="dxa"/>
            <w:noWrap w:val="0"/>
            <w:vAlign w:val="center"/>
          </w:tcPr>
          <w:p w14:paraId="20C442D9">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825" w:type="dxa"/>
            <w:noWrap w:val="0"/>
            <w:vAlign w:val="center"/>
          </w:tcPr>
          <w:p w14:paraId="0ABFFDE0">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07DCEF12">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1.技术参数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一、快速加热和冷却的柱温箱</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  柱箱温度：室温以上4℃ ～ 450℃</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  程序升温：21阶22平台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3  </w:t>
            </w:r>
            <w:r>
              <w:rPr>
                <w:rFonts w:hint="eastAsia"/>
                <w:color w:val="auto"/>
                <w:highlight w:val="none"/>
                <w:lang w:val="en-US" w:eastAsia="zh-CN"/>
              </w:rPr>
              <w:t>不增加额外配置</w:t>
            </w:r>
            <w:r>
              <w:rPr>
                <w:rFonts w:hint="eastAsia" w:ascii="宋体" w:hAnsi="宋体" w:cs="宋体"/>
                <w:color w:val="000000"/>
                <w:kern w:val="0"/>
                <w:sz w:val="24"/>
                <w:szCs w:val="24"/>
                <w:highlight w:val="none"/>
                <w:lang w:bidi="ar"/>
              </w:rPr>
              <w:t>最大升温速率：可设定最高升温速度120℃/min，以0.01℃/min增加</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  温度设定精度：0.1℃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  控温精度：0.01℃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6  温度稳定性：周围温度每变化1℃，柱温箱温度变化小于0.01℃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7 </w:t>
            </w:r>
            <w:r>
              <w:rPr>
                <w:rFonts w:hint="eastAsia" w:ascii="宋体" w:hAnsi="宋体" w:cs="宋体"/>
                <w:color w:val="FF0000"/>
                <w:kern w:val="0"/>
                <w:sz w:val="24"/>
                <w:szCs w:val="24"/>
                <w:highlight w:val="none"/>
                <w:lang w:bidi="ar"/>
              </w:rPr>
              <w:t xml:space="preserve"> </w:t>
            </w:r>
            <w:r>
              <w:rPr>
                <w:rFonts w:hint="eastAsia" w:ascii="宋体" w:hAnsi="宋体" w:eastAsia="宋体" w:cs="宋体"/>
                <w:color w:val="000000"/>
                <w:kern w:val="0"/>
                <w:sz w:val="24"/>
                <w:szCs w:val="24"/>
                <w:highlight w:val="none"/>
                <w:lang w:val="en-US" w:eastAsia="zh-CN" w:bidi="ar"/>
              </w:rPr>
              <w:t>不增加额外配置</w:t>
            </w:r>
            <w:r>
              <w:rPr>
                <w:rFonts w:hint="eastAsia" w:ascii="宋体" w:hAnsi="宋体" w:cs="宋体"/>
                <w:color w:val="000000"/>
                <w:kern w:val="0"/>
                <w:sz w:val="24"/>
                <w:szCs w:val="24"/>
                <w:highlight w:val="none"/>
                <w:lang w:bidi="ar"/>
              </w:rPr>
              <w:t>冷却速度：从 450 降到 50℃ ≤4min</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8  具有柱温箱温度的自动保护功能。</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二、进样单元</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  </w:t>
            </w:r>
            <w:r>
              <w:rPr>
                <w:rFonts w:hint="eastAsia" w:ascii="宋体" w:hAnsi="宋体" w:eastAsia="宋体" w:cs="宋体"/>
                <w:color w:val="000000"/>
                <w:kern w:val="0"/>
                <w:sz w:val="24"/>
                <w:szCs w:val="24"/>
                <w:highlight w:val="none"/>
                <w:lang w:bidi="ar"/>
              </w:rPr>
              <w:t xml:space="preserve"> </w:t>
            </w:r>
            <w:r>
              <w:rPr>
                <w:rFonts w:hint="eastAsia" w:ascii="宋体" w:hAnsi="宋体" w:eastAsia="宋体" w:cs="宋体"/>
                <w:color w:val="000000"/>
                <w:kern w:val="0"/>
                <w:sz w:val="24"/>
                <w:szCs w:val="24"/>
                <w:highlight w:val="none"/>
                <w:lang w:val="en-US" w:eastAsia="zh-CN" w:bidi="ar"/>
              </w:rPr>
              <w:t>不增加额外配置</w:t>
            </w:r>
            <w:r>
              <w:rPr>
                <w:rFonts w:hint="eastAsia" w:ascii="宋体" w:hAnsi="宋体" w:eastAsia="宋体" w:cs="宋体"/>
                <w:color w:val="000000"/>
                <w:kern w:val="0"/>
                <w:sz w:val="24"/>
                <w:szCs w:val="24"/>
                <w:highlight w:val="none"/>
                <w:lang w:bidi="ar"/>
              </w:rPr>
              <w:t>最</w:t>
            </w:r>
            <w:r>
              <w:rPr>
                <w:rFonts w:hint="eastAsia" w:ascii="宋体" w:hAnsi="宋体" w:cs="宋体"/>
                <w:color w:val="000000"/>
                <w:kern w:val="0"/>
                <w:sz w:val="24"/>
                <w:szCs w:val="24"/>
                <w:highlight w:val="none"/>
                <w:lang w:bidi="ar"/>
              </w:rPr>
              <w:t>多可同时安装2个独立控温的进样单元。</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 分流/不分流进样口</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  最高温度：400℃</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1.2  具备室温补偿和自动环境补偿功能</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支持恒流，恒压，程序增加流速，程序升压及压力脉冲等操作模式</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1.3  压力设定范围：0 ～ 100 psi或者更宽范围</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1.4  压力程序比率设定范围：-400 ～ 400 kPa/min</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1.5  压力程序：7阶</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1.6 分流比设定范围：0 ～ 9000</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1.7  流量设定范围：0～1200mL/min</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三、检测器单元</w:t>
            </w:r>
            <w:r>
              <w:rPr>
                <w:rFonts w:hint="eastAsia" w:ascii="宋体" w:hAnsi="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 xml:space="preserve"> </w:t>
            </w:r>
            <w:r>
              <w:rPr>
                <w:rFonts w:hint="eastAsia" w:ascii="宋体" w:hAnsi="宋体" w:eastAsia="宋体" w:cs="宋体"/>
                <w:color w:val="000000"/>
                <w:kern w:val="0"/>
                <w:sz w:val="24"/>
                <w:szCs w:val="24"/>
                <w:highlight w:val="none"/>
                <w:lang w:val="en-US" w:eastAsia="zh-CN" w:bidi="ar"/>
              </w:rPr>
              <w:t>不增加额外配置</w:t>
            </w:r>
            <w:r>
              <w:rPr>
                <w:rFonts w:hint="eastAsia" w:ascii="宋体" w:hAnsi="宋体" w:cs="宋体"/>
                <w:color w:val="000000"/>
                <w:kern w:val="0"/>
                <w:sz w:val="24"/>
                <w:szCs w:val="24"/>
                <w:highlight w:val="none"/>
                <w:lang w:bidi="ar"/>
              </w:rPr>
              <w:t>可同时安装2个独立控温的检测器，检测器的数据采集速率是250Hz（4ms）。</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 氢火焰离子化检测器（FID）</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 最高使用温度：450℃</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1.2 自动点火功能</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1.3 检测限：1.5×10-12g/s ( 十二烷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1.4 动态范围：107</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 电子捕获检测器（ECD）</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 最高使用温度：400°C</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2.2 检测限：4.2 fg/s (γ-BHC)</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2.3 动态范围：8 x 104</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四、其他</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1.  液体自动进样器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  可自动分析样品数:≥150位</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1.2  进样体积: 用10μl注射器以0.1μl步进,可进样0.1-8μl,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1.3  进样重现性: ≤0.5%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全自动顶空进样器</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顶空炉炉温控范围：室温~260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六通阀进样系统温控范围：室温~220℃</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样品传输管温控范围：室温~220℃</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温度控制精度：±0.1℃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顶空炉工位数：6位</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样品瓶位数：不少于40位</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进样瓶规格：10ml 或 20ml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重复性：&lt;1.5%（200ppm 乙醇水溶液）</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五、数据处理系统</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 数据采集和数据解析</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采用一体化的数据结构，可进行分析操作和信息追溯，满足GLP/GMP操作规范。可以显示相对保留时间，具有保留时间自动校正功能。可针对工作流程灵活设定软件操作界面。</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2. 报告制作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高度灵活的报告制作功能，各种类型的模板文件快捷选用，并支持自建模板。标准配备PDF输出功能。</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3. 质量控制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高精度控制QA/QC功能，支持自动计算噪音、漂移、信噪比、LOD、LOQ、精密度和回收率等方法学指标，具有仪器系统检查功能和用户安全管理功能。</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1、气相主机 1台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2、分流/不分流进样口2个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3、检测器：FID检测器 1个 ECD检测器</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4、不少于150位自动进样器1套 不少于40位全自动顶空自动进样器</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5、原厂中文色谱软件 1套 配套耗材色谱柱弱、中和强极性各1根，分流不分离衬管20根、色谱柱安装头10套，隔垫50个，O型圈50个；进样瓶200个；顶空进样瓶200个；点火线圈1个</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6、国内配套：空气氢气发生器（99.99%）、氮气瓶（99.99%）及减压阀各1 套</w:t>
            </w:r>
            <w:r>
              <w:rPr>
                <w:rFonts w:hint="eastAsia" w:ascii="宋体" w:hAnsi="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7、电脑一台</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val="en-US" w:eastAsia="zh-CN" w:bidi="ar"/>
              </w:rPr>
              <w:t>23.8英寸显示器，内存不小于16GB，不小于512G固态硬盘</w:t>
            </w:r>
            <w:r>
              <w:rPr>
                <w:rFonts w:hint="eastAsia" w:ascii="宋体" w:hAnsi="宋体" w:eastAsia="宋体" w:cs="宋体"/>
                <w:color w:val="000000"/>
                <w:kern w:val="0"/>
                <w:sz w:val="24"/>
                <w:szCs w:val="24"/>
                <w:highlight w:val="none"/>
                <w:lang w:eastAsia="zh-CN" w:bidi="ar"/>
              </w:rPr>
              <w:t>）、打印机 1台 （ 可扫描复印、正反打印，支持</w:t>
            </w:r>
            <w:r>
              <w:rPr>
                <w:rFonts w:hint="eastAsia" w:ascii="宋体" w:hAnsi="宋体" w:eastAsia="宋体" w:cs="宋体"/>
                <w:color w:val="000000"/>
                <w:kern w:val="0"/>
                <w:sz w:val="24"/>
                <w:szCs w:val="24"/>
                <w:highlight w:val="none"/>
                <w:lang w:val="en-US" w:eastAsia="zh-CN" w:bidi="ar"/>
              </w:rPr>
              <w:t>A4幅面</w:t>
            </w:r>
            <w:r>
              <w:rPr>
                <w:rFonts w:hint="eastAsia" w:ascii="宋体" w:hAnsi="宋体" w:eastAsia="宋体" w:cs="宋体"/>
                <w:color w:val="000000"/>
                <w:kern w:val="0"/>
                <w:sz w:val="24"/>
                <w:szCs w:val="24"/>
                <w:highlight w:val="none"/>
                <w:lang w:eastAsia="zh-CN" w:bidi="ar"/>
              </w:rPr>
              <w:t>），配套硒鼓</w:t>
            </w:r>
            <w:r>
              <w:rPr>
                <w:rFonts w:hint="eastAsia" w:ascii="宋体" w:hAnsi="宋体" w:eastAsia="宋体" w:cs="宋体"/>
                <w:color w:val="000000"/>
                <w:kern w:val="0"/>
                <w:sz w:val="24"/>
                <w:szCs w:val="24"/>
                <w:highlight w:val="none"/>
                <w:lang w:val="en-US" w:eastAsia="zh-CN" w:bidi="ar"/>
              </w:rPr>
              <w:t>4个</w:t>
            </w:r>
          </w:p>
        </w:tc>
      </w:tr>
      <w:tr w14:paraId="0B97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6" w:hRule="atLeast"/>
        </w:trPr>
        <w:tc>
          <w:tcPr>
            <w:tcW w:w="675" w:type="dxa"/>
            <w:noWrap/>
            <w:vAlign w:val="center"/>
          </w:tcPr>
          <w:p w14:paraId="1ECC15F1">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28</w:t>
            </w:r>
          </w:p>
        </w:tc>
        <w:tc>
          <w:tcPr>
            <w:tcW w:w="1908" w:type="dxa"/>
            <w:noWrap w:val="0"/>
            <w:vAlign w:val="center"/>
          </w:tcPr>
          <w:p w14:paraId="5CB68F18">
            <w:pPr>
              <w:widowControl/>
              <w:jc w:val="center"/>
              <w:textAlignment w:val="center"/>
              <w:rPr>
                <w:rFonts w:hint="eastAsia" w:ascii="宋体" w:hAnsi="宋体" w:cs="宋体"/>
                <w:color w:val="000000"/>
                <w:sz w:val="24"/>
                <w:szCs w:val="24"/>
                <w:highlight w:val="none"/>
              </w:rPr>
            </w:pPr>
            <w:r>
              <w:rPr>
                <w:rFonts w:hint="eastAsia" w:ascii="宋体" w:hAnsi="宋体" w:cs="宋体"/>
                <w:b/>
                <w:bCs/>
                <w:color w:val="000000"/>
                <w:kern w:val="0"/>
                <w:sz w:val="24"/>
                <w:szCs w:val="24"/>
                <w:highlight w:val="none"/>
                <w:lang w:bidi="ar"/>
              </w:rPr>
              <w:t>气相色谱-质谱联用仪（含自动吹扫捕集）</w:t>
            </w:r>
          </w:p>
        </w:tc>
        <w:tc>
          <w:tcPr>
            <w:tcW w:w="683" w:type="dxa"/>
            <w:noWrap w:val="0"/>
            <w:vAlign w:val="center"/>
          </w:tcPr>
          <w:p w14:paraId="42E3FC97">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825" w:type="dxa"/>
            <w:noWrap w:val="0"/>
            <w:vAlign w:val="center"/>
          </w:tcPr>
          <w:p w14:paraId="123ECB11">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6C1D84E6">
            <w:pPr>
              <w:widowControl/>
              <w:jc w:val="left"/>
              <w:textAlignment w:val="top"/>
              <w:rPr>
                <w:rFonts w:hint="eastAsia" w:ascii="宋体" w:hAnsi="宋体" w:eastAsia="宋体" w:cs="宋体"/>
                <w:color w:val="000000"/>
                <w:kern w:val="0"/>
                <w:sz w:val="24"/>
                <w:szCs w:val="24"/>
                <w:highlight w:val="none"/>
                <w:lang w:bidi="ar"/>
              </w:rPr>
            </w:pPr>
            <w:r>
              <w:rPr>
                <w:rFonts w:hint="eastAsia" w:ascii="宋体" w:hAnsi="宋体" w:cs="宋体"/>
                <w:color w:val="000000"/>
                <w:kern w:val="0"/>
                <w:sz w:val="24"/>
                <w:szCs w:val="24"/>
                <w:highlight w:val="none"/>
                <w:lang w:bidi="ar"/>
              </w:rPr>
              <w:t>1 运行条件</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 环境温度： 10℃-35℃；</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1.2 环境湿度； 20%-95%；</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1.3 实验室供电： 220V±10%,50-60Hz；</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1.4 实验室电网功率：不小于3000 W;</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 技术特点：</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 气相色谱主机</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2.1.1 在同一台仪器上至少可以同时安装不少于2个进样口、不少于2个检测器（除MS外）</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2.1.2 支持进样装置：进样阀、顶空进样器、热解析进样器、自动液体进样器、吹扫捕集装置等；</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2.1.3仪器面板控制方式：触摸屏，尺寸≥7英寸；</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2.1.4完全控制及显示所有温度区域和载气流量、所有检测器功能和检测器气体；</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2.1.5自动进样器位数不少于150位</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2.2 </w:t>
            </w:r>
            <w:r>
              <w:rPr>
                <w:rFonts w:hint="eastAsia" w:ascii="宋体" w:hAnsi="宋体" w:eastAsia="宋体" w:cs="宋体"/>
                <w:color w:val="000000"/>
                <w:kern w:val="0"/>
                <w:sz w:val="24"/>
                <w:szCs w:val="24"/>
                <w:highlight w:val="none"/>
                <w:lang w:bidi="ar"/>
              </w:rPr>
              <w:t>柱温箱</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2.2.1 程序升温：21阶22平台；</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 xml:space="preserve">2.2.2 </w:t>
            </w:r>
            <w:r>
              <w:rPr>
                <w:rFonts w:hint="eastAsia" w:ascii="宋体" w:hAnsi="宋体" w:eastAsia="宋体" w:cs="宋体"/>
                <w:color w:val="auto"/>
                <w:kern w:val="0"/>
                <w:sz w:val="24"/>
                <w:szCs w:val="24"/>
                <w:highlight w:val="none"/>
                <w:lang w:val="en-US" w:eastAsia="zh-CN" w:bidi="ar"/>
              </w:rPr>
              <w:t>不增加额外配置</w:t>
            </w:r>
            <w:r>
              <w:rPr>
                <w:rFonts w:hint="eastAsia" w:ascii="宋体" w:hAnsi="宋体" w:eastAsia="宋体" w:cs="宋体"/>
                <w:color w:val="000000"/>
                <w:kern w:val="0"/>
                <w:sz w:val="24"/>
                <w:szCs w:val="24"/>
                <w:highlight w:val="none"/>
                <w:lang w:bidi="ar"/>
              </w:rPr>
              <w:t>最大加热速度：≥120℃ /min；加热速度可以以0.01℃/min调整增加</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2.2.3最大运行时间，9999.99；</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2.2.4</w:t>
            </w:r>
            <w:r>
              <w:rPr>
                <w:rFonts w:hint="eastAsia" w:ascii="宋体" w:hAnsi="宋体" w:eastAsia="宋体" w:cs="宋体"/>
                <w:color w:val="auto"/>
                <w:kern w:val="0"/>
                <w:sz w:val="24"/>
                <w:szCs w:val="24"/>
                <w:highlight w:val="none"/>
                <w:lang w:val="en-US" w:eastAsia="zh-CN" w:bidi="ar"/>
              </w:rPr>
              <w:t>不增加额外配置</w:t>
            </w:r>
            <w:r>
              <w:rPr>
                <w:rFonts w:hint="eastAsia" w:ascii="宋体" w:hAnsi="宋体" w:eastAsia="宋体" w:cs="宋体"/>
                <w:color w:val="000000"/>
                <w:kern w:val="0"/>
                <w:sz w:val="24"/>
                <w:szCs w:val="24"/>
                <w:highlight w:val="none"/>
                <w:lang w:bidi="ar"/>
              </w:rPr>
              <w:t>冷却速度：从 450 降到 50℃ ≤4min</w:t>
            </w:r>
          </w:p>
          <w:p w14:paraId="5CEF521F">
            <w:pPr>
              <w:widowControl/>
              <w:jc w:val="left"/>
              <w:textAlignment w:val="top"/>
              <w:rPr>
                <w:rFonts w:hint="eastAsia" w:ascii="宋体" w:hAnsi="宋体" w:cs="宋体"/>
                <w:color w:val="000000"/>
                <w:sz w:val="24"/>
                <w:szCs w:val="24"/>
                <w:highlight w:val="none"/>
              </w:rPr>
            </w:pPr>
            <w:r>
              <w:rPr>
                <w:rFonts w:hint="eastAsia" w:ascii="宋体" w:hAnsi="宋体" w:eastAsia="宋体" w:cs="宋体"/>
                <w:color w:val="000000"/>
                <w:kern w:val="0"/>
                <w:sz w:val="24"/>
                <w:szCs w:val="24"/>
                <w:highlight w:val="none"/>
                <w:lang w:bidi="ar"/>
              </w:rPr>
              <w:t>2.3 分流/不分流毛细管进样口</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2.3.1 电子流量控制：高精度电子压力/流量控制；</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2.3.2压力控制精度：0.001ps</w:t>
            </w:r>
            <w:r>
              <w:rPr>
                <w:rFonts w:hint="eastAsia" w:ascii="宋体" w:hAnsi="宋体" w:cs="宋体"/>
                <w:color w:val="000000"/>
                <w:kern w:val="0"/>
                <w:sz w:val="24"/>
                <w:szCs w:val="24"/>
                <w:highlight w:val="none"/>
                <w:lang w:bidi="ar"/>
              </w:rPr>
              <w:t xml:space="preserve">i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2.3.3 工作模式：分流、不分流；</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2.3.4 最大使用温度：≥450°C；</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2.3.5 最大分流比≥9000:1；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2.3.6程序升压/升流：≥7阶</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2.4 质谱检测器</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2.4.1 离子源：配置EI源，独立控温，惰性材质；</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2.4.2 灯丝：双灯丝；</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2.4.3 质量范围：2-1080或者更大；</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2.4.4 电子能量：不低于150eV；</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2.4.5 最大扫描速度≥20000 amu/s；</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2.4.6 质量稳定性≤±0.1 amu/48 h；</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2.4.8 离子源温度：最高350°；</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2.4.9 真空系统：分子涡轮泵≥300L/S</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2.4.10 质量选择器类型：高精度惰性全金属材料</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2.4.11 进样方式：支持GC/MS液体进样、阀进样；</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2.4.12 灵敏度：EI源，信噪比S/N ≥2500:1；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2.4.13 IDL:≤10fg （100fgOFN连续8次进样）</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2.4.14 操作模式：全扫描、SIM、全扫描与SIM同步进行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2.4.15 调谐模式：自动或手动；</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2.4.16 检测系统：电子倍增器，</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2.5 数据处理系统</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2.5.1支持中/英文软件控制平台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2.5.2 支持外标法、内标法、未知峰定量、选择离子定量、等功能；</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2.5.3具备智能预警软件和早期维护提醒功能，可提醒更换关键耗材</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2.5.4 配备NIST数据库；</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2.5.5可通过移动端设备（例如手机、平板、笔电）扫描二维码对气相色谱质谱联用仪进行绑定，也可远程查看仪器报警信息、仪器固件程序版本，实现远程判断仪器故障。</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全自动固液一体吹扫捕集仪（含自动加内标）</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吹扫管采样头温度控制范围：室温-100℃，控温精度：±1℃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六通阀进样系统温度及控制范围：室温-220℃，控温精度：±1℃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样品传输管温度及控制范围：室温-220℃，控温精度：±1℃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捕集管温度控制范围：-40℃-450℃，升温速率&gt;4800℃/min</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冷阱温度控制范围：-40℃-室温，采用电子制冷装置，控温精度：±1℃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除水器温度控制范围：0℃-200℃</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清洗蒸馏水温度控制范围：室温-90℃，控温精度：±1℃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固体样品瓶温控范围：室温-100℃，控温精度：±1℃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样品位：不少于80位</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吹扫流量：10～150ml/min（连续可调）</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时间控制范围：0.0min～999.9min</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3.仪器配置</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3.1　气相色谱仪主机1套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3.2　分流/不分流进样口2套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3.3　气相安装工具包1套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3.4  自动进样器  1套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3.5　质谱主机1套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3.6　质谱接口1套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3.7　GC/MS工作站软件1套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3.8 全自动固液一体吹扫捕集仪（含自动加内标）不少于80位 1套</w:t>
            </w:r>
            <w:r>
              <w:rPr>
                <w:rFonts w:hint="eastAsia" w:ascii="宋体" w:hAnsi="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3.9　电脑一台</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val="en-US" w:eastAsia="zh-CN" w:bidi="ar"/>
              </w:rPr>
              <w:t>23.8英寸显示器，内存不小于16GB，不小于512G固态硬盘</w:t>
            </w:r>
            <w:r>
              <w:rPr>
                <w:rFonts w:hint="eastAsia" w:ascii="宋体" w:hAnsi="宋体" w:eastAsia="宋体" w:cs="宋体"/>
                <w:color w:val="000000"/>
                <w:kern w:val="0"/>
                <w:sz w:val="24"/>
                <w:szCs w:val="24"/>
                <w:highlight w:val="none"/>
                <w:lang w:eastAsia="zh-CN" w:bidi="ar"/>
              </w:rPr>
              <w:t>）、打印机 1台 （ 可扫描复印、正反打印，支持</w:t>
            </w:r>
            <w:r>
              <w:rPr>
                <w:rFonts w:hint="eastAsia" w:ascii="宋体" w:hAnsi="宋体" w:eastAsia="宋体" w:cs="宋体"/>
                <w:color w:val="000000"/>
                <w:kern w:val="0"/>
                <w:sz w:val="24"/>
                <w:szCs w:val="24"/>
                <w:highlight w:val="none"/>
                <w:lang w:val="en-US" w:eastAsia="zh-CN" w:bidi="ar"/>
              </w:rPr>
              <w:t>A4幅面</w:t>
            </w:r>
            <w:r>
              <w:rPr>
                <w:rFonts w:hint="eastAsia" w:ascii="宋体" w:hAnsi="宋体" w:eastAsia="宋体" w:cs="宋体"/>
                <w:color w:val="000000"/>
                <w:kern w:val="0"/>
                <w:sz w:val="24"/>
                <w:szCs w:val="24"/>
                <w:highlight w:val="none"/>
                <w:lang w:eastAsia="zh-CN" w:bidi="ar"/>
              </w:rPr>
              <w:t>），配套硒鼓</w:t>
            </w:r>
            <w:r>
              <w:rPr>
                <w:rFonts w:hint="eastAsia" w:ascii="宋体" w:hAnsi="宋体" w:eastAsia="宋体" w:cs="宋体"/>
                <w:color w:val="000000"/>
                <w:kern w:val="0"/>
                <w:sz w:val="24"/>
                <w:szCs w:val="24"/>
                <w:highlight w:val="none"/>
                <w:lang w:val="en-US" w:eastAsia="zh-CN" w:bidi="ar"/>
              </w:rPr>
              <w:t>4个</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3.10　配套所需常用耗材如下色谱柱弱、中和强极性各1根，60m VOCS专用柱1根；分流不分离衬管20根、色谱柱安装头10套，隔垫50个，O型圈50个；进样瓶200个；吹扫进样瓶200个；MS接头10套，灯丝2根；吹扫捕集阱备用1根、25ml吹扫管1根、气体净化装置2套、泵油4L等</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3.11</w:t>
            </w:r>
            <w:r>
              <w:rPr>
                <w:rFonts w:hint="eastAsia" w:ascii="宋体" w:hAnsi="宋体" w:cs="宋体"/>
                <w:color w:val="000000"/>
                <w:kern w:val="0"/>
                <w:sz w:val="24"/>
                <w:szCs w:val="24"/>
                <w:highlight w:val="none"/>
                <w:lang w:val="en-US" w:eastAsia="zh-CN" w:bidi="ar"/>
              </w:rPr>
              <w:t xml:space="preserve">  </w:t>
            </w:r>
            <w:r>
              <w:rPr>
                <w:rFonts w:hint="eastAsia" w:ascii="宋体" w:hAnsi="宋体" w:cs="宋体"/>
                <w:color w:val="000000"/>
                <w:kern w:val="0"/>
                <w:sz w:val="24"/>
                <w:szCs w:val="24"/>
                <w:highlight w:val="none"/>
                <w:lang w:bidi="ar"/>
              </w:rPr>
              <w:t>UPS电源6KVA延时不低于1小时 1套</w:t>
            </w:r>
          </w:p>
        </w:tc>
      </w:tr>
      <w:tr w14:paraId="267B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675" w:type="dxa"/>
            <w:noWrap/>
            <w:vAlign w:val="center"/>
          </w:tcPr>
          <w:p w14:paraId="224CDC5B">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29</w:t>
            </w:r>
          </w:p>
        </w:tc>
        <w:tc>
          <w:tcPr>
            <w:tcW w:w="1908" w:type="dxa"/>
            <w:noWrap w:val="0"/>
            <w:vAlign w:val="center"/>
          </w:tcPr>
          <w:p w14:paraId="7928AD0C">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可见光分光光度计</w:t>
            </w:r>
          </w:p>
        </w:tc>
        <w:tc>
          <w:tcPr>
            <w:tcW w:w="683" w:type="dxa"/>
            <w:noWrap w:val="0"/>
            <w:vAlign w:val="center"/>
          </w:tcPr>
          <w:p w14:paraId="379DB572">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w:t>
            </w:r>
          </w:p>
        </w:tc>
        <w:tc>
          <w:tcPr>
            <w:tcW w:w="825" w:type="dxa"/>
            <w:noWrap w:val="0"/>
            <w:vAlign w:val="center"/>
          </w:tcPr>
          <w:p w14:paraId="721BB447">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47A25A01">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波长范围320-1100nm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光谱带宽 2nm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波长准确度 ±0.5nm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波长重复性 ≤0.2nm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光度准确度±0.2%T（0-100%T）、±0.002Abs(0-0.5Abs)、±0.004Abs(0.5-1.0Abs)</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光度重复性≤0.1%T(0-100%T)、≤0.001Abs(0-0.5Abs)、≤0.002Abs(0.5-1.0Abs)</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杂散光≤0.05%T@220nm，360nm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基线漂移≤0.001A/h（500nm处）</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基线平直度±0.001A</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噪声水平±0.0005A</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光度范围0-200%T、-0.3-3.0A、0-9999C</w:t>
            </w:r>
          </w:p>
        </w:tc>
      </w:tr>
      <w:tr w14:paraId="777B8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675" w:type="dxa"/>
            <w:noWrap/>
            <w:vAlign w:val="center"/>
          </w:tcPr>
          <w:p w14:paraId="40FA52BC">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30</w:t>
            </w:r>
          </w:p>
        </w:tc>
        <w:tc>
          <w:tcPr>
            <w:tcW w:w="1908" w:type="dxa"/>
            <w:noWrap w:val="0"/>
            <w:vAlign w:val="center"/>
          </w:tcPr>
          <w:p w14:paraId="6D0681C7">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万分之一分析天平</w:t>
            </w:r>
          </w:p>
        </w:tc>
        <w:tc>
          <w:tcPr>
            <w:tcW w:w="683" w:type="dxa"/>
            <w:noWrap w:val="0"/>
            <w:vAlign w:val="center"/>
          </w:tcPr>
          <w:p w14:paraId="7E763B16">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w:t>
            </w:r>
          </w:p>
        </w:tc>
        <w:tc>
          <w:tcPr>
            <w:tcW w:w="825" w:type="dxa"/>
            <w:noWrap w:val="0"/>
            <w:vAlign w:val="center"/>
          </w:tcPr>
          <w:p w14:paraId="5311699F">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0A4F47F8">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称重能力：最大/最小 220g/82g；1mg</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最小显示值 0.1mg/0.01mg</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标准偏差 ≤0.1mg(大量程）；≤0.05mg(小量程）</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线性 ±0.2mg（大量程）；±0.1mg(小量程）</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响应时间 3秒（大量程）；15s（小量程）</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校正砝码 机内</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环境温度 5-40℃</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灵敏度温度（10-30℃） ±2ppm/℃(PSC位于OFF）</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灵敏度对温度的稳定性（PSC位于ON时， ±2ppm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10-30℃） </w:t>
            </w:r>
          </w:p>
        </w:tc>
      </w:tr>
      <w:tr w14:paraId="407E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675" w:type="dxa"/>
            <w:noWrap/>
            <w:vAlign w:val="center"/>
          </w:tcPr>
          <w:p w14:paraId="1E3B3CF4">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31</w:t>
            </w:r>
          </w:p>
        </w:tc>
        <w:tc>
          <w:tcPr>
            <w:tcW w:w="1908" w:type="dxa"/>
            <w:noWrap w:val="0"/>
            <w:vAlign w:val="center"/>
          </w:tcPr>
          <w:p w14:paraId="18755743">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十万分之一天平</w:t>
            </w:r>
          </w:p>
        </w:tc>
        <w:tc>
          <w:tcPr>
            <w:tcW w:w="683" w:type="dxa"/>
            <w:noWrap w:val="0"/>
            <w:vAlign w:val="center"/>
          </w:tcPr>
          <w:p w14:paraId="3756552F">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825" w:type="dxa"/>
            <w:noWrap w:val="0"/>
            <w:vAlign w:val="center"/>
          </w:tcPr>
          <w:p w14:paraId="38671B2E">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7615353E">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称重能力：最大/最小 120g/42g；1mg</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最小显示值 0.1mg/0.01mg</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标准偏差 ≤0.1mg(大量程）；≤0.02mg(小量程）</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线性 ±0.2mg（大量程）；±0.03mg(小量程）</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响应时间 3秒（大量程）；12s（小量程）</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校正砝码 机内</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环境温度 5-40℃</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灵敏度温度（10-30℃） ±2ppm/℃(PSC位于OFF）</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灵敏度对温度的稳定性（PSC位于ON时， ±2ppm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10-30℃） </w:t>
            </w:r>
          </w:p>
        </w:tc>
      </w:tr>
      <w:tr w14:paraId="07E6D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675" w:type="dxa"/>
            <w:noWrap/>
            <w:vAlign w:val="center"/>
          </w:tcPr>
          <w:p w14:paraId="1718D6F3">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32</w:t>
            </w:r>
          </w:p>
        </w:tc>
        <w:tc>
          <w:tcPr>
            <w:tcW w:w="1908" w:type="dxa"/>
            <w:noWrap w:val="0"/>
            <w:vAlign w:val="center"/>
          </w:tcPr>
          <w:p w14:paraId="140B8912">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pH 计(实验室用)</w:t>
            </w:r>
          </w:p>
        </w:tc>
        <w:tc>
          <w:tcPr>
            <w:tcW w:w="683" w:type="dxa"/>
            <w:noWrap w:val="0"/>
            <w:vAlign w:val="center"/>
          </w:tcPr>
          <w:p w14:paraId="27B5B5CF">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w:t>
            </w:r>
          </w:p>
        </w:tc>
        <w:tc>
          <w:tcPr>
            <w:tcW w:w="825" w:type="dxa"/>
            <w:noWrap w:val="0"/>
            <w:vAlign w:val="center"/>
          </w:tcPr>
          <w:p w14:paraId="67554A7E">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0D275A9E">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技术参数：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pH级别: 0.001级</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pH范围: (-2.000~20.000)pH</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最小分辨率: 0.001pH</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电子单元示值误差: ±0.002pH</w:t>
            </w:r>
          </w:p>
        </w:tc>
      </w:tr>
      <w:tr w14:paraId="7D61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noWrap/>
            <w:vAlign w:val="center"/>
          </w:tcPr>
          <w:p w14:paraId="32A47398">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33</w:t>
            </w:r>
          </w:p>
        </w:tc>
        <w:tc>
          <w:tcPr>
            <w:tcW w:w="1908" w:type="dxa"/>
            <w:noWrap w:val="0"/>
            <w:vAlign w:val="center"/>
          </w:tcPr>
          <w:p w14:paraId="5CC915E1">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COD 快速测定仪</w:t>
            </w:r>
          </w:p>
        </w:tc>
        <w:tc>
          <w:tcPr>
            <w:tcW w:w="683" w:type="dxa"/>
            <w:noWrap w:val="0"/>
            <w:vAlign w:val="center"/>
          </w:tcPr>
          <w:p w14:paraId="5CB1806D">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w:t>
            </w:r>
          </w:p>
        </w:tc>
        <w:tc>
          <w:tcPr>
            <w:tcW w:w="825" w:type="dxa"/>
            <w:noWrap w:val="0"/>
            <w:vAlign w:val="center"/>
          </w:tcPr>
          <w:p w14:paraId="1E246825">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35785A70">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1.显示：彩色液晶触摸屏</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2.检测方式：自动旋转式比色管检测系统</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3.光学检测系统：光纤检测系统</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4.测量项目：COD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5.测量范围：COD（2-20000mg/L）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6.光源：12V/20W卤素灯</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7.检测准确度：≤±5%</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8.波长准确度：±1nm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9.波长范围：340-900nm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10.重复性：≤±2%</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11.电池：内部放置锂电池</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12.存储：可存储100万组数据，可自由调用查看</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13.预存曲线：预存180条曲线，可供用户进行选择、校准、修改等操作</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14.具有双保险高温过载保护；专用水质消解系统，固化常规消解项目，一键式操作消解，消解完成自动报警提示.</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15.自动校准：仪器具有自动校准功能</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16.打印方式：标配内置热敏打印机，可随时打印当前数据及历史数据</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17.数据传输：配备USB接口和串口传输功能，蓝牙接口选配</w:t>
            </w:r>
          </w:p>
        </w:tc>
      </w:tr>
      <w:tr w14:paraId="0CC49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675" w:type="dxa"/>
            <w:noWrap/>
            <w:vAlign w:val="center"/>
          </w:tcPr>
          <w:p w14:paraId="7A49782F">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34</w:t>
            </w:r>
          </w:p>
        </w:tc>
        <w:tc>
          <w:tcPr>
            <w:tcW w:w="1908" w:type="dxa"/>
            <w:noWrap w:val="0"/>
            <w:vAlign w:val="center"/>
          </w:tcPr>
          <w:p w14:paraId="412DFFB6">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全自动总氮总磷分析仪</w:t>
            </w:r>
          </w:p>
        </w:tc>
        <w:tc>
          <w:tcPr>
            <w:tcW w:w="683" w:type="dxa"/>
            <w:noWrap w:val="0"/>
            <w:vAlign w:val="center"/>
          </w:tcPr>
          <w:p w14:paraId="7E4FAA40">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825" w:type="dxa"/>
            <w:noWrap w:val="0"/>
            <w:vAlign w:val="center"/>
          </w:tcPr>
          <w:p w14:paraId="7F88A3BE">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51E75027">
            <w:pPr>
              <w:widowControl/>
              <w:numPr>
                <w:ilvl w:val="0"/>
                <w:numId w:val="6"/>
              </w:numPr>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用于水中总磷、总氮指标的实验室全自动化检测，遵循标准《水质 总磷的测定 钼酸铵分光光度法》(GB 11893-89) 、《水质 总氮的测定碱性过硫酸钾消解紫外分光光度法》（HJ 636-2012）规定方法标准设计。</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2、全流程自动化完成批量样品试剂加入、消解、冷却、定容、混匀、检测、清洗、数据采集与处理、数据报告生成等操作。</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3、仪器可按单个标准母液，自动配置标准梯度，建立标准曲线。</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4、智能自动稀释，仪器配备智能自动稀释功能。</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5、高精度智能机械臂：采用全封闭耐腐蚀电驱动三维机械臂，代替人工，实现样品流转与各种化学试剂全自动加入，避免人体直接接触高温器皿和有害物质。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6、自动夹爪：支持自动开盖、拧盖，保证样品的封闭性，具有报错功能，自动跳过问题样品不影响下一个测试。</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7、3路以上样品、试剂流路系统，不同样品、试剂有独立的管路、泵、阀，避免试剂交叉污染。</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8、仪器能自动实现试剂量监控，实时显示试剂液位，当试剂消耗达报警值时能自动停止检测并报警。</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9、2套独立的比色测定系统，满足总磷、总氮检测，检测信号稳定可靠，保证数据的准确性。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10、总磷测定范围为0.01~0.6 mg/L，检出限为0.01 mg/L（不稀释，取样量25mL）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11、总氮测定范围为0.20~7.0 mg/L，检出限为0.05 mg/L（不稀释，取样量10 mL）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12、 自动配置标准曲线：相关性稀释r＞0.999</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13、重复性：RSD&lt;3%，精密度：RSD＜3%</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14、消解位不少于50个</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15、自动进样器样品位数不少于50位</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16、样品分析频率：平均3～4min/样</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17、单套仪器配置要求</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17.1、总磷、总氮智能分析仪 1套；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17.2、数据处理系统1套；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17.3、试剂瓶 5个；</w:t>
            </w:r>
          </w:p>
          <w:p w14:paraId="2C6043A8">
            <w:pPr>
              <w:widowControl/>
              <w:jc w:val="left"/>
              <w:textAlignment w:val="top"/>
              <w:rPr>
                <w:rFonts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17.4、电脑</w:t>
            </w:r>
            <w:r>
              <w:rPr>
                <w:rFonts w:hint="eastAsia" w:ascii="宋体" w:hAnsi="宋体" w:eastAsia="宋体" w:cs="宋体"/>
                <w:color w:val="000000"/>
                <w:kern w:val="0"/>
                <w:sz w:val="24"/>
                <w:szCs w:val="24"/>
                <w:highlight w:val="none"/>
                <w:lang w:bidi="ar"/>
              </w:rPr>
              <w:t>一台</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val="en-US" w:eastAsia="zh-CN" w:bidi="ar"/>
              </w:rPr>
              <w:t>23.8英寸显示器，内存不小于16GB，不小于512G固态硬盘</w:t>
            </w:r>
            <w:r>
              <w:rPr>
                <w:rFonts w:hint="eastAsia" w:ascii="宋体" w:hAnsi="宋体" w:eastAsia="宋体" w:cs="宋体"/>
                <w:color w:val="000000"/>
                <w:kern w:val="0"/>
                <w:sz w:val="24"/>
                <w:szCs w:val="24"/>
                <w:highlight w:val="none"/>
                <w:lang w:eastAsia="zh-CN" w:bidi="ar"/>
              </w:rPr>
              <w:t>）、打印机 1台 （ 可扫描复印、正反打印，支持</w:t>
            </w:r>
            <w:r>
              <w:rPr>
                <w:rFonts w:hint="eastAsia" w:ascii="宋体" w:hAnsi="宋体" w:eastAsia="宋体" w:cs="宋体"/>
                <w:color w:val="000000"/>
                <w:kern w:val="0"/>
                <w:sz w:val="24"/>
                <w:szCs w:val="24"/>
                <w:highlight w:val="none"/>
                <w:lang w:val="en-US" w:eastAsia="zh-CN" w:bidi="ar"/>
              </w:rPr>
              <w:t>A4幅面</w:t>
            </w:r>
            <w:r>
              <w:rPr>
                <w:rFonts w:hint="eastAsia" w:ascii="宋体" w:hAnsi="宋体" w:eastAsia="宋体" w:cs="宋体"/>
                <w:color w:val="000000"/>
                <w:kern w:val="0"/>
                <w:sz w:val="24"/>
                <w:szCs w:val="24"/>
                <w:highlight w:val="none"/>
                <w:lang w:eastAsia="zh-CN" w:bidi="ar"/>
              </w:rPr>
              <w:t>），配套硒鼓</w:t>
            </w:r>
            <w:r>
              <w:rPr>
                <w:rFonts w:hint="eastAsia" w:ascii="宋体" w:hAnsi="宋体" w:eastAsia="宋体" w:cs="宋体"/>
                <w:color w:val="000000"/>
                <w:kern w:val="0"/>
                <w:sz w:val="24"/>
                <w:szCs w:val="24"/>
                <w:highlight w:val="none"/>
                <w:lang w:val="en-US" w:eastAsia="zh-CN" w:bidi="ar"/>
              </w:rPr>
              <w:t>4个</w:t>
            </w:r>
          </w:p>
        </w:tc>
      </w:tr>
      <w:tr w14:paraId="3E16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675" w:type="dxa"/>
            <w:noWrap/>
            <w:vAlign w:val="center"/>
          </w:tcPr>
          <w:p w14:paraId="062CE505">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35</w:t>
            </w:r>
          </w:p>
        </w:tc>
        <w:tc>
          <w:tcPr>
            <w:tcW w:w="1908" w:type="dxa"/>
            <w:noWrap w:val="0"/>
            <w:vAlign w:val="center"/>
          </w:tcPr>
          <w:p w14:paraId="1CADB52B">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多通道流动注射分析仪（配阴离子和挥发酚模块）</w:t>
            </w:r>
          </w:p>
        </w:tc>
        <w:tc>
          <w:tcPr>
            <w:tcW w:w="683" w:type="dxa"/>
            <w:noWrap w:val="0"/>
            <w:vAlign w:val="center"/>
          </w:tcPr>
          <w:p w14:paraId="156B1456">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825" w:type="dxa"/>
            <w:noWrap w:val="0"/>
            <w:vAlign w:val="center"/>
          </w:tcPr>
          <w:p w14:paraId="4B4B9279">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4D329DD1">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仪器原理：仪器基于流动注射分析（FIA）的基本原理，试剂在封闭的管路中连续流动，一定体积的样品通过样品注入阀注入载流，载流携带样品在封闭的编结反应器与试剂混合，形成具有一定吸光度的混合物，流过光度检测器，形成检测峰形。样品与样品之间，样品与试剂之间，无需加入气泡，无需达到物理和化学反应平衡状态即可重复测定，实现快速准确地分析。</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2、仪器用途：用于测定自来水中的挥发酚、阴离子表面活性剂等项目。</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3、仪器的工作环境：仪器可供在室内使用或车载使用，环境温度 10—40℃；电源供给：220VAC，50HZ，相对湿度：25%—85%。</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4、仪器组成：仪器每个检测项目为全自动独立一体机，每个通道由自动进样装置（样品位数不少于60位，不共用自动进样器）。</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5、仪器性能指标：</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5.1、挥发酚技术指标</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方法原理：4-氨基安替比林光度法</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线性范围：0.001-0.2mg/L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检出限：≤0.0003 mg/L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样品分析频率：20样/小时</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精密度：≤1%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准确度：误差在±3% 以内</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5.2、阴离子表面活性剂技术指标</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方法原理：亚甲基蓝光度法</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线性范围：0.02-2mg/L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检出限：≤0.01 mg/L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样品分析频率：20样/小时</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精密度：≤1%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准确度：误差在±3% 以内</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6、各个通道之间独立工作，也可同时工作，互不影响，最多可连接16个同系列分析仪同时工作，便于升级。</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7、该仪器配套的化学流路元件都固定在化学流路板上。</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8、每个通道都包括一个专用的蠕动泵, 12个管位，泵速由计算机设定，蠕动泵为整体压块式设计，无需用户单独调节蠕动泵压片的松紧。</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9、每个通道都包括一个专用的检测器, 检测器为双光束设计，通过窄带滤光片分光，不同的系列分析仪可以使用相同的滤光片，也可使用不同的滤光片，滤光片更换方便。检测器使用400-1100nm的卤钨灯作为光源，还包括一个流通式比色皿，光程10mm。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10、使用网线和无线WIFI进行通讯，通讯更加可靠，且无需再陪配置主机连接</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11、仪器配套的化学分析管路为FEP全化学惰性透明管理,无需气泡生成及消除装置</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12、每个分析检测通道都必须配置在线稀释系统，确保每个检测方法能同时单点做标准曲线。</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13、全中文操作软件，一套软件共同工作时可控制16个通道同时工作。</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13.1、主机软件自动识别通道及自动配置相应方法参数。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13.2、软件测试界面无其它设置窗口，载流空白、曲线、质控和样品均在同一界面操作和数据显示，同测通道间操作界面仅需点击通道号即可。</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13.3、软件后台可保存多条不同高低浓度区间曲线，同一测试文件中样品数据可选择后台不同浓度区间曲线进行回算。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13.4、一键运行无人值守：软件一键运行后即可自动测定载流、空白、自动拟合曲线，测定质控及样品，整个过程期间无需实验人员进行拟合曲线等操作。</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14、全自动流动注射分析仪配置清单</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全自动挥发酚一体机                1台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全自动阴离子表面活性剂一体机       1台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样品管10ml                       200个</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不少于60位的自动进样器             2套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泵管                              2套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萃取膜                            40张</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操作软件                           1套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试剂包（每个模块）                各3套</w:t>
            </w:r>
            <w:r>
              <w:rPr>
                <w:rFonts w:hint="eastAsia" w:ascii="宋体" w:hAnsi="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电脑一台</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val="en-US" w:eastAsia="zh-CN" w:bidi="ar"/>
              </w:rPr>
              <w:t>23.8英寸显示器，内存不小于16GB，不小于512G固态硬盘</w:t>
            </w:r>
            <w:r>
              <w:rPr>
                <w:rFonts w:hint="eastAsia" w:ascii="宋体" w:hAnsi="宋体" w:eastAsia="宋体" w:cs="宋体"/>
                <w:color w:val="000000"/>
                <w:kern w:val="0"/>
                <w:sz w:val="24"/>
                <w:szCs w:val="24"/>
                <w:highlight w:val="none"/>
                <w:lang w:eastAsia="zh-CN" w:bidi="ar"/>
              </w:rPr>
              <w:t>）、打印机 1台 （ 可扫描复印、正反打印，支持</w:t>
            </w:r>
            <w:r>
              <w:rPr>
                <w:rFonts w:hint="eastAsia" w:ascii="宋体" w:hAnsi="宋体" w:eastAsia="宋体" w:cs="宋体"/>
                <w:color w:val="000000"/>
                <w:kern w:val="0"/>
                <w:sz w:val="24"/>
                <w:szCs w:val="24"/>
                <w:highlight w:val="none"/>
                <w:lang w:val="en-US" w:eastAsia="zh-CN" w:bidi="ar"/>
              </w:rPr>
              <w:t>A4幅面</w:t>
            </w:r>
            <w:r>
              <w:rPr>
                <w:rFonts w:hint="eastAsia" w:ascii="宋体" w:hAnsi="宋体" w:eastAsia="宋体" w:cs="宋体"/>
                <w:color w:val="000000"/>
                <w:kern w:val="0"/>
                <w:sz w:val="24"/>
                <w:szCs w:val="24"/>
                <w:highlight w:val="none"/>
                <w:lang w:eastAsia="zh-CN" w:bidi="ar"/>
              </w:rPr>
              <w:t>），配套硒鼓</w:t>
            </w:r>
            <w:r>
              <w:rPr>
                <w:rFonts w:hint="eastAsia" w:ascii="宋体" w:hAnsi="宋体" w:eastAsia="宋体" w:cs="宋体"/>
                <w:color w:val="000000"/>
                <w:kern w:val="0"/>
                <w:sz w:val="24"/>
                <w:szCs w:val="24"/>
                <w:highlight w:val="none"/>
                <w:lang w:val="en-US" w:eastAsia="zh-CN" w:bidi="ar"/>
              </w:rPr>
              <w:t>4个</w:t>
            </w:r>
            <w:r>
              <w:rPr>
                <w:rFonts w:hint="eastAsia" w:ascii="宋体" w:hAnsi="宋体" w:eastAsia="宋体" w:cs="宋体"/>
                <w:color w:val="000000"/>
                <w:kern w:val="0"/>
                <w:sz w:val="24"/>
                <w:szCs w:val="24"/>
                <w:highlight w:val="none"/>
                <w:lang w:bidi="ar"/>
              </w:rPr>
              <w:t xml:space="preserve">    </w:t>
            </w:r>
            <w:r>
              <w:rPr>
                <w:rFonts w:hint="eastAsia" w:ascii="宋体" w:hAnsi="宋体" w:cs="宋体"/>
                <w:color w:val="000000"/>
                <w:kern w:val="0"/>
                <w:sz w:val="24"/>
                <w:szCs w:val="24"/>
                <w:highlight w:val="none"/>
                <w:lang w:bidi="ar"/>
              </w:rPr>
              <w:t xml:space="preserve">   </w:t>
            </w:r>
          </w:p>
        </w:tc>
      </w:tr>
      <w:tr w14:paraId="5FD1A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noWrap/>
            <w:vAlign w:val="center"/>
          </w:tcPr>
          <w:p w14:paraId="7671AF9E">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36</w:t>
            </w:r>
          </w:p>
        </w:tc>
        <w:tc>
          <w:tcPr>
            <w:tcW w:w="1908" w:type="dxa"/>
            <w:noWrap w:val="0"/>
            <w:vAlign w:val="center"/>
          </w:tcPr>
          <w:p w14:paraId="1DCF359A">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全自动氰化物分析仪</w:t>
            </w:r>
          </w:p>
        </w:tc>
        <w:tc>
          <w:tcPr>
            <w:tcW w:w="683" w:type="dxa"/>
            <w:noWrap w:val="0"/>
            <w:vAlign w:val="center"/>
          </w:tcPr>
          <w:p w14:paraId="239FBD24">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825" w:type="dxa"/>
            <w:noWrap w:val="0"/>
            <w:vAlign w:val="center"/>
          </w:tcPr>
          <w:p w14:paraId="282CEBBE">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15AF0CC4">
            <w:pPr>
              <w:widowControl/>
              <w:numPr>
                <w:ilvl w:val="0"/>
                <w:numId w:val="7"/>
              </w:numPr>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数量：1套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二、技术特点：</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 测量方法：标准方法《HJ484-2009 水质 氰化物的测定 分光光度法》 异烟酸-吡唑啉酮、异烟酸巴比妥酸、吡啶巴比妥酸分光光度法</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2.2 仪器操作全自动化：自动蒸馏、自动收集馏出液、自动添加试剂、自动转移待测样品、自动测量、自动清洗排空，全程无人操作，自动一体化。</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2.3 仪器操作简单，无需人工转移馏出液，操作人员不接触试剂，无需人工清洗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2.4 使用Windows操作系统，软件高度集成化，可直接导出EXCEL\PDF\WORD等各种数据格式。</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三、技术指标：</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3.1 样品位数：≥6位，与蒸馏仪位数相同，可直接测量6个及以上馏出液</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3.2、测量方式：自动蒸馏、收集馏出液，自动加试剂、测量、清洗、排放，无需人工操作</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3.3、水浴温度：20-35℃</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3.4、准确度：&lt;2%</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3.5、精密度：RSD≤5%</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3.6、线性：≥0.999</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3.7、配套耗材：</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3.7.1、比色皿/流通池：石英或玻璃材质，耐腐蚀，适配仪器光路系统（如10mm光程）。1套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3.7.2、泵管/软管：传输试剂和样品，耐酸碱（如PTFE或硅胶材质）。过滤器：0.45μm滤膜，去除样品颗粒物，防止堵塞管路。1套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3.7.3、废液瓶：收集反应废液，容量为5L塑料桶。2个</w:t>
            </w:r>
          </w:p>
          <w:p w14:paraId="170CD847">
            <w:pPr>
              <w:widowControl/>
              <w:jc w:val="left"/>
              <w:textAlignment w:val="top"/>
              <w:rPr>
                <w:rFonts w:ascii="宋体" w:hAnsi="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3.7.4、电脑一台</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val="en-US" w:eastAsia="zh-CN" w:bidi="ar"/>
              </w:rPr>
              <w:t>23.8英寸显示器，内存不小于16GB，不小于512G固态硬盘</w:t>
            </w:r>
            <w:r>
              <w:rPr>
                <w:rFonts w:hint="eastAsia" w:ascii="宋体" w:hAnsi="宋体" w:eastAsia="宋体" w:cs="宋体"/>
                <w:color w:val="000000"/>
                <w:kern w:val="0"/>
                <w:sz w:val="24"/>
                <w:szCs w:val="24"/>
                <w:highlight w:val="none"/>
                <w:lang w:eastAsia="zh-CN" w:bidi="ar"/>
              </w:rPr>
              <w:t>）、打印机 1台 （ 可扫描复印、正反打印，支持</w:t>
            </w:r>
            <w:r>
              <w:rPr>
                <w:rFonts w:hint="eastAsia" w:ascii="宋体" w:hAnsi="宋体" w:eastAsia="宋体" w:cs="宋体"/>
                <w:color w:val="000000"/>
                <w:kern w:val="0"/>
                <w:sz w:val="24"/>
                <w:szCs w:val="24"/>
                <w:highlight w:val="none"/>
                <w:lang w:val="en-US" w:eastAsia="zh-CN" w:bidi="ar"/>
              </w:rPr>
              <w:t>A4幅面</w:t>
            </w:r>
            <w:r>
              <w:rPr>
                <w:rFonts w:hint="eastAsia" w:ascii="宋体" w:hAnsi="宋体" w:eastAsia="宋体" w:cs="宋体"/>
                <w:color w:val="000000"/>
                <w:kern w:val="0"/>
                <w:sz w:val="24"/>
                <w:szCs w:val="24"/>
                <w:highlight w:val="none"/>
                <w:lang w:eastAsia="zh-CN" w:bidi="ar"/>
              </w:rPr>
              <w:t>），配套硒鼓</w:t>
            </w:r>
            <w:r>
              <w:rPr>
                <w:rFonts w:hint="eastAsia" w:ascii="宋体" w:hAnsi="宋体" w:eastAsia="宋体" w:cs="宋体"/>
                <w:color w:val="000000"/>
                <w:kern w:val="0"/>
                <w:sz w:val="24"/>
                <w:szCs w:val="24"/>
                <w:highlight w:val="none"/>
                <w:lang w:val="en-US" w:eastAsia="zh-CN" w:bidi="ar"/>
              </w:rPr>
              <w:t>4个</w:t>
            </w:r>
          </w:p>
        </w:tc>
      </w:tr>
      <w:tr w14:paraId="1577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675" w:type="dxa"/>
            <w:noWrap/>
            <w:vAlign w:val="center"/>
          </w:tcPr>
          <w:p w14:paraId="185740A6">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37</w:t>
            </w:r>
          </w:p>
        </w:tc>
        <w:tc>
          <w:tcPr>
            <w:tcW w:w="1908" w:type="dxa"/>
            <w:noWrap w:val="0"/>
            <w:vAlign w:val="center"/>
          </w:tcPr>
          <w:p w14:paraId="1ED23FD6">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全自动化学需氧量分析仪</w:t>
            </w:r>
          </w:p>
        </w:tc>
        <w:tc>
          <w:tcPr>
            <w:tcW w:w="683" w:type="dxa"/>
            <w:noWrap w:val="0"/>
            <w:vAlign w:val="center"/>
          </w:tcPr>
          <w:p w14:paraId="0311C35B">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825" w:type="dxa"/>
            <w:noWrap w:val="0"/>
            <w:vAlign w:val="center"/>
          </w:tcPr>
          <w:p w14:paraId="46875D8F">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0A9976E5">
            <w:pPr>
              <w:widowControl/>
              <w:numPr>
                <w:ilvl w:val="0"/>
                <w:numId w:val="8"/>
              </w:numPr>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基本要求</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适用于环境样品中化学需氧量的测定，符合《水质化学需氧量的测定重铬酸盐法》（HJ828-2017）的要求。</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2、技术参数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 检出限：≤4mg/L。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2.2 样品位数：≥30 位。</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2.3 消解：位数≥30 位。</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2.4 滴定终点判断：通过颜色变化自动判断终点。</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2.5 精密度≤5%，准确度≤±5%。</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2.6 试剂管路：独立通道。仪器具有自动清洗管路功能。</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2.7 安全防护监控：具有开机自检、故障自动报警停止、自动完成全</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过程分析功能。</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2.8 具有试剂余量监测、自动收集废液功能。</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3、主要配置要求</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3.1 主机 1 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3.2 循环冷却机 1 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3.3 工作站软件 1 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3.4 试剂耗材：试剂架 1 个、 试剂瓶 2 套、样品瓶、消解瓶至少 2 套、其它必须耗材、至少 3 套试剂包（包含重铬酸酸钾、硫酸银、硫酸汞、硫酸亚铁铵，质控样、标液各3套）</w:t>
            </w:r>
          </w:p>
          <w:p w14:paraId="51C24901">
            <w:pPr>
              <w:widowControl/>
              <w:jc w:val="left"/>
              <w:textAlignment w:val="top"/>
              <w:rPr>
                <w:rFonts w:ascii="宋体" w:hAnsi="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3.5</w:t>
            </w: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bidi="ar"/>
              </w:rPr>
              <w:t>电脑一台</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val="en-US" w:eastAsia="zh-CN" w:bidi="ar"/>
              </w:rPr>
              <w:t>23.8英寸显示器，内存不小于16GB，不小于512G固态硬盘</w:t>
            </w:r>
            <w:r>
              <w:rPr>
                <w:rFonts w:hint="eastAsia" w:ascii="宋体" w:hAnsi="宋体" w:eastAsia="宋体" w:cs="宋体"/>
                <w:color w:val="000000"/>
                <w:kern w:val="0"/>
                <w:sz w:val="24"/>
                <w:szCs w:val="24"/>
                <w:highlight w:val="none"/>
                <w:lang w:eastAsia="zh-CN" w:bidi="ar"/>
              </w:rPr>
              <w:t>）、打印机 1台 （ 可扫描复印、正反打印，支持</w:t>
            </w:r>
            <w:r>
              <w:rPr>
                <w:rFonts w:hint="eastAsia" w:ascii="宋体" w:hAnsi="宋体" w:eastAsia="宋体" w:cs="宋体"/>
                <w:color w:val="000000"/>
                <w:kern w:val="0"/>
                <w:sz w:val="24"/>
                <w:szCs w:val="24"/>
                <w:highlight w:val="none"/>
                <w:lang w:val="en-US" w:eastAsia="zh-CN" w:bidi="ar"/>
              </w:rPr>
              <w:t>A4幅面</w:t>
            </w:r>
            <w:r>
              <w:rPr>
                <w:rFonts w:hint="eastAsia" w:ascii="宋体" w:hAnsi="宋体" w:eastAsia="宋体" w:cs="宋体"/>
                <w:color w:val="000000"/>
                <w:kern w:val="0"/>
                <w:sz w:val="24"/>
                <w:szCs w:val="24"/>
                <w:highlight w:val="none"/>
                <w:lang w:eastAsia="zh-CN" w:bidi="ar"/>
              </w:rPr>
              <w:t>），配套硒鼓</w:t>
            </w:r>
            <w:r>
              <w:rPr>
                <w:rFonts w:hint="eastAsia" w:ascii="宋体" w:hAnsi="宋体" w:eastAsia="宋体" w:cs="宋体"/>
                <w:color w:val="000000"/>
                <w:kern w:val="0"/>
                <w:sz w:val="24"/>
                <w:szCs w:val="24"/>
                <w:highlight w:val="none"/>
                <w:lang w:val="en-US" w:eastAsia="zh-CN" w:bidi="ar"/>
              </w:rPr>
              <w:t>4个</w:t>
            </w:r>
          </w:p>
        </w:tc>
      </w:tr>
      <w:tr w14:paraId="063F4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675" w:type="dxa"/>
            <w:noWrap/>
            <w:vAlign w:val="center"/>
          </w:tcPr>
          <w:p w14:paraId="703EA8A8">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38</w:t>
            </w:r>
          </w:p>
        </w:tc>
        <w:tc>
          <w:tcPr>
            <w:tcW w:w="1908" w:type="dxa"/>
            <w:noWrap w:val="0"/>
            <w:vAlign w:val="center"/>
          </w:tcPr>
          <w:p w14:paraId="45769E82">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全自动高锰酸盐指数分析仪</w:t>
            </w:r>
          </w:p>
        </w:tc>
        <w:tc>
          <w:tcPr>
            <w:tcW w:w="683" w:type="dxa"/>
            <w:noWrap w:val="0"/>
            <w:vAlign w:val="center"/>
          </w:tcPr>
          <w:p w14:paraId="3965A4B6">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825" w:type="dxa"/>
            <w:noWrap w:val="0"/>
            <w:vAlign w:val="center"/>
          </w:tcPr>
          <w:p w14:paraId="538BB606">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03756692">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1、完全符合GB11892-89、GB/T 5750.7-2023、GB/T 5750.4-2023、GB/T 13025.7-2012标准方法的规定；适用于饮用水、水源水和地面水的高锰酸盐指数的检测，支持酸性和碱性分析，测定范围为0.05～5.0 mg/L。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2、采用三维机械臂技术，可实现不同位置样品的准确抓取和释放。</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3、仪器的消解单元包括不少于10位微沸水浴及水浴补水系统。采用微沸循环水浴消解，自动开合盖设计，有效防止水蒸气外逸无需额外配置通风系统。</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4、具备自动给排水功能，消解过程无需人为干预，仪器运行过程，自动给排水装置持续工作，维持水浴液位。</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5、水浴缺液报警及保护，具有水浴防干烧功能，水浴内置液位传感器，低于指定液位，仪器不执行加热操作。</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6、高灵敏度的检测单元，包含2个相互独立的检测通道，可快速准确地判断滴定终点。</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7、滴定过程需完全模拟手工法滴定，采用RGB颜色传感技术，完美还原人眼颜色识别，仪器需适用于水质总硬度、盐碘、水质氯化物等多种颜色滴定项目的分析。滴定过程实时记录显示传感器数据，非电压、电流及光度比色方式。检测位均配备样品杯探测传感器，防止试剂腐蚀仪器。</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8、≥45位样品盘，用于放置待测样品；</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9、仪器工作过程无需人工干预，自动完成试剂添加、水浴加热、颜色滴定、自动分析并计算结果</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10、工作站自动控制系统对全部工作站功能操作进行控制，软件运行于Windows操作系统，工作界面友好。软件按照功能提供优化操作条件，用户通过选择可实现自动完成全部样品预处理及检测过程。</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11、工作站支持不停机状态循环添加样品，可根据用户需求定制分析报告，测试数据支持Excel格式导出。</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12、高锰酸盐指数方法</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方法原理：酸性及碱性高锰酸钾滴定法</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线性范围：0.05-5.0mg/L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样品分析频率：平均3 ~4min/样</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精密度：≤3%（3mg/L葡萄糖质控）</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准确度：在质控样品规定的范围内</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13、全自动双道高锰酸盐指数分析仪配置清单</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全自动高锰酸盐指数分析仪（样品位数≥45位）      1套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工作站软件                                         1套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样品杯（定制）                                    120个</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备件包（泵管、接头、进样针等）                      1套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说明书（软件、仪器及方法说明）                      1套</w:t>
            </w:r>
            <w:r>
              <w:rPr>
                <w:rFonts w:hint="eastAsia" w:ascii="宋体" w:hAnsi="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电脑一台</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val="en-US" w:eastAsia="zh-CN" w:bidi="ar"/>
              </w:rPr>
              <w:t>23.8英寸显示器，内存不小于16GB，不小于512G固态硬盘</w:t>
            </w:r>
            <w:r>
              <w:rPr>
                <w:rFonts w:hint="eastAsia" w:ascii="宋体" w:hAnsi="宋体" w:eastAsia="宋体" w:cs="宋体"/>
                <w:color w:val="000000"/>
                <w:kern w:val="0"/>
                <w:sz w:val="24"/>
                <w:szCs w:val="24"/>
                <w:highlight w:val="none"/>
                <w:lang w:eastAsia="zh-CN" w:bidi="ar"/>
              </w:rPr>
              <w:t>）、打印机 1台 （ 可扫描复印、正反打印，支持</w:t>
            </w:r>
            <w:r>
              <w:rPr>
                <w:rFonts w:hint="eastAsia" w:ascii="宋体" w:hAnsi="宋体" w:eastAsia="宋体" w:cs="宋体"/>
                <w:color w:val="000000"/>
                <w:kern w:val="0"/>
                <w:sz w:val="24"/>
                <w:szCs w:val="24"/>
                <w:highlight w:val="none"/>
                <w:lang w:val="en-US" w:eastAsia="zh-CN" w:bidi="ar"/>
              </w:rPr>
              <w:t>A4幅面</w:t>
            </w:r>
            <w:r>
              <w:rPr>
                <w:rFonts w:hint="eastAsia" w:ascii="宋体" w:hAnsi="宋体" w:eastAsia="宋体" w:cs="宋体"/>
                <w:color w:val="000000"/>
                <w:kern w:val="0"/>
                <w:sz w:val="24"/>
                <w:szCs w:val="24"/>
                <w:highlight w:val="none"/>
                <w:lang w:eastAsia="zh-CN" w:bidi="ar"/>
              </w:rPr>
              <w:t>），配套硒鼓</w:t>
            </w:r>
            <w:r>
              <w:rPr>
                <w:rFonts w:hint="eastAsia" w:ascii="宋体" w:hAnsi="宋体" w:eastAsia="宋体" w:cs="宋体"/>
                <w:color w:val="000000"/>
                <w:kern w:val="0"/>
                <w:sz w:val="24"/>
                <w:szCs w:val="24"/>
                <w:highlight w:val="none"/>
                <w:lang w:val="en-US" w:eastAsia="zh-CN" w:bidi="ar"/>
              </w:rPr>
              <w:t>4个</w:t>
            </w:r>
            <w:r>
              <w:rPr>
                <w:rFonts w:hint="eastAsia" w:ascii="宋体" w:hAnsi="宋体" w:eastAsia="宋体" w:cs="宋体"/>
                <w:color w:val="000000"/>
                <w:kern w:val="0"/>
                <w:sz w:val="24"/>
                <w:szCs w:val="24"/>
                <w:highlight w:val="none"/>
                <w:lang w:bidi="ar"/>
              </w:rPr>
              <w:t xml:space="preserve">   </w:t>
            </w:r>
            <w:r>
              <w:rPr>
                <w:rFonts w:hint="eastAsia" w:ascii="宋体" w:hAnsi="宋体" w:cs="宋体"/>
                <w:color w:val="000000"/>
                <w:kern w:val="0"/>
                <w:sz w:val="24"/>
                <w:szCs w:val="24"/>
                <w:highlight w:val="none"/>
                <w:lang w:bidi="ar"/>
              </w:rPr>
              <w:t xml:space="preserve">                               </w:t>
            </w:r>
          </w:p>
        </w:tc>
      </w:tr>
      <w:tr w14:paraId="282C3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675" w:type="dxa"/>
            <w:noWrap/>
            <w:vAlign w:val="center"/>
          </w:tcPr>
          <w:p w14:paraId="5E9D8488">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39</w:t>
            </w:r>
          </w:p>
        </w:tc>
        <w:tc>
          <w:tcPr>
            <w:tcW w:w="1908" w:type="dxa"/>
            <w:noWrap w:val="0"/>
            <w:vAlign w:val="center"/>
          </w:tcPr>
          <w:p w14:paraId="3AA05A39">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离子色谱仪</w:t>
            </w:r>
          </w:p>
        </w:tc>
        <w:tc>
          <w:tcPr>
            <w:tcW w:w="683" w:type="dxa"/>
            <w:noWrap w:val="0"/>
            <w:vAlign w:val="center"/>
          </w:tcPr>
          <w:p w14:paraId="6C6150B5">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825" w:type="dxa"/>
            <w:noWrap w:val="0"/>
            <w:vAlign w:val="center"/>
          </w:tcPr>
          <w:p w14:paraId="354D7797">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7B92D41F">
            <w:pPr>
              <w:widowControl/>
              <w:numPr>
                <w:ilvl w:val="0"/>
                <w:numId w:val="9"/>
              </w:numPr>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基础参数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1、基本要求：用于环境样品中阴离子、阳离子的分析。包含阳离子、阴离子双通道。</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2色谱泵</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2.1采用惰性非金属泵头，PEEK管路，适合pH范围为0~14的淋洗液及反相有机溶剂。</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2.2泵耐压：0-35MPa（5000psi）。</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2.3流量设定误差≤0.2%。</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2.4流量精度＜0.2%。</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2.5泵头清洗装置：可自动清洗双柱塞泵头。</w:t>
            </w:r>
          </w:p>
          <w:p w14:paraId="311CD991">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2.6 泵系统：双柱塞泵，由1个及以上的电机驱动。</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3温控柱箱</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3.1柱温箱温度范围：室温＋5℃~80℃。</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3.2温度设定值误差：≤0.1℃。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3.3温度稳定性：≤0.1℃/h。</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4抑制器：利用连续自动再生微膜抑制技术。</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5电导检测器</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5.1分辨率≤0.001nS/cm。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5.2量程：0～50000</w:t>
            </w:r>
            <w:r>
              <w:rPr>
                <w:rStyle w:val="29"/>
                <w:rFonts w:hint="default"/>
                <w:sz w:val="24"/>
                <w:szCs w:val="24"/>
                <w:highlight w:val="none"/>
                <w:lang w:bidi="ar"/>
              </w:rPr>
              <w:t>µS/cm。</w:t>
            </w:r>
            <w:r>
              <w:rPr>
                <w:rStyle w:val="29"/>
                <w:rFonts w:hint="default"/>
                <w:sz w:val="24"/>
                <w:szCs w:val="24"/>
                <w:highlight w:val="none"/>
                <w:lang w:bidi="ar"/>
              </w:rPr>
              <w:br w:type="textWrapping"/>
            </w:r>
            <w:r>
              <w:rPr>
                <w:rStyle w:val="29"/>
                <w:rFonts w:hint="default"/>
                <w:sz w:val="24"/>
                <w:szCs w:val="24"/>
                <w:highlight w:val="none"/>
                <w:lang w:bidi="ar"/>
              </w:rPr>
              <w:t>5.3基线噪音≤0.0001µS。</w:t>
            </w:r>
            <w:r>
              <w:rPr>
                <w:rStyle w:val="29"/>
                <w:rFonts w:hint="default"/>
                <w:sz w:val="24"/>
                <w:szCs w:val="24"/>
                <w:highlight w:val="none"/>
                <w:lang w:bidi="ar"/>
              </w:rPr>
              <w:br w:type="textWrapping"/>
            </w:r>
            <w:r>
              <w:rPr>
                <w:rStyle w:val="29"/>
                <w:rFonts w:hint="default"/>
                <w:sz w:val="24"/>
                <w:szCs w:val="24"/>
                <w:highlight w:val="none"/>
                <w:lang w:bidi="ar"/>
              </w:rPr>
              <w:t>5.4最小检测浓度：阴离子Cl-≤0.0005µg/ml；阳离子Li+≤0.0001µg/ml。</w:t>
            </w:r>
            <w:r>
              <w:rPr>
                <w:rStyle w:val="29"/>
                <w:rFonts w:hint="default"/>
                <w:sz w:val="24"/>
                <w:szCs w:val="24"/>
                <w:highlight w:val="none"/>
                <w:lang w:bidi="ar"/>
              </w:rPr>
              <w:br w:type="textWrapping"/>
            </w:r>
            <w:r>
              <w:rPr>
                <w:rStyle w:val="29"/>
                <w:rFonts w:hint="default"/>
                <w:sz w:val="24"/>
                <w:szCs w:val="24"/>
                <w:highlight w:val="none"/>
                <w:lang w:bidi="ar"/>
              </w:rPr>
              <w:t>5.5测温精度≤0.001℃。</w:t>
            </w:r>
            <w:r>
              <w:rPr>
                <w:rStyle w:val="29"/>
                <w:rFonts w:hint="default"/>
                <w:sz w:val="24"/>
                <w:szCs w:val="24"/>
                <w:highlight w:val="none"/>
                <w:lang w:bidi="ar"/>
              </w:rPr>
              <w:br w:type="textWrapping"/>
            </w:r>
            <w:r>
              <w:rPr>
                <w:rStyle w:val="29"/>
                <w:rFonts w:hint="default"/>
                <w:sz w:val="24"/>
                <w:szCs w:val="24"/>
                <w:highlight w:val="none"/>
                <w:lang w:bidi="ar"/>
              </w:rPr>
              <w:t>5.6电导池耐压&gt;10MPa。</w:t>
            </w:r>
            <w:r>
              <w:rPr>
                <w:rStyle w:val="29"/>
                <w:rFonts w:hint="default"/>
                <w:sz w:val="24"/>
                <w:szCs w:val="24"/>
                <w:highlight w:val="none"/>
                <w:lang w:bidi="ar"/>
              </w:rPr>
              <w:br w:type="textWrapping"/>
            </w:r>
            <w:r>
              <w:rPr>
                <w:rStyle w:val="29"/>
                <w:rFonts w:hint="default"/>
                <w:sz w:val="24"/>
                <w:szCs w:val="24"/>
                <w:highlight w:val="none"/>
                <w:lang w:bidi="ar"/>
              </w:rPr>
              <w:t>6自动进样器</w:t>
            </w:r>
            <w:r>
              <w:rPr>
                <w:rStyle w:val="29"/>
                <w:rFonts w:hint="default"/>
                <w:sz w:val="24"/>
                <w:szCs w:val="24"/>
                <w:highlight w:val="none"/>
                <w:lang w:bidi="ar"/>
              </w:rPr>
              <w:br w:type="textWrapping"/>
            </w:r>
            <w:r>
              <w:rPr>
                <w:rStyle w:val="29"/>
                <w:rFonts w:hint="default"/>
                <w:sz w:val="24"/>
                <w:szCs w:val="24"/>
                <w:highlight w:val="none"/>
                <w:lang w:bidi="ar"/>
              </w:rPr>
              <w:t>6.1类型：自动进样器。</w:t>
            </w:r>
            <w:r>
              <w:rPr>
                <w:rStyle w:val="29"/>
                <w:rFonts w:hint="default"/>
                <w:sz w:val="24"/>
                <w:szCs w:val="24"/>
                <w:highlight w:val="none"/>
                <w:lang w:bidi="ar"/>
              </w:rPr>
              <w:br w:type="textWrapping"/>
            </w:r>
            <w:r>
              <w:rPr>
                <w:rStyle w:val="29"/>
                <w:rFonts w:hint="default"/>
                <w:sz w:val="24"/>
                <w:szCs w:val="24"/>
                <w:highlight w:val="none"/>
                <w:lang w:bidi="ar"/>
              </w:rPr>
              <w:t>6.2样品位数≥100位（2mL样品瓶）。</w:t>
            </w:r>
            <w:r>
              <w:rPr>
                <w:rStyle w:val="29"/>
                <w:rFonts w:hint="default"/>
                <w:sz w:val="24"/>
                <w:szCs w:val="24"/>
                <w:highlight w:val="none"/>
                <w:lang w:bidi="ar"/>
              </w:rPr>
              <w:br w:type="textWrapping"/>
            </w:r>
            <w:r>
              <w:rPr>
                <w:rStyle w:val="29"/>
                <w:rFonts w:hint="default"/>
                <w:sz w:val="24"/>
                <w:szCs w:val="24"/>
                <w:highlight w:val="none"/>
                <w:lang w:bidi="ar"/>
              </w:rPr>
              <w:t>6.3进样量：1～2500μL，可软件设置不同进样体积。</w:t>
            </w:r>
            <w:r>
              <w:rPr>
                <w:rStyle w:val="29"/>
                <w:rFonts w:hint="default"/>
                <w:sz w:val="24"/>
                <w:szCs w:val="24"/>
                <w:highlight w:val="none"/>
                <w:lang w:bidi="ar"/>
              </w:rPr>
              <w:br w:type="textWrapping"/>
            </w:r>
            <w:r>
              <w:rPr>
                <w:rStyle w:val="29"/>
                <w:rFonts w:hint="default"/>
                <w:sz w:val="24"/>
                <w:szCs w:val="24"/>
                <w:highlight w:val="none"/>
                <w:lang w:bidi="ar"/>
              </w:rPr>
              <w:t>6.4重复性&lt;0.5%。</w:t>
            </w:r>
            <w:r>
              <w:rPr>
                <w:rStyle w:val="29"/>
                <w:rFonts w:hint="default"/>
                <w:sz w:val="24"/>
                <w:szCs w:val="24"/>
                <w:highlight w:val="none"/>
                <w:lang w:bidi="ar"/>
              </w:rPr>
              <w:br w:type="textWrapping"/>
            </w:r>
            <w:r>
              <w:rPr>
                <w:rStyle w:val="29"/>
                <w:rFonts w:hint="default"/>
                <w:sz w:val="24"/>
                <w:szCs w:val="24"/>
                <w:highlight w:val="none"/>
                <w:lang w:bidi="ar"/>
              </w:rPr>
              <w:t>7在线电解淋洗液发生器</w:t>
            </w:r>
            <w:r>
              <w:rPr>
                <w:rStyle w:val="29"/>
                <w:rFonts w:hint="default"/>
                <w:sz w:val="24"/>
                <w:szCs w:val="24"/>
                <w:highlight w:val="none"/>
                <w:lang w:bidi="ar"/>
              </w:rPr>
              <w:br w:type="textWrapping"/>
            </w:r>
            <w:r>
              <w:rPr>
                <w:rStyle w:val="29"/>
                <w:rFonts w:hint="default"/>
                <w:sz w:val="24"/>
                <w:szCs w:val="24"/>
                <w:highlight w:val="none"/>
                <w:lang w:bidi="ar"/>
              </w:rPr>
              <w:t>7.1洗液发生器耐压3000psi。</w:t>
            </w:r>
            <w:r>
              <w:rPr>
                <w:rStyle w:val="29"/>
                <w:rFonts w:hint="default"/>
                <w:sz w:val="24"/>
                <w:szCs w:val="24"/>
                <w:highlight w:val="none"/>
                <w:lang w:bidi="ar"/>
              </w:rPr>
              <w:br w:type="textWrapping"/>
            </w:r>
            <w:r>
              <w:rPr>
                <w:rStyle w:val="29"/>
                <w:rFonts w:hint="default"/>
                <w:sz w:val="24"/>
                <w:szCs w:val="24"/>
                <w:highlight w:val="none"/>
                <w:lang w:bidi="ar"/>
              </w:rPr>
              <w:t>7.2梯度程序：等度、梯度自由切换。</w:t>
            </w:r>
            <w:r>
              <w:rPr>
                <w:rStyle w:val="29"/>
                <w:rFonts w:hint="default"/>
                <w:sz w:val="24"/>
                <w:szCs w:val="24"/>
                <w:highlight w:val="none"/>
                <w:lang w:bidi="ar"/>
              </w:rPr>
              <w:br w:type="textWrapping"/>
            </w:r>
            <w:r>
              <w:rPr>
                <w:rStyle w:val="29"/>
                <w:rFonts w:hint="default"/>
                <w:sz w:val="24"/>
                <w:szCs w:val="24"/>
                <w:highlight w:val="none"/>
                <w:lang w:bidi="ar"/>
              </w:rPr>
              <w:t>7.3梯度产生：高压梯度，梯度产生在泵后高压区，梯度延迟体积小，梯度延迟时间短。</w:t>
            </w:r>
            <w:r>
              <w:rPr>
                <w:rStyle w:val="29"/>
                <w:rFonts w:hint="default"/>
                <w:sz w:val="24"/>
                <w:szCs w:val="24"/>
                <w:highlight w:val="none"/>
                <w:lang w:bidi="ar"/>
              </w:rPr>
              <w:br w:type="textWrapping"/>
            </w:r>
            <w:r>
              <w:rPr>
                <w:rStyle w:val="29"/>
                <w:rFonts w:hint="default"/>
                <w:sz w:val="24"/>
                <w:szCs w:val="24"/>
                <w:highlight w:val="none"/>
                <w:lang w:bidi="ar"/>
              </w:rPr>
              <w:t>7.4产生方式：利用电解产生的H+或OH-在线生成酸性或碱性淋洗液，而非通过加液单元进行不同溶液间的在线混合或稀释产生。</w:t>
            </w:r>
            <w:r>
              <w:rPr>
                <w:rStyle w:val="29"/>
                <w:rFonts w:hint="default"/>
                <w:sz w:val="24"/>
                <w:szCs w:val="24"/>
                <w:highlight w:val="none"/>
                <w:lang w:bidi="ar"/>
              </w:rPr>
              <w:br w:type="textWrapping"/>
            </w:r>
            <w:r>
              <w:rPr>
                <w:rStyle w:val="29"/>
                <w:rFonts w:hint="default"/>
                <w:sz w:val="24"/>
                <w:szCs w:val="24"/>
                <w:highlight w:val="none"/>
                <w:lang w:bidi="ar"/>
              </w:rPr>
              <w:t>7.5标配连续电解自动再生捕获柱，进一步净化淋洗液。</w:t>
            </w:r>
            <w:r>
              <w:rPr>
                <w:rStyle w:val="29"/>
                <w:rFonts w:hint="default"/>
                <w:sz w:val="24"/>
                <w:szCs w:val="24"/>
                <w:highlight w:val="none"/>
                <w:lang w:bidi="ar"/>
              </w:rPr>
              <w:br w:type="textWrapping"/>
            </w:r>
            <w:r>
              <w:rPr>
                <w:rStyle w:val="29"/>
                <w:rFonts w:hint="default"/>
                <w:sz w:val="24"/>
                <w:szCs w:val="24"/>
                <w:highlight w:val="none"/>
                <w:lang w:bidi="ar"/>
              </w:rPr>
              <w:t>7.6标配高压自动脱气装置，进行淋洗液脱气。</w:t>
            </w:r>
            <w:r>
              <w:rPr>
                <w:rStyle w:val="29"/>
                <w:rFonts w:hint="default"/>
                <w:sz w:val="24"/>
                <w:szCs w:val="24"/>
                <w:highlight w:val="none"/>
                <w:lang w:bidi="ar"/>
              </w:rPr>
              <w:br w:type="textWrapping"/>
            </w:r>
            <w:r>
              <w:rPr>
                <w:rStyle w:val="29"/>
                <w:rFonts w:hint="default"/>
                <w:sz w:val="24"/>
                <w:szCs w:val="24"/>
                <w:highlight w:val="none"/>
                <w:lang w:bidi="ar"/>
              </w:rPr>
              <w:t>7.7软件控制：在软件中直接输入所需淋洗液浓度，而非编写百分比等其他非浓度参数。</w:t>
            </w:r>
            <w:r>
              <w:rPr>
                <w:rStyle w:val="29"/>
                <w:rFonts w:hint="default"/>
                <w:sz w:val="24"/>
                <w:szCs w:val="24"/>
                <w:highlight w:val="none"/>
                <w:lang w:bidi="ar"/>
              </w:rPr>
              <w:br w:type="textWrapping"/>
            </w:r>
            <w:r>
              <w:rPr>
                <w:rStyle w:val="29"/>
                <w:rFonts w:hint="default"/>
                <w:sz w:val="24"/>
                <w:szCs w:val="24"/>
                <w:highlight w:val="none"/>
                <w:lang w:bidi="ar"/>
              </w:rPr>
              <w:t>8色谱工作站</w:t>
            </w:r>
            <w:r>
              <w:rPr>
                <w:rStyle w:val="29"/>
                <w:rFonts w:hint="default"/>
                <w:sz w:val="24"/>
                <w:szCs w:val="24"/>
                <w:highlight w:val="none"/>
                <w:lang w:bidi="ar"/>
              </w:rPr>
              <w:br w:type="textWrapping"/>
            </w:r>
            <w:r>
              <w:rPr>
                <w:rStyle w:val="29"/>
                <w:rFonts w:hint="default"/>
                <w:sz w:val="24"/>
                <w:szCs w:val="24"/>
                <w:highlight w:val="none"/>
                <w:lang w:bidi="ar"/>
              </w:rPr>
              <w:t>8.1色谱工作站可完全同时控制前述整套仪器，包括独立自动进样器、高压输液泵、淋洗液发生器等，设定所有参数，可以实时采集数据并显示色谱图采集信号，自动计算各组分的浓度。</w:t>
            </w:r>
            <w:r>
              <w:rPr>
                <w:rStyle w:val="29"/>
                <w:rFonts w:hint="default"/>
                <w:sz w:val="24"/>
                <w:szCs w:val="24"/>
                <w:highlight w:val="none"/>
                <w:lang w:bidi="ar"/>
              </w:rPr>
              <w:br w:type="textWrapping"/>
            </w:r>
            <w:r>
              <w:rPr>
                <w:rStyle w:val="29"/>
                <w:rFonts w:hint="default"/>
                <w:sz w:val="24"/>
                <w:szCs w:val="24"/>
                <w:highlight w:val="none"/>
                <w:lang w:bidi="ar"/>
              </w:rPr>
              <w:t>8.2具备批量处理样品数据功能：在样品列表中选择需处理的样品，可一键完成数据处理、一键生成报告。</w:t>
            </w:r>
            <w:r>
              <w:rPr>
                <w:rStyle w:val="29"/>
                <w:rFonts w:hint="default"/>
                <w:sz w:val="24"/>
                <w:szCs w:val="24"/>
                <w:highlight w:val="none"/>
                <w:lang w:bidi="ar"/>
              </w:rPr>
              <w:br w:type="textWrapping"/>
            </w:r>
            <w:r>
              <w:rPr>
                <w:rStyle w:val="29"/>
                <w:rFonts w:hint="default"/>
                <w:sz w:val="24"/>
                <w:szCs w:val="24"/>
                <w:highlight w:val="none"/>
                <w:lang w:bidi="ar"/>
              </w:rPr>
              <w:t>8.3智能填充功能：在列表中，相同的参数信息只需输入一次，其他样品的参数可智能填充，无需手动多次重复输入；可填充的信息包括样品名的前缀后缀、样品位置、进样量、标准点浓度等信息。</w:t>
            </w:r>
            <w:r>
              <w:rPr>
                <w:rStyle w:val="29"/>
                <w:rFonts w:hint="default"/>
                <w:sz w:val="24"/>
                <w:szCs w:val="24"/>
                <w:highlight w:val="none"/>
                <w:lang w:bidi="ar"/>
              </w:rPr>
              <w:br w:type="textWrapping"/>
            </w:r>
            <w:r>
              <w:rPr>
                <w:rStyle w:val="29"/>
                <w:rFonts w:hint="default"/>
                <w:sz w:val="24"/>
                <w:szCs w:val="24"/>
                <w:highlight w:val="none"/>
                <w:lang w:bidi="ar"/>
              </w:rPr>
              <w:t>8.4扩展功能：离子色谱须能与原子荧光、ICPMS、UV/VIS、荧光检测器等多种仪器设备联用（同时支持软件、硬件联接），能升级为形态分析、极性荧光有机物分析等。</w:t>
            </w:r>
            <w:r>
              <w:rPr>
                <w:rStyle w:val="29"/>
                <w:rFonts w:hint="default"/>
                <w:sz w:val="24"/>
                <w:szCs w:val="24"/>
                <w:highlight w:val="none"/>
                <w:lang w:bidi="ar"/>
              </w:rPr>
              <w:br w:type="textWrapping"/>
            </w:r>
            <w:r>
              <w:rPr>
                <w:rStyle w:val="29"/>
                <w:rFonts w:hint="default"/>
                <w:sz w:val="24"/>
                <w:szCs w:val="24"/>
                <w:highlight w:val="none"/>
                <w:lang w:bidi="ar"/>
              </w:rPr>
              <w:t>9配置要求</w:t>
            </w:r>
            <w:r>
              <w:rPr>
                <w:rStyle w:val="29"/>
                <w:rFonts w:hint="default"/>
                <w:sz w:val="24"/>
                <w:szCs w:val="24"/>
                <w:highlight w:val="none"/>
                <w:lang w:bidi="ar"/>
              </w:rPr>
              <w:br w:type="textWrapping"/>
            </w:r>
            <w:r>
              <w:rPr>
                <w:rStyle w:val="29"/>
                <w:rFonts w:hint="default"/>
                <w:sz w:val="24"/>
                <w:szCs w:val="24"/>
                <w:highlight w:val="none"/>
                <w:lang w:bidi="ar"/>
              </w:rPr>
              <w:t>9.1主机，包括泵、电导检测器、电导池、温控柱箱等，1套</w:t>
            </w:r>
            <w:r>
              <w:rPr>
                <w:rStyle w:val="29"/>
                <w:rFonts w:hint="default"/>
                <w:sz w:val="24"/>
                <w:szCs w:val="24"/>
                <w:highlight w:val="none"/>
                <w:lang w:bidi="ar"/>
              </w:rPr>
              <w:br w:type="textWrapping"/>
            </w:r>
            <w:r>
              <w:rPr>
                <w:rStyle w:val="29"/>
                <w:rFonts w:hint="default"/>
                <w:sz w:val="24"/>
                <w:szCs w:val="24"/>
                <w:highlight w:val="none"/>
                <w:lang w:bidi="ar"/>
              </w:rPr>
              <w:t>9.2 100位或者以上的自动进样器，1套</w:t>
            </w:r>
            <w:r>
              <w:rPr>
                <w:rStyle w:val="29"/>
                <w:rFonts w:hint="default"/>
                <w:sz w:val="24"/>
                <w:szCs w:val="24"/>
                <w:highlight w:val="none"/>
                <w:lang w:bidi="ar"/>
              </w:rPr>
              <w:br w:type="textWrapping"/>
            </w:r>
            <w:r>
              <w:rPr>
                <w:rStyle w:val="29"/>
                <w:rFonts w:hint="default"/>
                <w:sz w:val="24"/>
                <w:szCs w:val="24"/>
                <w:highlight w:val="none"/>
                <w:lang w:bidi="ar"/>
              </w:rPr>
              <w:t>9.3色谱工作站软件，1套</w:t>
            </w:r>
            <w:r>
              <w:rPr>
                <w:rStyle w:val="29"/>
                <w:rFonts w:hint="default"/>
                <w:sz w:val="24"/>
                <w:szCs w:val="24"/>
                <w:highlight w:val="none"/>
                <w:lang w:bidi="ar"/>
              </w:rPr>
              <w:br w:type="textWrapping"/>
            </w:r>
            <w:r>
              <w:rPr>
                <w:rStyle w:val="29"/>
                <w:rFonts w:hint="default"/>
                <w:sz w:val="24"/>
                <w:szCs w:val="24"/>
                <w:highlight w:val="none"/>
                <w:lang w:bidi="ar"/>
              </w:rPr>
              <w:t>9.4阴离子分析柱和保护柱，1套</w:t>
            </w:r>
            <w:r>
              <w:rPr>
                <w:rStyle w:val="29"/>
                <w:rFonts w:hint="default"/>
                <w:sz w:val="24"/>
                <w:szCs w:val="24"/>
                <w:highlight w:val="none"/>
                <w:lang w:bidi="ar"/>
              </w:rPr>
              <w:br w:type="textWrapping"/>
            </w:r>
            <w:r>
              <w:rPr>
                <w:rStyle w:val="29"/>
                <w:rFonts w:hint="default"/>
                <w:sz w:val="24"/>
                <w:szCs w:val="24"/>
                <w:highlight w:val="none"/>
                <w:lang w:bidi="ar"/>
              </w:rPr>
              <w:t>9.5阴离子抑制器，1套</w:t>
            </w:r>
            <w:r>
              <w:rPr>
                <w:rStyle w:val="29"/>
                <w:rFonts w:hint="default"/>
                <w:sz w:val="24"/>
                <w:szCs w:val="24"/>
                <w:highlight w:val="none"/>
                <w:lang w:bidi="ar"/>
              </w:rPr>
              <w:br w:type="textWrapping"/>
            </w:r>
            <w:r>
              <w:rPr>
                <w:rStyle w:val="29"/>
                <w:rFonts w:hint="default"/>
                <w:sz w:val="24"/>
                <w:szCs w:val="24"/>
                <w:highlight w:val="none"/>
                <w:lang w:bidi="ar"/>
              </w:rPr>
              <w:t>9.6阳离子分析柱和保护柱，1套</w:t>
            </w:r>
            <w:r>
              <w:rPr>
                <w:rStyle w:val="29"/>
                <w:rFonts w:hint="default"/>
                <w:sz w:val="24"/>
                <w:szCs w:val="24"/>
                <w:highlight w:val="none"/>
                <w:lang w:bidi="ar"/>
              </w:rPr>
              <w:br w:type="textWrapping"/>
            </w:r>
            <w:r>
              <w:rPr>
                <w:rStyle w:val="29"/>
                <w:rFonts w:hint="default"/>
                <w:sz w:val="24"/>
                <w:szCs w:val="24"/>
                <w:highlight w:val="none"/>
                <w:lang w:bidi="ar"/>
              </w:rPr>
              <w:t>9.7阳离子抑制器，1套</w:t>
            </w:r>
            <w:r>
              <w:rPr>
                <w:rStyle w:val="29"/>
                <w:rFonts w:hint="default"/>
                <w:sz w:val="24"/>
                <w:szCs w:val="24"/>
                <w:highlight w:val="none"/>
                <w:lang w:bidi="ar"/>
              </w:rPr>
              <w:br w:type="textWrapping"/>
            </w:r>
            <w:r>
              <w:rPr>
                <w:rStyle w:val="29"/>
                <w:rFonts w:hint="default"/>
                <w:sz w:val="24"/>
                <w:szCs w:val="24"/>
                <w:highlight w:val="none"/>
                <w:lang w:bidi="ar"/>
              </w:rPr>
              <w:t>9.8氢氧根淋洗液发生器，1套</w:t>
            </w:r>
            <w:r>
              <w:rPr>
                <w:rStyle w:val="29"/>
                <w:rFonts w:hint="default"/>
                <w:sz w:val="24"/>
                <w:szCs w:val="24"/>
                <w:highlight w:val="none"/>
                <w:lang w:bidi="ar"/>
              </w:rPr>
              <w:br w:type="textWrapping"/>
            </w:r>
            <w:r>
              <w:rPr>
                <w:rStyle w:val="29"/>
                <w:rFonts w:hint="default"/>
                <w:sz w:val="24"/>
                <w:szCs w:val="24"/>
                <w:highlight w:val="none"/>
                <w:lang w:bidi="ar"/>
              </w:rPr>
              <w:t>9.9安装包、备品备件（包括常用管路、进样瓶、接头以及工具），1套</w:t>
            </w:r>
            <w:r>
              <w:rPr>
                <w:rStyle w:val="29"/>
                <w:rFonts w:hint="default"/>
                <w:sz w:val="24"/>
                <w:szCs w:val="24"/>
                <w:highlight w:val="none"/>
                <w:lang w:bidi="ar"/>
              </w:rPr>
              <w:br w:type="textWrapping"/>
            </w:r>
            <w:r>
              <w:rPr>
                <w:rStyle w:val="29"/>
                <w:rFonts w:hint="default"/>
                <w:sz w:val="24"/>
                <w:szCs w:val="24"/>
                <w:highlight w:val="none"/>
                <w:lang w:bidi="ar"/>
              </w:rPr>
              <w:t>9.10技术资料（包括仪器说明书、合格证等），1套</w:t>
            </w:r>
            <w:r>
              <w:rPr>
                <w:rStyle w:val="29"/>
                <w:rFonts w:hint="default"/>
                <w:sz w:val="24"/>
                <w:szCs w:val="24"/>
                <w:highlight w:val="none"/>
                <w:lang w:bidi="ar"/>
              </w:rPr>
              <w:br w:type="textWrapping"/>
            </w:r>
            <w:r>
              <w:rPr>
                <w:rStyle w:val="29"/>
                <w:rFonts w:hint="default"/>
                <w:sz w:val="24"/>
                <w:szCs w:val="24"/>
                <w:highlight w:val="none"/>
                <w:lang w:bidi="ar"/>
              </w:rPr>
              <w:t>9.11</w:t>
            </w:r>
            <w:r>
              <w:rPr>
                <w:rStyle w:val="29"/>
                <w:rFonts w:hint="eastAsia"/>
                <w:sz w:val="24"/>
                <w:szCs w:val="24"/>
                <w:highlight w:val="none"/>
                <w:lang w:bidi="ar"/>
              </w:rPr>
              <w:t>电脑一台</w:t>
            </w:r>
            <w:r>
              <w:rPr>
                <w:rStyle w:val="29"/>
                <w:rFonts w:hint="eastAsia"/>
                <w:sz w:val="24"/>
                <w:szCs w:val="24"/>
                <w:highlight w:val="none"/>
                <w:lang w:eastAsia="zh-CN" w:bidi="ar"/>
              </w:rPr>
              <w:t>（</w:t>
            </w:r>
            <w:r>
              <w:rPr>
                <w:rStyle w:val="29"/>
                <w:rFonts w:hint="eastAsia"/>
                <w:sz w:val="24"/>
                <w:szCs w:val="24"/>
                <w:highlight w:val="none"/>
                <w:lang w:val="en-US" w:eastAsia="zh-CN" w:bidi="ar"/>
              </w:rPr>
              <w:t>23.8英寸显示器，内存不小于16GB，不小于512G固态硬盘</w:t>
            </w:r>
            <w:r>
              <w:rPr>
                <w:rStyle w:val="29"/>
                <w:rFonts w:hint="eastAsia"/>
                <w:sz w:val="24"/>
                <w:szCs w:val="24"/>
                <w:highlight w:val="none"/>
                <w:lang w:eastAsia="zh-CN" w:bidi="ar"/>
              </w:rPr>
              <w:t>）、打印机 1台 （ 可扫描复印、正反打印，支持</w:t>
            </w:r>
            <w:r>
              <w:rPr>
                <w:rStyle w:val="29"/>
                <w:rFonts w:hint="eastAsia"/>
                <w:sz w:val="24"/>
                <w:szCs w:val="24"/>
                <w:highlight w:val="none"/>
                <w:lang w:val="en-US" w:eastAsia="zh-CN" w:bidi="ar"/>
              </w:rPr>
              <w:t>A4幅面</w:t>
            </w:r>
            <w:r>
              <w:rPr>
                <w:rStyle w:val="29"/>
                <w:rFonts w:hint="eastAsia"/>
                <w:sz w:val="24"/>
                <w:szCs w:val="24"/>
                <w:highlight w:val="none"/>
                <w:lang w:eastAsia="zh-CN" w:bidi="ar"/>
              </w:rPr>
              <w:t>），配套硒鼓</w:t>
            </w:r>
            <w:r>
              <w:rPr>
                <w:rStyle w:val="29"/>
                <w:rFonts w:hint="eastAsia"/>
                <w:sz w:val="24"/>
                <w:szCs w:val="24"/>
                <w:highlight w:val="none"/>
                <w:lang w:val="en-US" w:eastAsia="zh-CN" w:bidi="ar"/>
              </w:rPr>
              <w:t>4个</w:t>
            </w:r>
          </w:p>
        </w:tc>
      </w:tr>
      <w:tr w14:paraId="725E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noWrap/>
            <w:vAlign w:val="center"/>
          </w:tcPr>
          <w:p w14:paraId="5E22C365">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40</w:t>
            </w:r>
          </w:p>
        </w:tc>
        <w:tc>
          <w:tcPr>
            <w:tcW w:w="1908" w:type="dxa"/>
            <w:noWrap w:val="0"/>
            <w:vAlign w:val="center"/>
          </w:tcPr>
          <w:p w14:paraId="15D2B86C">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恒温恒湿称量系统（带十万分之一天平）</w:t>
            </w:r>
          </w:p>
        </w:tc>
        <w:tc>
          <w:tcPr>
            <w:tcW w:w="683" w:type="dxa"/>
            <w:noWrap w:val="0"/>
            <w:vAlign w:val="center"/>
          </w:tcPr>
          <w:p w14:paraId="0AA8A005">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825" w:type="dxa"/>
            <w:noWrap w:val="0"/>
            <w:vAlign w:val="center"/>
          </w:tcPr>
          <w:p w14:paraId="69781319">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2EA6E5AE">
            <w:pPr>
              <w:widowControl/>
              <w:numPr>
                <w:ilvl w:val="0"/>
                <w:numId w:val="10"/>
              </w:numPr>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产品用途：</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按照环保部HJ 656-2013、HJ 618-2013和HJ 836-2017等标准要求，是空气颗粒物滤膜或固定污染源低浓度采样头称重和分析质控环节的重要装备。用于环境空气和固定污染源中采样滤膜高精度的称量以及源解析项目中，</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 技术要求：</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2.1称重系统箱门为全框透明窗口，窗口设有两个操作孔，采用防静电手套，避免人工操作过程中对恒温恒湿条件的影响；</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2.2称重系统外壳采用优质镀锌钢板，磷化静电喷塑处理，内胆采用304不锈钢优质镜面光板或拉丝板；</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2.3温湿度控制仪表采用7寸液晶触摸屏，操作方便简单，能实现手动PID控制及PID自整定功能；带有自动调温方式，确保温控器精度；</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2.4设备设有加湿管空烧保护、加热丝空烧保护、压缩机过流保护、压缩机高压保护、缺水保护等保护功能，进入保护状态后，将自动关闭设备，并有提示功能确保系统安全可靠；</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2.5箱体内有冷、热气流风道，由风机运转加强气体循环流畅，提高工作室内温湿度的均匀性；</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2.6制冷系统单配一个独立机箱，避免压缩机在启动时产生的震动影响到箱体内天平的稳定；</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2.7滤膜放置架采用可旋转圆形架，可对圆盘中任何位置的滤膜进行称量；</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2.8实时追踪称重完成情况，全程显示温湿度趋势曲线；</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2.9系统有故障时，可显示故障信息、故障原因及解决方法等；</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 技术指标：</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3.1温 度：(15~30）℃    分辨率：0.01℃ 最大允许误差：±1℃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3.2湿 度：(30-60）%RH（默认50%RH）  分辨率：0.1%RH   最大允许误差：±3%RH</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3.3天平参数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3.3.1.最大称量值：42/120 g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3.3.2.可读性：0.01mg/0.1mg</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3.3.3.重复性：0.0125mg（5%载荷）</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3.3.4.线性偏载：0.06mg</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3.3.5.秤盘直径：φ80mm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3.3.6.最小称量值：25mg（USP，允差=0.10%）2.5mg（允差=1%）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3.3.7.典型稳定时间：2s</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3.3.8内置8种应用程序，满足基础称量、密度、配方、统计等各种称量需求</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3.3.7采用全自动校准技术(FACT)，温度漂移和时间触发的全自动校正，可实现不需要人工干预的全自动内部校准，避免忘记校准所带来的称量风险</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3.3.8双量程双精度，精确度可自动切换</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3.3.9具有水平向导功能，在天平未处于水平时提出声音警告，并提示调节引导，方便快速调节天平水平。</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3.3.10需采用7英寸彩色电容触摸屏，方便称量数据读取以及天平的设置修改。需兼容手套模式，戴手套也可以精准的操作天平</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 标准配置：</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主机、压缩机、电子天平、样品托架、防静电套袖、储水箱等</w:t>
            </w:r>
          </w:p>
        </w:tc>
      </w:tr>
      <w:tr w14:paraId="33437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75" w:type="dxa"/>
            <w:noWrap/>
            <w:vAlign w:val="center"/>
          </w:tcPr>
          <w:p w14:paraId="46E79598">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41</w:t>
            </w:r>
          </w:p>
        </w:tc>
        <w:tc>
          <w:tcPr>
            <w:tcW w:w="1908" w:type="dxa"/>
            <w:noWrap w:val="0"/>
            <w:vAlign w:val="center"/>
          </w:tcPr>
          <w:p w14:paraId="088A4E28">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全自动固相萃取仪</w:t>
            </w:r>
          </w:p>
        </w:tc>
        <w:tc>
          <w:tcPr>
            <w:tcW w:w="683" w:type="dxa"/>
            <w:noWrap w:val="0"/>
            <w:vAlign w:val="center"/>
          </w:tcPr>
          <w:p w14:paraId="4868D6E0">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825" w:type="dxa"/>
            <w:noWrap w:val="0"/>
            <w:vAlign w:val="center"/>
          </w:tcPr>
          <w:p w14:paraId="225F65E4">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287B2CF7">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1.功能参数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1.1通道数量和控制模式：每通道可单独控制，可同时工作，不少于4通道</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1.2连续处理能力：可连续处理≥36位样品</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1.3自动进样器：具备X/Y/Z轴三维空间移动</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1.4 样品泵：配置集成样品泵，可以连续进样，处理500mL以上水样时无需额外配置样品泵</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1.5样品针：具有穿刺取样功能，具有液位追随功能</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1.6样品体积和接收体积：配备10-20mL样品管，可支持50ml或更大规格上样体积；接收体积不少于10mL，可扩展到35mL以上</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1.7上样和洗脱：可支持多管上样和多步洗脱</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1.8柱密封：每支萃取柱顶部配有独立密封盖</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1.9 剂管理系统：不少于8种试剂，试剂容量实时监测，剩余容量不足提示</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1.10清洗模式：提供多种清洗模式，确保进样针内外壁清洁无交叉污染;</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1.11 排废通道：支持环保回收废液，实现不同性质废液分别处理</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1.12 多方案萃取：不同规格萃取柱和不同处理项目可同时设置运行，无需分批等待处理，提高连续处理效率</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1.13智能自检与报警：软件可自检，智能故障报警系统，根据故障等级选择继续工作或停机</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2.仪器配置</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 主机1台（含三维X/Y/Z机械臂1套）；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2.2 集成样品泵4套；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2.3 进样针4支；</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2.4 样品架2个；萃取架3个；</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2.5 溶剂站1套（500ml溶剂瓶≥8个）；</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2.6 试管≥200根配套；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2.7 配套萃取柱≥100支；</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2.8 增配C18固相萃取柱50支、HLB固相萃取柱50支；</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2.9 大体积进样模块1套</w:t>
            </w:r>
          </w:p>
        </w:tc>
      </w:tr>
      <w:tr w14:paraId="7684A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675" w:type="dxa"/>
            <w:noWrap/>
            <w:vAlign w:val="center"/>
          </w:tcPr>
          <w:p w14:paraId="279E48A0">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42</w:t>
            </w:r>
          </w:p>
        </w:tc>
        <w:tc>
          <w:tcPr>
            <w:tcW w:w="1908" w:type="dxa"/>
            <w:noWrap w:val="0"/>
            <w:vAlign w:val="center"/>
          </w:tcPr>
          <w:p w14:paraId="20804289">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全自动氮吹定量浓缩仪</w:t>
            </w:r>
          </w:p>
        </w:tc>
        <w:tc>
          <w:tcPr>
            <w:tcW w:w="683" w:type="dxa"/>
            <w:noWrap w:val="0"/>
            <w:vAlign w:val="center"/>
          </w:tcPr>
          <w:p w14:paraId="0D753A48">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825" w:type="dxa"/>
            <w:noWrap w:val="0"/>
            <w:vAlign w:val="center"/>
          </w:tcPr>
          <w:p w14:paraId="475A78BE">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18C9DCFB">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 xml:space="preserve">1. 工作条件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 1.1  环境温度: 10 - 40 C</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 1.2  湿度: 20 - 80 %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 1.3  电源: 单相200-240 V, 50/60 Hz</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 技术规格及要求</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 利用水浴均匀加热和氮吹共同作用的方式对样品溶液进行定量浓缩，利用光电传感器自动判断样品浓缩终点并自动停止氮吹。</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2.2 浓缩温度：室温～60℃，运行全程温度可调。</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2.3批量处理能力：同时不少于12个250ml样品同时进行氮吹浓缩和自动光学定容。</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2.4 氮吹针水平位置可调，可实现水平可调节距离≥30mm，适配不同外径样品管的浓缩，加大样品管径的兼容性。</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2.5 每根氮吹针可单独控制，每个通道的气流由比例调节阀进行自动分配，出气口气流大小由软件设定，气流大小不受开启通道数多少的影响</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2.6水浴槽集成高、低液位传感器和自动给排水功能，具备加水和排水的管路接口，可在控制面板上一键自动进进行加水和排水操作，通过传感器自动判断加水和排水终点。</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2.7 可视性：四面可视玻璃窗设计，每个面可观察面积不低于600平方厘米，浓缩仪前部具有照明功能,可随时观察浓缩状态，方便实验人员根据氮吹剧烈程度快速调整气流量</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2.8 可编辑和保存方法，方法包括温度，气流量，通道数，气路梯度等信息，搭配自动定量浓缩管及液位传感器，可实现不同样品类型和体积的全自动定量浓缩。</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 仪器配置</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3.1 全自动定量浓缩仪主机 1台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3.2 氮吹模组 1套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3.3 水浴加热模组 1套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3.4 浓缩杯架 1套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3.5 终点浓缩杯 2包</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3.6 控制软件 1套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3.7、收集管：20根</w:t>
            </w:r>
          </w:p>
        </w:tc>
      </w:tr>
      <w:tr w14:paraId="7F9A1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2" w:hRule="atLeast"/>
        </w:trPr>
        <w:tc>
          <w:tcPr>
            <w:tcW w:w="675" w:type="dxa"/>
            <w:noWrap/>
            <w:vAlign w:val="center"/>
          </w:tcPr>
          <w:p w14:paraId="44B865C2">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43</w:t>
            </w:r>
          </w:p>
        </w:tc>
        <w:tc>
          <w:tcPr>
            <w:tcW w:w="1908" w:type="dxa"/>
            <w:noWrap w:val="0"/>
            <w:vAlign w:val="center"/>
          </w:tcPr>
          <w:p w14:paraId="12101BF8">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微波消解仪</w:t>
            </w:r>
          </w:p>
        </w:tc>
        <w:tc>
          <w:tcPr>
            <w:tcW w:w="683" w:type="dxa"/>
            <w:noWrap w:val="0"/>
            <w:vAlign w:val="center"/>
          </w:tcPr>
          <w:p w14:paraId="6BFD393D">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825" w:type="dxa"/>
            <w:noWrap w:val="0"/>
            <w:vAlign w:val="center"/>
          </w:tcPr>
          <w:p w14:paraId="2E1B18E9">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125C6214">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 基本性能</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  消解萃取方式：微波密闭消解萃取模式，批量处理，确保挥发性元素回收率</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用于土壤、食品、农产品、化妆品等各类样品的酸消解、溶剂萃取等样品前处理，为AAS，ICP，ICP-MS，GC,GC-MS等仪器提供样品制备。</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2.工作环境</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 工作电压:220V±10%</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2.2 工作温度:5-40℃</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2.3 工作湿度:15-80%</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 技术参数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1.2.3.1微波系统：</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3.1.1磁控管结构与功率：采用双磁控管错位排列设计，最大微波输出功率：≥1800W;</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3.1.2微波工作方式：连续、非脉冲模式微波发射，0-100%功率全程自动连续可调</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3.2炉腔系统：</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3.2.1批处理能力：可同时处理≥24位高通量消解罐转子；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3.2.2安全与标准：炉门具有缓冲浮动设计，安全性符合国标《GBT 26814-2011》.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3.2.3炉腔质保：腔体5年质量保证，非人为损坏、如出现形变或腐蚀生锈，免费更换</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3.3温度及压力测控系统：</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3.3.1测温方式： 采用非接触式全罐红外测温技术，而非采用不安全的有线式单罐控温技术。</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3.3.2智能全罐控压技术：定量控压技术实时监控每个反应罐反应过程中的压力变化，超压释放，确保反应安全，可长期反复使用无须更换耗材。</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3.4软件控制系统：</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3.4.1仪器内置50种以上应用方法库，即调即用。可提供功率模式、斜率升温模式可选</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3.4.2运行前智能检测转子匹配、微波源、风机、马达等核心部件的状态，确保反应安全</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3.5消解罐转子：</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3.5.1批处理量≥40位</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3.5.2罐体容积≥60mL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3.5.3最高耐受压力：≥ 1500psi</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3.5.4最高耐受温度：≥ 300℃</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3.5.5安全保护：每个消解罐都具有多重过压保护装置，过压时可自动泄压</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3、配置要求</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主机（含一体式控制系统和操作软件）               1台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非接触式内温测量红外传感器                        1组</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高通量转盘架                              1组</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外罐                                             24个</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消解内罐（含盖）                                 24个</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定量控压模块                                     24组</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配套赶酸器                                       1套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样品架                                        1组</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工具包                                        1套</w:t>
            </w:r>
          </w:p>
        </w:tc>
      </w:tr>
      <w:tr w14:paraId="33111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675" w:type="dxa"/>
            <w:noWrap/>
            <w:vAlign w:val="center"/>
          </w:tcPr>
          <w:p w14:paraId="1A8E54F8">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44</w:t>
            </w:r>
          </w:p>
        </w:tc>
        <w:tc>
          <w:tcPr>
            <w:tcW w:w="1908" w:type="dxa"/>
            <w:noWrap w:val="0"/>
            <w:vAlign w:val="center"/>
          </w:tcPr>
          <w:p w14:paraId="6D0E67B8">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冷冻干燥机</w:t>
            </w:r>
          </w:p>
        </w:tc>
        <w:tc>
          <w:tcPr>
            <w:tcW w:w="683" w:type="dxa"/>
            <w:noWrap w:val="0"/>
            <w:vAlign w:val="center"/>
          </w:tcPr>
          <w:p w14:paraId="3A3EAF49">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825" w:type="dxa"/>
            <w:noWrap w:val="0"/>
            <w:vAlign w:val="center"/>
          </w:tcPr>
          <w:p w14:paraId="4D3E76D5">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308F8216">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技术参数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1.基本要求</w:t>
            </w:r>
          </w:p>
          <w:p w14:paraId="6ADBA013">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适用于新鲜土壤样品的冷冻干燥。</w:t>
            </w:r>
          </w:p>
          <w:p w14:paraId="174F25FC">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2.技术参数</w:t>
            </w:r>
          </w:p>
          <w:p w14:paraId="1F3F1BC7">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2.1 冻干面积:≥0.2㎡;</w:t>
            </w:r>
          </w:p>
          <w:p w14:paraId="57C1EE88">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2.2可放置物料盘数量:≥2个:盘装物料(最大):≥2L;</w:t>
            </w:r>
          </w:p>
          <w:p w14:paraId="4F665F76">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2.3冷阱最低温度:≤-55℃(空载);</w:t>
            </w:r>
          </w:p>
          <w:p w14:paraId="15D821AA">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2.4 隔板尺寸:≥240x300mm;板层间距:≥70mm;</w:t>
            </w:r>
          </w:p>
          <w:p w14:paraId="5FF0C844">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2.5极限真空度:≤5Pa(空载):</w:t>
            </w:r>
          </w:p>
          <w:p w14:paraId="6D60E391">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2.6 主机带万向轮，可以自由移动:</w:t>
            </w:r>
          </w:p>
          <w:p w14:paraId="2BE7C59E">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2.7捕水能力:≥6KG/24h;</w:t>
            </w:r>
          </w:p>
          <w:p w14:paraId="20F288F7">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2.8触摸屏操作，实时记录并显示冷阱温度曲线;</w:t>
            </w:r>
          </w:p>
          <w:p w14:paraId="1BE309B5">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2.9配置充气阀，可充干燥惰性气体;</w:t>
            </w:r>
          </w:p>
          <w:p w14:paraId="266F5286">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2.10 冷冻预冻、干燥原位自动完成。</w:t>
            </w:r>
          </w:p>
          <w:p w14:paraId="68E3B989">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3.主要配置</w:t>
            </w:r>
          </w:p>
          <w:p w14:paraId="1AC34589">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3.1 主机:1台;</w:t>
            </w:r>
          </w:p>
          <w:p w14:paraId="41BFEF41">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3.2真空泵(含真空管):1台;</w:t>
            </w:r>
          </w:p>
          <w:p w14:paraId="15DF9551">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3.3真空泵油:6L;</w:t>
            </w:r>
          </w:p>
          <w:p w14:paraId="51E64EEE">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3.4物料托盘:6个;</w:t>
            </w:r>
          </w:p>
          <w:p w14:paraId="1BFBAC7A">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3.5玛瑙研磨仪:1套;</w:t>
            </w:r>
          </w:p>
          <w:p w14:paraId="373C99D6">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3.6搪瓷托盘(60*40cm):10个;</w:t>
            </w:r>
          </w:p>
          <w:p w14:paraId="52003A06">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3.7玻璃培养皿(63mm):200个。</w:t>
            </w:r>
          </w:p>
        </w:tc>
      </w:tr>
      <w:tr w14:paraId="539B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675" w:type="dxa"/>
            <w:noWrap/>
            <w:vAlign w:val="center"/>
          </w:tcPr>
          <w:p w14:paraId="5473D68B">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45</w:t>
            </w:r>
          </w:p>
        </w:tc>
        <w:tc>
          <w:tcPr>
            <w:tcW w:w="1908" w:type="dxa"/>
            <w:noWrap w:val="0"/>
            <w:vAlign w:val="center"/>
          </w:tcPr>
          <w:p w14:paraId="287C303A">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超纯水机</w:t>
            </w:r>
          </w:p>
        </w:tc>
        <w:tc>
          <w:tcPr>
            <w:tcW w:w="683" w:type="dxa"/>
            <w:noWrap w:val="0"/>
            <w:vAlign w:val="center"/>
          </w:tcPr>
          <w:p w14:paraId="6C8E1B4A">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825" w:type="dxa"/>
            <w:noWrap w:val="0"/>
            <w:vAlign w:val="center"/>
          </w:tcPr>
          <w:p w14:paraId="7CFF8D55">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22098E75">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1、电阻率：18.2 M2.cm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2、重金属离子：0.1ppb</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3、电导率： 0.055 μs/cm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4、总有机碳（TOC):2 ppb</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5、配套可供3年用滤芯耗材</w:t>
            </w:r>
          </w:p>
        </w:tc>
      </w:tr>
      <w:tr w14:paraId="19768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75" w:type="dxa"/>
            <w:noWrap/>
            <w:vAlign w:val="center"/>
          </w:tcPr>
          <w:p w14:paraId="0423528F">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46</w:t>
            </w:r>
          </w:p>
        </w:tc>
        <w:tc>
          <w:tcPr>
            <w:tcW w:w="1908" w:type="dxa"/>
            <w:noWrap w:val="0"/>
            <w:vAlign w:val="center"/>
          </w:tcPr>
          <w:p w14:paraId="40E312C9">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真空箱气体采样器</w:t>
            </w:r>
          </w:p>
        </w:tc>
        <w:tc>
          <w:tcPr>
            <w:tcW w:w="683" w:type="dxa"/>
            <w:noWrap w:val="0"/>
            <w:vAlign w:val="center"/>
          </w:tcPr>
          <w:p w14:paraId="6BF60ED3">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3</w:t>
            </w:r>
          </w:p>
        </w:tc>
        <w:tc>
          <w:tcPr>
            <w:tcW w:w="825" w:type="dxa"/>
            <w:noWrap w:val="0"/>
            <w:vAlign w:val="center"/>
          </w:tcPr>
          <w:p w14:paraId="7ECFD94B">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0FB28BDD">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1.采样流量（A路/B路/C路D路）：大流量：五档(1.5～6.5)L/min，小流量（10～230)mL/min，分辨率：0.001L/min，准确度：不超过±2%；</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2.采样时间：00:00:59～99:59:59；</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3.计前温度：（-30～99）℃，分辨率：0.1℃，准确度：不超过±2.0℃；</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4.计前压力：（-30～0）kPa，分辨率：0.01kPa，准确度：不超过±2.5%；</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5.大气压：（50～130）kPa，分辨率：0.01kPa，准确度：不超过±500Pa</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6.流量重复性：分辨率0.001L/min，准确度：不大于2%；准确度</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7.流量稳定性：分辨率0.001L/min，准确度：6h内采样流量变化不大于2%</w:t>
            </w:r>
          </w:p>
        </w:tc>
      </w:tr>
      <w:tr w14:paraId="6768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75" w:type="dxa"/>
            <w:noWrap/>
            <w:vAlign w:val="center"/>
          </w:tcPr>
          <w:p w14:paraId="4340CE39">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47</w:t>
            </w:r>
          </w:p>
        </w:tc>
        <w:tc>
          <w:tcPr>
            <w:tcW w:w="1908" w:type="dxa"/>
            <w:noWrap w:val="0"/>
            <w:vAlign w:val="center"/>
          </w:tcPr>
          <w:p w14:paraId="266AC7C8">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烟气采样器</w:t>
            </w:r>
          </w:p>
        </w:tc>
        <w:tc>
          <w:tcPr>
            <w:tcW w:w="683" w:type="dxa"/>
            <w:noWrap w:val="0"/>
            <w:vAlign w:val="center"/>
          </w:tcPr>
          <w:p w14:paraId="358932DD">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3</w:t>
            </w:r>
          </w:p>
        </w:tc>
        <w:tc>
          <w:tcPr>
            <w:tcW w:w="825" w:type="dxa"/>
            <w:noWrap w:val="0"/>
            <w:vAlign w:val="center"/>
          </w:tcPr>
          <w:p w14:paraId="760C078F">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2AAA70D8">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 采样流量：双路(0.1～1.0)L/min/（0.5～2.0）L/min，分辨率：0.001 L/min，准确度：≤±5%；</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 采样时间：1min～99h59min内任意设置；</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 计前压力：(－30～0)kPa，分辨率：0.01 kPa，准确度：≤±1.0%FS；</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 计前温度：(－55～＋125)℃，分辨率：0.1 ℃，准确度：≤±2.0℃；</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 大气压：(50～130)kPa，分辨率：0.01 kPa，准确度：≤0.50 kPa；</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6. 最大采样体积：999999.99 L，分辨率：0.01 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7. 工作环境：温度(-30～＋50)℃，湿度≤95%；</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8. 整机重量：约3kg；</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9. 电源：AC 220V±10% 50Hz或DC 12V；</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10. 功耗：＜20W</w:t>
            </w:r>
          </w:p>
        </w:tc>
      </w:tr>
      <w:tr w14:paraId="2F56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trPr>
        <w:tc>
          <w:tcPr>
            <w:tcW w:w="675" w:type="dxa"/>
            <w:noWrap/>
            <w:vAlign w:val="center"/>
          </w:tcPr>
          <w:p w14:paraId="0C98AC85">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48</w:t>
            </w:r>
          </w:p>
        </w:tc>
        <w:tc>
          <w:tcPr>
            <w:tcW w:w="1908" w:type="dxa"/>
            <w:noWrap w:val="0"/>
            <w:vAlign w:val="center"/>
          </w:tcPr>
          <w:p w14:paraId="64CB1ED0">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液相色谱仪</w:t>
            </w:r>
          </w:p>
        </w:tc>
        <w:tc>
          <w:tcPr>
            <w:tcW w:w="683" w:type="dxa"/>
            <w:noWrap w:val="0"/>
            <w:vAlign w:val="center"/>
          </w:tcPr>
          <w:p w14:paraId="48267C6F">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825" w:type="dxa"/>
            <w:noWrap w:val="0"/>
            <w:vAlign w:val="center"/>
          </w:tcPr>
          <w:p w14:paraId="3FC6C2F7">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710D8CFC">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技术参数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1.工作条件</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1.1电源：220V，50Hz电源。</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1.2环境温度：4~35</w:t>
            </w:r>
            <w:r>
              <w:rPr>
                <w:rStyle w:val="30"/>
                <w:rFonts w:hint="default"/>
                <w:sz w:val="24"/>
                <w:szCs w:val="24"/>
                <w:highlight w:val="none"/>
                <w:lang w:bidi="ar"/>
              </w:rPr>
              <w:t>˚</w:t>
            </w:r>
            <w:r>
              <w:rPr>
                <w:rStyle w:val="29"/>
                <w:rFonts w:hint="default"/>
                <w:sz w:val="24"/>
                <w:szCs w:val="24"/>
                <w:highlight w:val="none"/>
                <w:lang w:bidi="ar"/>
              </w:rPr>
              <w:t>C。</w:t>
            </w:r>
            <w:r>
              <w:rPr>
                <w:rStyle w:val="29"/>
                <w:rFonts w:hint="default"/>
                <w:sz w:val="24"/>
                <w:szCs w:val="24"/>
                <w:highlight w:val="none"/>
                <w:lang w:bidi="ar"/>
              </w:rPr>
              <w:br w:type="textWrapping"/>
            </w:r>
            <w:r>
              <w:rPr>
                <w:rStyle w:val="29"/>
                <w:rFonts w:hint="default"/>
                <w:sz w:val="24"/>
                <w:szCs w:val="24"/>
                <w:highlight w:val="none"/>
                <w:lang w:bidi="ar"/>
              </w:rPr>
              <w:t>1.3环境湿度：20%~80%。</w:t>
            </w:r>
            <w:r>
              <w:rPr>
                <w:rStyle w:val="29"/>
                <w:rFonts w:hint="default"/>
                <w:sz w:val="24"/>
                <w:szCs w:val="24"/>
                <w:highlight w:val="none"/>
                <w:lang w:bidi="ar"/>
              </w:rPr>
              <w:br w:type="textWrapping"/>
            </w:r>
            <w:r>
              <w:rPr>
                <w:rStyle w:val="29"/>
                <w:rFonts w:hint="default"/>
                <w:sz w:val="24"/>
                <w:szCs w:val="24"/>
                <w:highlight w:val="none"/>
                <w:lang w:bidi="ar"/>
              </w:rPr>
              <w:t>2.参数</w:t>
            </w:r>
            <w:r>
              <w:rPr>
                <w:rStyle w:val="29"/>
                <w:rFonts w:hint="default"/>
                <w:sz w:val="24"/>
                <w:szCs w:val="24"/>
                <w:highlight w:val="none"/>
                <w:lang w:bidi="ar"/>
              </w:rPr>
              <w:br w:type="textWrapping"/>
            </w:r>
            <w:r>
              <w:rPr>
                <w:rStyle w:val="29"/>
                <w:rFonts w:hint="default"/>
                <w:sz w:val="24"/>
                <w:szCs w:val="24"/>
                <w:highlight w:val="none"/>
                <w:lang w:bidi="ar"/>
              </w:rPr>
              <w:t>2.1梯度输液泵</w:t>
            </w:r>
            <w:r>
              <w:rPr>
                <w:rStyle w:val="29"/>
                <w:rFonts w:hint="default"/>
                <w:sz w:val="24"/>
                <w:szCs w:val="24"/>
                <w:highlight w:val="none"/>
                <w:lang w:bidi="ar"/>
              </w:rPr>
              <w:br w:type="textWrapping"/>
            </w:r>
            <w:r>
              <w:rPr>
                <w:rStyle w:val="29"/>
                <w:rFonts w:hint="default"/>
                <w:sz w:val="24"/>
                <w:szCs w:val="24"/>
                <w:highlight w:val="none"/>
                <w:lang w:bidi="ar"/>
              </w:rPr>
              <w:t>2.1.1流速范围：</w:t>
            </w:r>
            <w:r>
              <w:rPr>
                <w:rStyle w:val="29"/>
                <w:sz w:val="24"/>
                <w:szCs w:val="24"/>
                <w:highlight w:val="none"/>
                <w:lang w:bidi="ar"/>
              </w:rPr>
              <w:t>0.001～5.000mL/min，以≤0.001mL/min递增</w:t>
            </w:r>
            <w:r>
              <w:rPr>
                <w:rStyle w:val="29"/>
                <w:rFonts w:hint="default"/>
                <w:sz w:val="24"/>
                <w:szCs w:val="24"/>
                <w:highlight w:val="none"/>
                <w:lang w:bidi="ar"/>
              </w:rPr>
              <w:t xml:space="preserve">； </w:t>
            </w:r>
            <w:r>
              <w:rPr>
                <w:rStyle w:val="29"/>
                <w:rFonts w:hint="default"/>
                <w:sz w:val="24"/>
                <w:szCs w:val="24"/>
                <w:highlight w:val="none"/>
                <w:lang w:bidi="ar"/>
              </w:rPr>
              <w:br w:type="textWrapping"/>
            </w:r>
            <w:r>
              <w:rPr>
                <w:rStyle w:val="29"/>
                <w:rFonts w:hint="default"/>
                <w:sz w:val="24"/>
                <w:szCs w:val="24"/>
                <w:highlight w:val="none"/>
                <w:lang w:bidi="ar"/>
              </w:rPr>
              <w:t>2.1.2流量精密度：&lt;0.06% ；</w:t>
            </w:r>
            <w:r>
              <w:rPr>
                <w:rStyle w:val="29"/>
                <w:rFonts w:hint="default"/>
                <w:sz w:val="24"/>
                <w:szCs w:val="24"/>
                <w:highlight w:val="none"/>
                <w:lang w:bidi="ar"/>
              </w:rPr>
              <w:br w:type="textWrapping"/>
            </w:r>
            <w:r>
              <w:rPr>
                <w:rStyle w:val="29"/>
                <w:rFonts w:hint="default"/>
                <w:sz w:val="24"/>
                <w:szCs w:val="24"/>
                <w:highlight w:val="none"/>
                <w:lang w:bidi="ar"/>
              </w:rPr>
              <w:t>2.1.3 流量准确度：≤±1%；</w:t>
            </w:r>
            <w:r>
              <w:rPr>
                <w:rStyle w:val="29"/>
                <w:rFonts w:hint="default"/>
                <w:sz w:val="24"/>
                <w:szCs w:val="24"/>
                <w:highlight w:val="none"/>
                <w:lang w:bidi="ar"/>
              </w:rPr>
              <w:br w:type="textWrapping"/>
            </w:r>
            <w:r>
              <w:rPr>
                <w:rStyle w:val="29"/>
                <w:rFonts w:hint="default"/>
                <w:sz w:val="24"/>
                <w:szCs w:val="24"/>
                <w:highlight w:val="none"/>
                <w:lang w:bidi="ar"/>
              </w:rPr>
              <w:t>2.1.4混合范围：0.0～100.0%；</w:t>
            </w:r>
            <w:r>
              <w:rPr>
                <w:rStyle w:val="29"/>
                <w:rFonts w:hint="default"/>
                <w:sz w:val="24"/>
                <w:szCs w:val="24"/>
                <w:highlight w:val="none"/>
                <w:lang w:bidi="ar"/>
              </w:rPr>
              <w:br w:type="textWrapping"/>
            </w:r>
            <w:r>
              <w:rPr>
                <w:rStyle w:val="29"/>
                <w:rFonts w:hint="default"/>
                <w:sz w:val="24"/>
                <w:szCs w:val="24"/>
                <w:highlight w:val="none"/>
                <w:lang w:bidi="ar"/>
              </w:rPr>
              <w:t>2.1.5泵最大压力：≥40Mpa；</w:t>
            </w:r>
            <w:r>
              <w:rPr>
                <w:rStyle w:val="29"/>
                <w:rFonts w:hint="default"/>
                <w:sz w:val="24"/>
                <w:szCs w:val="24"/>
                <w:highlight w:val="none"/>
                <w:lang w:bidi="ar"/>
              </w:rPr>
              <w:br w:type="textWrapping"/>
            </w:r>
            <w:r>
              <w:rPr>
                <w:rStyle w:val="29"/>
                <w:rFonts w:hint="default"/>
                <w:sz w:val="24"/>
                <w:szCs w:val="24"/>
                <w:highlight w:val="none"/>
                <w:lang w:bidi="ar"/>
              </w:rPr>
              <w:t>2.1.6 具有全自动压缩性补偿；</w:t>
            </w:r>
            <w:r>
              <w:rPr>
                <w:rStyle w:val="29"/>
                <w:rFonts w:hint="default"/>
                <w:sz w:val="24"/>
                <w:szCs w:val="24"/>
                <w:highlight w:val="none"/>
                <w:lang w:bidi="ar"/>
              </w:rPr>
              <w:br w:type="textWrapping"/>
            </w:r>
            <w:r>
              <w:rPr>
                <w:rStyle w:val="29"/>
                <w:rFonts w:hint="default"/>
                <w:sz w:val="24"/>
                <w:szCs w:val="24"/>
                <w:highlight w:val="none"/>
                <w:lang w:bidi="ar"/>
              </w:rPr>
              <w:t>2.1.7 泵清洗系统：具有清洗柱塞装置；</w:t>
            </w:r>
            <w:r>
              <w:rPr>
                <w:rStyle w:val="29"/>
                <w:rFonts w:hint="default"/>
                <w:sz w:val="24"/>
                <w:szCs w:val="24"/>
                <w:highlight w:val="none"/>
                <w:lang w:bidi="ar"/>
              </w:rPr>
              <w:br w:type="textWrapping"/>
            </w:r>
            <w:r>
              <w:rPr>
                <w:rStyle w:val="29"/>
                <w:rFonts w:hint="default"/>
                <w:sz w:val="24"/>
                <w:szCs w:val="24"/>
                <w:highlight w:val="none"/>
                <w:lang w:bidi="ar"/>
              </w:rPr>
              <w:t>2.1.8漏液警报：自动监控泵漏液情况；</w:t>
            </w:r>
            <w:r>
              <w:rPr>
                <w:rStyle w:val="29"/>
                <w:rFonts w:hint="default"/>
                <w:sz w:val="24"/>
                <w:szCs w:val="24"/>
                <w:highlight w:val="none"/>
                <w:lang w:bidi="ar"/>
              </w:rPr>
              <w:br w:type="textWrapping"/>
            </w:r>
            <w:r>
              <w:rPr>
                <w:rStyle w:val="29"/>
                <w:rFonts w:hint="default"/>
                <w:sz w:val="24"/>
                <w:szCs w:val="24"/>
                <w:highlight w:val="none"/>
                <w:lang w:bidi="ar"/>
              </w:rPr>
              <w:t>2.2自动进样器</w:t>
            </w:r>
            <w:r>
              <w:rPr>
                <w:rStyle w:val="29"/>
                <w:rFonts w:hint="default"/>
                <w:sz w:val="24"/>
                <w:szCs w:val="24"/>
                <w:highlight w:val="none"/>
                <w:lang w:bidi="ar"/>
              </w:rPr>
              <w:br w:type="textWrapping"/>
            </w:r>
            <w:r>
              <w:rPr>
                <w:rStyle w:val="29"/>
                <w:rFonts w:hint="default"/>
                <w:sz w:val="24"/>
                <w:szCs w:val="24"/>
                <w:highlight w:val="none"/>
                <w:lang w:bidi="ar"/>
              </w:rPr>
              <w:t>2.2.1样品瓶数：≥90位；</w:t>
            </w:r>
            <w:r>
              <w:rPr>
                <w:rStyle w:val="29"/>
                <w:rFonts w:hint="default"/>
                <w:sz w:val="24"/>
                <w:szCs w:val="24"/>
                <w:highlight w:val="none"/>
                <w:lang w:bidi="ar"/>
              </w:rPr>
              <w:br w:type="textWrapping"/>
            </w:r>
            <w:r>
              <w:rPr>
                <w:rStyle w:val="29"/>
                <w:rFonts w:hint="default"/>
                <w:sz w:val="24"/>
                <w:szCs w:val="24"/>
                <w:highlight w:val="none"/>
                <w:lang w:bidi="ar"/>
              </w:rPr>
              <w:t>2.2.2进样量设定范围：0.1μL～100μL；</w:t>
            </w:r>
            <w:r>
              <w:rPr>
                <w:rStyle w:val="29"/>
                <w:rFonts w:hint="default"/>
                <w:sz w:val="24"/>
                <w:szCs w:val="24"/>
                <w:highlight w:val="none"/>
                <w:lang w:bidi="ar"/>
              </w:rPr>
              <w:br w:type="textWrapping"/>
            </w:r>
            <w:r>
              <w:rPr>
                <w:rStyle w:val="29"/>
                <w:rFonts w:hint="default"/>
                <w:sz w:val="24"/>
                <w:szCs w:val="24"/>
                <w:highlight w:val="none"/>
                <w:lang w:bidi="ar"/>
              </w:rPr>
              <w:t>2.2.3进样精度：&lt;0.2%RSD；</w:t>
            </w:r>
            <w:r>
              <w:rPr>
                <w:rStyle w:val="29"/>
                <w:rFonts w:hint="default"/>
                <w:sz w:val="24"/>
                <w:szCs w:val="24"/>
                <w:highlight w:val="none"/>
                <w:lang w:bidi="ar"/>
              </w:rPr>
              <w:br w:type="textWrapping"/>
            </w:r>
            <w:r>
              <w:rPr>
                <w:rStyle w:val="29"/>
                <w:rFonts w:hint="default"/>
                <w:sz w:val="24"/>
                <w:szCs w:val="24"/>
                <w:highlight w:val="none"/>
                <w:lang w:bidi="ar"/>
              </w:rPr>
              <w:t>2.2.4进样周期：&lt; 30s；</w:t>
            </w:r>
            <w:r>
              <w:rPr>
                <w:rStyle w:val="29"/>
                <w:rFonts w:hint="default"/>
                <w:sz w:val="24"/>
                <w:szCs w:val="24"/>
                <w:highlight w:val="none"/>
                <w:lang w:bidi="ar"/>
              </w:rPr>
              <w:br w:type="textWrapping"/>
            </w:r>
            <w:r>
              <w:rPr>
                <w:rStyle w:val="29"/>
                <w:rFonts w:hint="default"/>
                <w:sz w:val="24"/>
                <w:szCs w:val="24"/>
                <w:highlight w:val="none"/>
                <w:lang w:bidi="ar"/>
              </w:rPr>
              <w:t xml:space="preserve">2.2.5用户自定义进样，可实现去溶剂效应，在线稀释和在线衍生功能；   </w:t>
            </w:r>
            <w:r>
              <w:rPr>
                <w:rStyle w:val="29"/>
                <w:rFonts w:hint="default"/>
                <w:sz w:val="24"/>
                <w:szCs w:val="24"/>
                <w:highlight w:val="none"/>
                <w:lang w:bidi="ar"/>
              </w:rPr>
              <w:br w:type="textWrapping"/>
            </w:r>
            <w:r>
              <w:rPr>
                <w:rStyle w:val="29"/>
                <w:rFonts w:hint="default"/>
                <w:sz w:val="24"/>
                <w:szCs w:val="24"/>
                <w:highlight w:val="none"/>
                <w:lang w:bidi="ar"/>
              </w:rPr>
              <w:t>2.2.6交叉污染: &lt; 0.003% (萘、洗必泰)</w:t>
            </w:r>
            <w:r>
              <w:rPr>
                <w:rStyle w:val="29"/>
                <w:rFonts w:hint="default"/>
                <w:sz w:val="24"/>
                <w:szCs w:val="24"/>
                <w:highlight w:val="none"/>
                <w:lang w:bidi="ar"/>
              </w:rPr>
              <w:br w:type="textWrapping"/>
            </w:r>
            <w:r>
              <w:rPr>
                <w:rStyle w:val="29"/>
                <w:rFonts w:hint="default"/>
                <w:sz w:val="24"/>
                <w:szCs w:val="24"/>
                <w:highlight w:val="none"/>
                <w:lang w:bidi="ar"/>
              </w:rPr>
              <w:t xml:space="preserve">3.紫外检测器 </w:t>
            </w:r>
            <w:r>
              <w:rPr>
                <w:rStyle w:val="29"/>
                <w:rFonts w:hint="default"/>
                <w:sz w:val="24"/>
                <w:szCs w:val="24"/>
                <w:highlight w:val="none"/>
                <w:lang w:bidi="ar"/>
              </w:rPr>
              <w:br w:type="textWrapping"/>
            </w:r>
            <w:r>
              <w:rPr>
                <w:rStyle w:val="29"/>
                <w:rFonts w:hint="default"/>
                <w:sz w:val="24"/>
                <w:szCs w:val="24"/>
                <w:highlight w:val="none"/>
                <w:lang w:bidi="ar"/>
              </w:rPr>
              <w:t>3.1.1光源：氘灯</w:t>
            </w:r>
            <w:r>
              <w:rPr>
                <w:rStyle w:val="29"/>
                <w:rFonts w:hint="default"/>
                <w:sz w:val="24"/>
                <w:szCs w:val="24"/>
                <w:highlight w:val="none"/>
                <w:lang w:bidi="ar"/>
              </w:rPr>
              <w:br w:type="textWrapping"/>
            </w:r>
            <w:r>
              <w:rPr>
                <w:rStyle w:val="29"/>
                <w:rFonts w:hint="default"/>
                <w:sz w:val="24"/>
                <w:szCs w:val="24"/>
                <w:highlight w:val="none"/>
                <w:lang w:bidi="ar"/>
              </w:rPr>
              <w:t xml:space="preserve">3.1.2波长范围：190-700nm。 </w:t>
            </w:r>
            <w:r>
              <w:rPr>
                <w:rStyle w:val="29"/>
                <w:rFonts w:hint="default"/>
                <w:sz w:val="24"/>
                <w:szCs w:val="24"/>
                <w:highlight w:val="none"/>
                <w:lang w:bidi="ar"/>
              </w:rPr>
              <w:br w:type="textWrapping"/>
            </w:r>
            <w:r>
              <w:rPr>
                <w:rStyle w:val="29"/>
                <w:rFonts w:hint="default"/>
                <w:sz w:val="24"/>
                <w:szCs w:val="24"/>
                <w:highlight w:val="none"/>
                <w:lang w:bidi="ar"/>
              </w:rPr>
              <w:t>3.1.3波长准确度：＜1nm。</w:t>
            </w:r>
            <w:r>
              <w:rPr>
                <w:rStyle w:val="29"/>
                <w:rFonts w:hint="default"/>
                <w:sz w:val="24"/>
                <w:szCs w:val="24"/>
                <w:highlight w:val="none"/>
                <w:lang w:bidi="ar"/>
              </w:rPr>
              <w:br w:type="textWrapping"/>
            </w:r>
            <w:r>
              <w:rPr>
                <w:rStyle w:val="29"/>
                <w:rFonts w:hint="default"/>
                <w:sz w:val="24"/>
                <w:szCs w:val="24"/>
                <w:highlight w:val="none"/>
                <w:lang w:bidi="ar"/>
              </w:rPr>
              <w:t>3.1.4波长精密度：＜0.1nm。</w:t>
            </w:r>
            <w:r>
              <w:rPr>
                <w:rStyle w:val="29"/>
                <w:rFonts w:hint="default"/>
                <w:sz w:val="24"/>
                <w:szCs w:val="24"/>
                <w:highlight w:val="none"/>
                <w:lang w:bidi="ar"/>
              </w:rPr>
              <w:br w:type="textWrapping"/>
            </w:r>
            <w:r>
              <w:rPr>
                <w:rStyle w:val="29"/>
                <w:rFonts w:hint="default"/>
                <w:sz w:val="24"/>
                <w:szCs w:val="24"/>
                <w:highlight w:val="none"/>
                <w:lang w:bidi="ar"/>
              </w:rPr>
              <w:t>3.1.5噪音：&lt;+ 0.25 x 10-5 AU。</w:t>
            </w:r>
            <w:r>
              <w:rPr>
                <w:rStyle w:val="29"/>
                <w:rFonts w:hint="default"/>
                <w:sz w:val="24"/>
                <w:szCs w:val="24"/>
                <w:highlight w:val="none"/>
                <w:lang w:bidi="ar"/>
              </w:rPr>
              <w:br w:type="textWrapping"/>
            </w:r>
            <w:r>
              <w:rPr>
                <w:rStyle w:val="29"/>
                <w:rFonts w:hint="default"/>
                <w:sz w:val="24"/>
                <w:szCs w:val="24"/>
                <w:highlight w:val="none"/>
                <w:lang w:bidi="ar"/>
              </w:rPr>
              <w:t>3.1.6线性范围：&gt;2.5AU。</w:t>
            </w:r>
            <w:r>
              <w:rPr>
                <w:rStyle w:val="29"/>
                <w:rFonts w:hint="default"/>
                <w:sz w:val="24"/>
                <w:szCs w:val="24"/>
                <w:highlight w:val="none"/>
                <w:lang w:bidi="ar"/>
              </w:rPr>
              <w:br w:type="textWrapping"/>
            </w:r>
            <w:r>
              <w:rPr>
                <w:rStyle w:val="29"/>
                <w:rFonts w:hint="default"/>
                <w:sz w:val="24"/>
                <w:szCs w:val="24"/>
                <w:highlight w:val="none"/>
                <w:lang w:bidi="ar"/>
              </w:rPr>
              <w:t>3.1.7漂移：±1x10-4AU/h。</w:t>
            </w:r>
            <w:r>
              <w:rPr>
                <w:rStyle w:val="29"/>
                <w:rFonts w:hint="default"/>
                <w:sz w:val="24"/>
                <w:szCs w:val="24"/>
                <w:highlight w:val="none"/>
                <w:lang w:bidi="ar"/>
              </w:rPr>
              <w:br w:type="textWrapping"/>
            </w:r>
            <w:r>
              <w:rPr>
                <w:rStyle w:val="29"/>
                <w:rFonts w:hint="default"/>
                <w:sz w:val="24"/>
                <w:szCs w:val="24"/>
                <w:highlight w:val="none"/>
                <w:lang w:bidi="ar"/>
              </w:rPr>
              <w:t>4.荧光检测器</w:t>
            </w:r>
            <w:r>
              <w:rPr>
                <w:rStyle w:val="29"/>
                <w:rFonts w:hint="default"/>
                <w:sz w:val="24"/>
                <w:szCs w:val="24"/>
                <w:highlight w:val="none"/>
                <w:lang w:bidi="ar"/>
              </w:rPr>
              <w:br w:type="textWrapping"/>
            </w:r>
            <w:r>
              <w:rPr>
                <w:rStyle w:val="29"/>
                <w:rFonts w:hint="default"/>
                <w:sz w:val="24"/>
                <w:szCs w:val="24"/>
                <w:highlight w:val="none"/>
                <w:lang w:bidi="ar"/>
              </w:rPr>
              <w:t>4.1.1波长范围：激发光200～650nm；发射光200～650nm；</w:t>
            </w:r>
            <w:r>
              <w:rPr>
                <w:rStyle w:val="29"/>
                <w:rFonts w:hint="default"/>
                <w:sz w:val="24"/>
                <w:szCs w:val="24"/>
                <w:highlight w:val="none"/>
                <w:lang w:bidi="ar"/>
              </w:rPr>
              <w:br w:type="textWrapping"/>
            </w:r>
            <w:r>
              <w:rPr>
                <w:rStyle w:val="29"/>
                <w:rFonts w:hint="default"/>
                <w:sz w:val="24"/>
                <w:szCs w:val="24"/>
                <w:highlight w:val="none"/>
                <w:lang w:bidi="ar"/>
              </w:rPr>
              <w:t>4.1.2波长重现性：±0.2nm；</w:t>
            </w:r>
            <w:r>
              <w:rPr>
                <w:rStyle w:val="29"/>
                <w:rFonts w:hint="default"/>
                <w:sz w:val="24"/>
                <w:szCs w:val="24"/>
                <w:highlight w:val="none"/>
                <w:lang w:bidi="ar"/>
              </w:rPr>
              <w:br w:type="textWrapping"/>
            </w:r>
            <w:r>
              <w:rPr>
                <w:rStyle w:val="29"/>
                <w:rFonts w:hint="default"/>
                <w:sz w:val="24"/>
                <w:szCs w:val="24"/>
                <w:highlight w:val="none"/>
                <w:lang w:bidi="ar"/>
              </w:rPr>
              <w:t>4.1.3波长准确度：±3nm；</w:t>
            </w:r>
            <w:r>
              <w:rPr>
                <w:rStyle w:val="29"/>
                <w:rFonts w:hint="default"/>
                <w:sz w:val="24"/>
                <w:szCs w:val="24"/>
                <w:highlight w:val="none"/>
                <w:lang w:bidi="ar"/>
              </w:rPr>
              <w:br w:type="textWrapping"/>
            </w:r>
            <w:r>
              <w:rPr>
                <w:rStyle w:val="29"/>
                <w:rFonts w:hint="default"/>
                <w:sz w:val="24"/>
                <w:szCs w:val="24"/>
                <w:highlight w:val="none"/>
                <w:lang w:bidi="ar"/>
              </w:rPr>
              <w:t>4.1.4灵敏度：水的拉曼峰信噪比≥800:1；</w:t>
            </w:r>
            <w:r>
              <w:rPr>
                <w:rStyle w:val="29"/>
                <w:rFonts w:hint="default"/>
                <w:sz w:val="24"/>
                <w:szCs w:val="24"/>
                <w:highlight w:val="none"/>
                <w:lang w:bidi="ar"/>
              </w:rPr>
              <w:br w:type="textWrapping"/>
            </w:r>
            <w:r>
              <w:rPr>
                <w:rStyle w:val="29"/>
                <w:rFonts w:hint="default"/>
                <w:sz w:val="24"/>
                <w:szCs w:val="24"/>
                <w:highlight w:val="none"/>
                <w:lang w:bidi="ar"/>
              </w:rPr>
              <w:t>4.1.5最大数据采集频率：＞70Hz；</w:t>
            </w:r>
            <w:r>
              <w:rPr>
                <w:rStyle w:val="29"/>
                <w:rFonts w:hint="default"/>
                <w:sz w:val="24"/>
                <w:szCs w:val="24"/>
                <w:highlight w:val="none"/>
                <w:lang w:bidi="ar"/>
              </w:rPr>
              <w:br w:type="textWrapping"/>
            </w:r>
            <w:r>
              <w:rPr>
                <w:rStyle w:val="29"/>
                <w:rFonts w:hint="default"/>
                <w:sz w:val="24"/>
                <w:szCs w:val="24"/>
                <w:highlight w:val="none"/>
                <w:lang w:bidi="ar"/>
              </w:rPr>
              <w:t>5.柱温箱</w:t>
            </w:r>
            <w:r>
              <w:rPr>
                <w:rStyle w:val="29"/>
                <w:rFonts w:hint="default"/>
                <w:sz w:val="24"/>
                <w:szCs w:val="24"/>
                <w:highlight w:val="none"/>
                <w:lang w:bidi="ar"/>
              </w:rPr>
              <w:br w:type="textWrapping"/>
            </w:r>
            <w:r>
              <w:rPr>
                <w:rStyle w:val="29"/>
                <w:rFonts w:hint="default"/>
                <w:sz w:val="24"/>
                <w:szCs w:val="24"/>
                <w:highlight w:val="none"/>
                <w:lang w:bidi="ar"/>
              </w:rPr>
              <w:t>5.1.1容量:单个柱温箱至少能放2根不短于300mm的色谱柱</w:t>
            </w:r>
            <w:r>
              <w:rPr>
                <w:rStyle w:val="29"/>
                <w:rFonts w:hint="default"/>
                <w:sz w:val="24"/>
                <w:szCs w:val="24"/>
                <w:highlight w:val="none"/>
                <w:lang w:bidi="ar"/>
              </w:rPr>
              <w:br w:type="textWrapping"/>
            </w:r>
            <w:r>
              <w:rPr>
                <w:rStyle w:val="29"/>
                <w:rFonts w:hint="default"/>
                <w:sz w:val="24"/>
                <w:szCs w:val="24"/>
                <w:highlight w:val="none"/>
                <w:lang w:bidi="ar"/>
              </w:rPr>
              <w:t>5.1.2温度控制范围:室温＋5℃～60℃或者更大</w:t>
            </w:r>
            <w:r>
              <w:rPr>
                <w:rStyle w:val="29"/>
                <w:rFonts w:hint="default"/>
                <w:sz w:val="24"/>
                <w:szCs w:val="24"/>
                <w:highlight w:val="none"/>
                <w:lang w:bidi="ar"/>
              </w:rPr>
              <w:br w:type="textWrapping"/>
            </w:r>
            <w:r>
              <w:rPr>
                <w:rStyle w:val="29"/>
                <w:rFonts w:hint="default"/>
                <w:sz w:val="24"/>
                <w:szCs w:val="24"/>
                <w:highlight w:val="none"/>
                <w:lang w:bidi="ar"/>
              </w:rPr>
              <w:t>5.1.3温度设定范围: 室温+5℃至60℃（步距为 1°C）或者更大</w:t>
            </w:r>
            <w:r>
              <w:rPr>
                <w:rStyle w:val="29"/>
                <w:rFonts w:hint="default"/>
                <w:sz w:val="24"/>
                <w:szCs w:val="24"/>
                <w:highlight w:val="none"/>
                <w:lang w:bidi="ar"/>
              </w:rPr>
              <w:br w:type="textWrapping"/>
            </w:r>
            <w:r>
              <w:rPr>
                <w:rStyle w:val="29"/>
                <w:rFonts w:hint="default"/>
                <w:sz w:val="24"/>
                <w:szCs w:val="24"/>
                <w:highlight w:val="none"/>
                <w:lang w:bidi="ar"/>
              </w:rPr>
              <w:t>5.1.4控温方式：空气循环加热方式或者其他加热方式</w:t>
            </w:r>
            <w:r>
              <w:rPr>
                <w:rStyle w:val="29"/>
                <w:rFonts w:hint="default"/>
                <w:sz w:val="24"/>
                <w:szCs w:val="24"/>
                <w:highlight w:val="none"/>
                <w:lang w:bidi="ar"/>
              </w:rPr>
              <w:br w:type="textWrapping"/>
            </w:r>
            <w:r>
              <w:rPr>
                <w:rStyle w:val="29"/>
                <w:rFonts w:hint="default"/>
                <w:sz w:val="24"/>
                <w:szCs w:val="24"/>
                <w:highlight w:val="none"/>
                <w:lang w:bidi="ar"/>
              </w:rPr>
              <w:t>5.1.5温度设定准确度:  ±0.5C</w:t>
            </w:r>
            <w:r>
              <w:rPr>
                <w:rStyle w:val="29"/>
                <w:rFonts w:hint="default"/>
                <w:sz w:val="24"/>
                <w:szCs w:val="24"/>
                <w:highlight w:val="none"/>
                <w:lang w:bidi="ar"/>
              </w:rPr>
              <w:br w:type="textWrapping"/>
            </w:r>
            <w:r>
              <w:rPr>
                <w:rStyle w:val="29"/>
                <w:rFonts w:hint="default"/>
                <w:sz w:val="24"/>
                <w:szCs w:val="24"/>
                <w:highlight w:val="none"/>
                <w:lang w:bidi="ar"/>
              </w:rPr>
              <w:t>5.1.6温度稳定性:±0.1C</w:t>
            </w:r>
            <w:r>
              <w:rPr>
                <w:rStyle w:val="29"/>
                <w:rFonts w:hint="default"/>
                <w:sz w:val="24"/>
                <w:szCs w:val="24"/>
                <w:highlight w:val="none"/>
                <w:lang w:bidi="ar"/>
              </w:rPr>
              <w:br w:type="textWrapping"/>
            </w:r>
            <w:r>
              <w:rPr>
                <w:rStyle w:val="29"/>
                <w:rFonts w:hint="default"/>
                <w:sz w:val="24"/>
                <w:szCs w:val="24"/>
                <w:highlight w:val="none"/>
                <w:lang w:bidi="ar"/>
              </w:rPr>
              <w:t>5.1.7温度重现性:±0.1C</w:t>
            </w:r>
            <w:r>
              <w:rPr>
                <w:rStyle w:val="29"/>
                <w:rFonts w:hint="default"/>
                <w:sz w:val="24"/>
                <w:szCs w:val="24"/>
                <w:highlight w:val="none"/>
                <w:lang w:bidi="ar"/>
              </w:rPr>
              <w:br w:type="textWrapping"/>
            </w:r>
            <w:r>
              <w:rPr>
                <w:rStyle w:val="29"/>
                <w:rFonts w:hint="default"/>
                <w:sz w:val="24"/>
                <w:szCs w:val="24"/>
                <w:highlight w:val="none"/>
                <w:lang w:bidi="ar"/>
              </w:rPr>
              <w:t>6.中文版工作站</w:t>
            </w:r>
            <w:r>
              <w:rPr>
                <w:rStyle w:val="29"/>
                <w:rFonts w:hint="default"/>
                <w:sz w:val="24"/>
                <w:szCs w:val="24"/>
                <w:highlight w:val="none"/>
                <w:lang w:bidi="ar"/>
              </w:rPr>
              <w:br w:type="textWrapping"/>
            </w:r>
            <w:r>
              <w:rPr>
                <w:rStyle w:val="29"/>
                <w:rFonts w:hint="default"/>
                <w:sz w:val="24"/>
                <w:szCs w:val="24"/>
                <w:highlight w:val="none"/>
                <w:lang w:bidi="ar"/>
              </w:rPr>
              <w:t>6.1.1可自动开机，自动关机。</w:t>
            </w:r>
            <w:r>
              <w:rPr>
                <w:rStyle w:val="29"/>
                <w:rFonts w:hint="default"/>
                <w:sz w:val="24"/>
                <w:szCs w:val="24"/>
                <w:highlight w:val="none"/>
                <w:lang w:bidi="ar"/>
              </w:rPr>
              <w:br w:type="textWrapping"/>
            </w:r>
            <w:r>
              <w:rPr>
                <w:rStyle w:val="29"/>
                <w:rFonts w:hint="default"/>
                <w:sz w:val="24"/>
                <w:szCs w:val="24"/>
                <w:highlight w:val="none"/>
                <w:lang w:bidi="ar"/>
              </w:rPr>
              <w:t>6.1.2发现异常时发出通知或自行修复。</w:t>
            </w:r>
            <w:r>
              <w:rPr>
                <w:rStyle w:val="29"/>
                <w:rFonts w:hint="default"/>
                <w:sz w:val="24"/>
                <w:szCs w:val="24"/>
                <w:highlight w:val="none"/>
                <w:lang w:bidi="ar"/>
              </w:rPr>
              <w:br w:type="textWrapping"/>
            </w:r>
            <w:r>
              <w:rPr>
                <w:rStyle w:val="29"/>
                <w:rFonts w:hint="default"/>
                <w:sz w:val="24"/>
                <w:szCs w:val="24"/>
                <w:highlight w:val="none"/>
                <w:lang w:bidi="ar"/>
              </w:rPr>
              <w:t>6.1.3可以进行LC数据解析；报告项目自由配置，制作丰富多彩的实验结果报</w:t>
            </w:r>
            <w:r>
              <w:rPr>
                <w:rStyle w:val="29"/>
                <w:rFonts w:hint="default"/>
                <w:sz w:val="24"/>
                <w:szCs w:val="24"/>
                <w:highlight w:val="none"/>
                <w:lang w:bidi="ar"/>
              </w:rPr>
              <w:br w:type="textWrapping"/>
            </w:r>
            <w:r>
              <w:rPr>
                <w:rStyle w:val="29"/>
                <w:rFonts w:hint="default"/>
                <w:sz w:val="24"/>
                <w:szCs w:val="24"/>
                <w:highlight w:val="none"/>
                <w:lang w:bidi="ar"/>
              </w:rPr>
              <w:t>7.仪器配置清单</w:t>
            </w:r>
            <w:r>
              <w:rPr>
                <w:rStyle w:val="29"/>
                <w:rFonts w:hint="default"/>
                <w:sz w:val="24"/>
                <w:szCs w:val="24"/>
                <w:highlight w:val="none"/>
                <w:lang w:bidi="ar"/>
              </w:rPr>
              <w:br w:type="textWrapping"/>
            </w:r>
            <w:r>
              <w:rPr>
                <w:rStyle w:val="29"/>
                <w:rFonts w:hint="default"/>
                <w:sz w:val="24"/>
                <w:szCs w:val="24"/>
                <w:highlight w:val="none"/>
                <w:lang w:bidi="ar"/>
              </w:rPr>
              <w:t xml:space="preserve">7.1高压输液泵：  1台                                       </w:t>
            </w:r>
            <w:r>
              <w:rPr>
                <w:rStyle w:val="29"/>
                <w:rFonts w:hint="default"/>
                <w:sz w:val="24"/>
                <w:szCs w:val="24"/>
                <w:highlight w:val="none"/>
                <w:lang w:bidi="ar"/>
              </w:rPr>
              <w:br w:type="textWrapping"/>
            </w:r>
            <w:r>
              <w:rPr>
                <w:rStyle w:val="29"/>
                <w:rFonts w:hint="default"/>
                <w:sz w:val="24"/>
                <w:szCs w:val="24"/>
                <w:highlight w:val="none"/>
                <w:lang w:bidi="ar"/>
              </w:rPr>
              <w:t>7.2自动进样器：1台</w:t>
            </w:r>
            <w:r>
              <w:rPr>
                <w:rStyle w:val="29"/>
                <w:rFonts w:hint="default"/>
                <w:sz w:val="24"/>
                <w:szCs w:val="24"/>
                <w:highlight w:val="none"/>
                <w:lang w:bidi="ar"/>
              </w:rPr>
              <w:br w:type="textWrapping"/>
            </w:r>
            <w:r>
              <w:rPr>
                <w:rStyle w:val="29"/>
                <w:rFonts w:hint="default"/>
                <w:sz w:val="24"/>
                <w:szCs w:val="24"/>
                <w:highlight w:val="none"/>
                <w:lang w:bidi="ar"/>
              </w:rPr>
              <w:t>7.3紫外检测器1台</w:t>
            </w:r>
            <w:r>
              <w:rPr>
                <w:rStyle w:val="29"/>
                <w:rFonts w:hint="default"/>
                <w:sz w:val="24"/>
                <w:szCs w:val="24"/>
                <w:highlight w:val="none"/>
                <w:lang w:bidi="ar"/>
              </w:rPr>
              <w:br w:type="textWrapping"/>
            </w:r>
            <w:r>
              <w:rPr>
                <w:rStyle w:val="29"/>
                <w:rFonts w:hint="default"/>
                <w:sz w:val="24"/>
                <w:szCs w:val="24"/>
                <w:highlight w:val="none"/>
                <w:lang w:bidi="ar"/>
              </w:rPr>
              <w:t xml:space="preserve">7.4荧光检测器 1台                                     </w:t>
            </w:r>
            <w:r>
              <w:rPr>
                <w:rStyle w:val="29"/>
                <w:rFonts w:hint="default"/>
                <w:sz w:val="24"/>
                <w:szCs w:val="24"/>
                <w:highlight w:val="none"/>
                <w:lang w:bidi="ar"/>
              </w:rPr>
              <w:br w:type="textWrapping"/>
            </w:r>
            <w:r>
              <w:rPr>
                <w:rStyle w:val="29"/>
                <w:rFonts w:hint="default"/>
                <w:sz w:val="24"/>
                <w:szCs w:val="24"/>
                <w:highlight w:val="none"/>
                <w:lang w:bidi="ar"/>
              </w:rPr>
              <w:t xml:space="preserve">7.5在线真空脱气机：1台                                        </w:t>
            </w:r>
            <w:r>
              <w:rPr>
                <w:rStyle w:val="29"/>
                <w:rFonts w:hint="default"/>
                <w:sz w:val="24"/>
                <w:szCs w:val="24"/>
                <w:highlight w:val="none"/>
                <w:lang w:bidi="ar"/>
              </w:rPr>
              <w:br w:type="textWrapping"/>
            </w:r>
            <w:r>
              <w:rPr>
                <w:rStyle w:val="29"/>
                <w:rFonts w:hint="default"/>
                <w:sz w:val="24"/>
                <w:szCs w:val="24"/>
                <w:highlight w:val="none"/>
                <w:lang w:bidi="ar"/>
              </w:rPr>
              <w:t xml:space="preserve">7.6柱温箱 ：1台                                          </w:t>
            </w:r>
            <w:r>
              <w:rPr>
                <w:rStyle w:val="29"/>
                <w:rFonts w:hint="default"/>
                <w:sz w:val="24"/>
                <w:szCs w:val="24"/>
                <w:highlight w:val="none"/>
                <w:lang w:bidi="ar"/>
              </w:rPr>
              <w:br w:type="textWrapping"/>
            </w:r>
            <w:r>
              <w:rPr>
                <w:rStyle w:val="29"/>
                <w:rFonts w:hint="default"/>
                <w:sz w:val="24"/>
                <w:szCs w:val="24"/>
                <w:highlight w:val="none"/>
                <w:lang w:bidi="ar"/>
              </w:rPr>
              <w:t>7.7色谱软件1套</w:t>
            </w:r>
            <w:r>
              <w:rPr>
                <w:rStyle w:val="29"/>
                <w:rFonts w:hint="default"/>
                <w:sz w:val="24"/>
                <w:szCs w:val="24"/>
                <w:highlight w:val="none"/>
                <w:lang w:bidi="ar"/>
              </w:rPr>
              <w:br w:type="textWrapping"/>
            </w:r>
            <w:r>
              <w:rPr>
                <w:rStyle w:val="29"/>
                <w:rFonts w:hint="default"/>
                <w:sz w:val="24"/>
                <w:szCs w:val="24"/>
                <w:highlight w:val="none"/>
                <w:lang w:bidi="ar"/>
              </w:rPr>
              <w:t>7.8</w:t>
            </w:r>
            <w:r>
              <w:rPr>
                <w:rStyle w:val="29"/>
                <w:sz w:val="24"/>
                <w:szCs w:val="24"/>
                <w:highlight w:val="none"/>
                <w:lang w:bidi="ar"/>
              </w:rPr>
              <w:t xml:space="preserve"> </w:t>
            </w:r>
            <w:r>
              <w:rPr>
                <w:rStyle w:val="29"/>
                <w:rFonts w:hint="default"/>
                <w:sz w:val="24"/>
                <w:szCs w:val="24"/>
                <w:highlight w:val="none"/>
                <w:lang w:bidi="ar"/>
              </w:rPr>
              <w:t>C18分析柱及保护柱2套</w:t>
            </w:r>
            <w:r>
              <w:rPr>
                <w:rStyle w:val="29"/>
                <w:rFonts w:hint="default"/>
                <w:sz w:val="24"/>
                <w:szCs w:val="24"/>
                <w:highlight w:val="none"/>
                <w:lang w:bidi="ar"/>
              </w:rPr>
              <w:br w:type="textWrapping"/>
            </w:r>
            <w:r>
              <w:rPr>
                <w:rStyle w:val="29"/>
                <w:rFonts w:hint="default"/>
                <w:sz w:val="24"/>
                <w:szCs w:val="24"/>
                <w:highlight w:val="none"/>
                <w:lang w:bidi="ar"/>
              </w:rPr>
              <w:t xml:space="preserve">7.9专用工具：  1套                                             </w:t>
            </w:r>
            <w:r>
              <w:rPr>
                <w:rStyle w:val="29"/>
                <w:rFonts w:hint="default"/>
                <w:sz w:val="24"/>
                <w:szCs w:val="24"/>
                <w:highlight w:val="none"/>
                <w:lang w:bidi="ar"/>
              </w:rPr>
              <w:br w:type="textWrapping"/>
            </w:r>
            <w:r>
              <w:rPr>
                <w:rStyle w:val="29"/>
                <w:rFonts w:hint="default"/>
                <w:sz w:val="24"/>
                <w:szCs w:val="24"/>
                <w:highlight w:val="none"/>
                <w:lang w:bidi="ar"/>
              </w:rPr>
              <w:t>7.101.5mL样品瓶200个，进样针5根、1L溶剂瓶10个、2废液瓶10L塑料桶</w:t>
            </w:r>
            <w:r>
              <w:rPr>
                <w:rStyle w:val="29"/>
                <w:rFonts w:hint="default"/>
                <w:sz w:val="24"/>
                <w:szCs w:val="24"/>
                <w:highlight w:val="none"/>
                <w:lang w:bidi="ar"/>
              </w:rPr>
              <w:br w:type="textWrapping"/>
            </w:r>
            <w:r>
              <w:rPr>
                <w:rStyle w:val="29"/>
                <w:rFonts w:hint="default"/>
                <w:sz w:val="24"/>
                <w:szCs w:val="24"/>
                <w:highlight w:val="none"/>
                <w:lang w:bidi="ar"/>
              </w:rPr>
              <w:t>7.11样品瓶的密封垫200个</w:t>
            </w:r>
            <w:r>
              <w:rPr>
                <w:rStyle w:val="29"/>
                <w:rFonts w:hint="default"/>
                <w:sz w:val="24"/>
                <w:szCs w:val="24"/>
                <w:highlight w:val="none"/>
                <w:lang w:bidi="ar"/>
              </w:rPr>
              <w:br w:type="textWrapping"/>
            </w:r>
            <w:r>
              <w:rPr>
                <w:rStyle w:val="29"/>
                <w:rFonts w:hint="default"/>
                <w:sz w:val="24"/>
                <w:szCs w:val="24"/>
                <w:highlight w:val="none"/>
                <w:lang w:bidi="ar"/>
              </w:rPr>
              <w:t>7.12</w:t>
            </w:r>
            <w:r>
              <w:rPr>
                <w:rStyle w:val="29"/>
                <w:rFonts w:hint="eastAsia"/>
                <w:sz w:val="24"/>
                <w:szCs w:val="24"/>
                <w:highlight w:val="none"/>
                <w:lang w:bidi="ar"/>
              </w:rPr>
              <w:t>电脑一台</w:t>
            </w:r>
            <w:r>
              <w:rPr>
                <w:rStyle w:val="29"/>
                <w:rFonts w:hint="eastAsia"/>
                <w:sz w:val="24"/>
                <w:szCs w:val="24"/>
                <w:highlight w:val="none"/>
                <w:lang w:eastAsia="zh-CN" w:bidi="ar"/>
              </w:rPr>
              <w:t>（</w:t>
            </w:r>
            <w:r>
              <w:rPr>
                <w:rStyle w:val="29"/>
                <w:rFonts w:hint="eastAsia"/>
                <w:sz w:val="24"/>
                <w:szCs w:val="24"/>
                <w:highlight w:val="none"/>
                <w:lang w:val="en-US" w:eastAsia="zh-CN" w:bidi="ar"/>
              </w:rPr>
              <w:t>23.8英寸显示器，内存不小于16GB，不小于512G固态硬盘</w:t>
            </w:r>
            <w:r>
              <w:rPr>
                <w:rStyle w:val="29"/>
                <w:rFonts w:hint="eastAsia"/>
                <w:sz w:val="24"/>
                <w:szCs w:val="24"/>
                <w:highlight w:val="none"/>
                <w:lang w:eastAsia="zh-CN" w:bidi="ar"/>
              </w:rPr>
              <w:t>）、打印机 1台 （ 可扫描复印、正反打印，支持</w:t>
            </w:r>
            <w:r>
              <w:rPr>
                <w:rStyle w:val="29"/>
                <w:rFonts w:hint="eastAsia"/>
                <w:sz w:val="24"/>
                <w:szCs w:val="24"/>
                <w:highlight w:val="none"/>
                <w:lang w:val="en-US" w:eastAsia="zh-CN" w:bidi="ar"/>
              </w:rPr>
              <w:t>A4幅面</w:t>
            </w:r>
            <w:r>
              <w:rPr>
                <w:rStyle w:val="29"/>
                <w:rFonts w:hint="eastAsia"/>
                <w:sz w:val="24"/>
                <w:szCs w:val="24"/>
                <w:highlight w:val="none"/>
                <w:lang w:eastAsia="zh-CN" w:bidi="ar"/>
              </w:rPr>
              <w:t>），配套硒鼓</w:t>
            </w:r>
            <w:r>
              <w:rPr>
                <w:rStyle w:val="29"/>
                <w:rFonts w:hint="eastAsia"/>
                <w:sz w:val="24"/>
                <w:szCs w:val="24"/>
                <w:highlight w:val="none"/>
                <w:lang w:val="en-US" w:eastAsia="zh-CN" w:bidi="ar"/>
              </w:rPr>
              <w:t>4个</w:t>
            </w:r>
          </w:p>
        </w:tc>
      </w:tr>
      <w:tr w14:paraId="3BBA8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75" w:type="dxa"/>
            <w:noWrap/>
            <w:vAlign w:val="center"/>
          </w:tcPr>
          <w:p w14:paraId="670FA457">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49</w:t>
            </w:r>
          </w:p>
        </w:tc>
        <w:tc>
          <w:tcPr>
            <w:tcW w:w="1908" w:type="dxa"/>
            <w:noWrap w:val="0"/>
            <w:vAlign w:val="center"/>
          </w:tcPr>
          <w:p w14:paraId="00B4C7D7">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便携式余氯测试仪</w:t>
            </w:r>
          </w:p>
        </w:tc>
        <w:tc>
          <w:tcPr>
            <w:tcW w:w="683" w:type="dxa"/>
            <w:noWrap w:val="0"/>
            <w:vAlign w:val="center"/>
          </w:tcPr>
          <w:p w14:paraId="5DA03E1D">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w:t>
            </w:r>
          </w:p>
        </w:tc>
        <w:tc>
          <w:tcPr>
            <w:tcW w:w="825" w:type="dxa"/>
            <w:noWrap w:val="0"/>
            <w:vAlign w:val="center"/>
          </w:tcPr>
          <w:p w14:paraId="3FBECE58">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0074F082">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1.检测参数：余氯；</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2.加热速度：国标DPD法；</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3.测量范围：0-12mg/L；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4.检测下限：≤0.02mg/L；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5.示值误差：不超过±5％；</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6.重复性：≤3%；</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7.光学稳定性：0.002A/20分钟（10万小时寿命）；</w:t>
            </w:r>
          </w:p>
        </w:tc>
      </w:tr>
      <w:tr w14:paraId="2FBD2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675" w:type="dxa"/>
            <w:noWrap/>
            <w:vAlign w:val="center"/>
          </w:tcPr>
          <w:p w14:paraId="720B6365">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50</w:t>
            </w:r>
          </w:p>
        </w:tc>
        <w:tc>
          <w:tcPr>
            <w:tcW w:w="1908" w:type="dxa"/>
            <w:noWrap w:val="0"/>
            <w:vAlign w:val="center"/>
          </w:tcPr>
          <w:p w14:paraId="770D65B9">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个人防护装备</w:t>
            </w:r>
          </w:p>
        </w:tc>
        <w:tc>
          <w:tcPr>
            <w:tcW w:w="683" w:type="dxa"/>
            <w:noWrap w:val="0"/>
            <w:vAlign w:val="center"/>
          </w:tcPr>
          <w:p w14:paraId="472C8A14">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w:t>
            </w:r>
          </w:p>
        </w:tc>
        <w:tc>
          <w:tcPr>
            <w:tcW w:w="825" w:type="dxa"/>
            <w:noWrap w:val="0"/>
            <w:vAlign w:val="center"/>
          </w:tcPr>
          <w:p w14:paraId="0D870D26">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441008FD">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1基本要求：配备一套满足采样安全、应急监测安全的防护装备</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2主要配置及参数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2.1防护箱1个  配置拉杆及滑轮，轻质便携，扛摔扛震（需按要求印制环保LOGO及字体）</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2.2安全帽1个  满足安全帽GB/T38046标准要求：（可按要求印制环保LOGO及字体），适用于生态环境保护行政执法现场使用。</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2.3防化服1套  轻型液密半封闭式三级轻型防化服，呼吸装备外置，服装符合人体工程学设计，其结构有利于穿着者的安全与卫生，不影响人体正常生理要求，穿戴舒适；连体式，连头罩，连手套，连防化靴，肩部进入，水密性拉链加拉环，门襟保护，尼龙搭扣粘连，双重保护层，确保化学液体不渗透。领口、袖口、裤脚紧密严实，防止酸碱侵入。手套、胶靴和服装连接牢固，袖口和裤腿处采用环组件连接，方便拆卸更换手套和防化靴。产品耐酸碱防护，主要用于腐蚀性液体，有害颗粒物，固态危化品场所使用。</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2.4防化丁腈手套1双  厚度：0.5mm，长度：32cm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2.5特性：手套掌部和手指内侧有特殊的纹理，具有较高的防滑、耐穿刺和耐钩破性；舒适耐用；较高的弹性、舒适性和灵巧性。</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2.6防化靴1双  PVC高帮安全靴，防酸碱、防穿刺、耐油、防滑、防水、防砸保护足趾，尺码：36-46可选。</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2.7防毒面具1套  面屏材质：聚碳酸酯；口鼻罩材质：硅胶/弹性体TPE；贴脸面罩材质：硅胶/弹性体TPE；吸气阻力：不大于38Pa；呼气阻力：不大于59Pa；重量：不大于464.2g；总视野：不小于88%；双目视野：不小于64%；下方视野：不小于36°；镜片透光率：不低于90%；兼具搭配罐、盒、滤棉功能的高端防护面罩，质优可靠；人性化语音振膜，沟通清晰方便；配置：综合滤毒盒。</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2.8.应急监测服1套   轻质，高经济型的化学防护服适用于欧标3类、4类应用中对无机强酸强碱类化学品高效防护。高密度聚乙烯（HDPE）覆膜于聚丙烯所形成的聚合物可提供对常见无机化学品和某些有机化学品的有效防护。</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2.9.配备双肩个人防护背包。</w:t>
            </w:r>
          </w:p>
        </w:tc>
      </w:tr>
      <w:tr w14:paraId="4302D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9" w:hRule="atLeast"/>
        </w:trPr>
        <w:tc>
          <w:tcPr>
            <w:tcW w:w="675" w:type="dxa"/>
            <w:noWrap/>
            <w:vAlign w:val="center"/>
          </w:tcPr>
          <w:p w14:paraId="47F0E9EB">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51</w:t>
            </w:r>
          </w:p>
        </w:tc>
        <w:tc>
          <w:tcPr>
            <w:tcW w:w="1908" w:type="dxa"/>
            <w:noWrap w:val="0"/>
            <w:vAlign w:val="center"/>
          </w:tcPr>
          <w:p w14:paraId="07B10477">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应急检测箱</w:t>
            </w:r>
          </w:p>
        </w:tc>
        <w:tc>
          <w:tcPr>
            <w:tcW w:w="683" w:type="dxa"/>
            <w:noWrap w:val="0"/>
            <w:vAlign w:val="center"/>
          </w:tcPr>
          <w:p w14:paraId="0611E95A">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3</w:t>
            </w:r>
          </w:p>
        </w:tc>
        <w:tc>
          <w:tcPr>
            <w:tcW w:w="825" w:type="dxa"/>
            <w:noWrap w:val="0"/>
            <w:vAlign w:val="center"/>
          </w:tcPr>
          <w:p w14:paraId="589A738F">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369664AD">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一、满足快速定性检测水中33项指标，内含采样工具及辅助器具，方便现场采样及现场检测。</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二、技术参数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 ABS铝合金箱体  含预装辅助设备 套 ≥1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 金属探针温度计-50～300℃ 支 ≥1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 笔式电导仪0～1999us/cm 支 ≥1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 笔式酸度计 pH 1.0～14.0 支 ≥1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 水质色度速测标准盒5,10,15,20度 套 ≥1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6 水质浊度速测盒25次测定用量 盒 ≥1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7 水中余氯、总氯速测盒100次测定用量 盒 ≥ 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8 水质总硬度快速检测试剂盒约30次测定用量 盒 ≥1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9 水质耗氧量快速检测试剂盒约20次测定用量 盒 ≥1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10 水中砷速测盒30次测定用量 盒 ≥1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 水中汞速测盒60次测定用量 盒 ≥1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12 水中镉速测包50次测定用量 包 ≥1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13 水中铅速测包30次测定用量 包 ≥1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14 水中锰速测盒20次测定用量 盒 ≥1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15 水中六价铬速测盒20次测定用量 包 ≥1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16 水中氰化物速测盒20次测定用量 包 ≥1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17 水中氟化物速测盒30次测定用量 包 ≥1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18 水中甲醛速测盒50次测定用量 盒 ≥1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19 水中氯化物速测盒30次测定用量 包 ≥1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20 水中硫酸盐速测盒30次测定用量 包 ≥1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 水中挥发酚速测盒20次测定用量 盒 ≥1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22 水中总铁速测盒30次测定用量 包 ≥1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23 水中钡速测试剂盒20次测定用量 盒 ≥1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24 水中氨氮速测盒30次测定用量 包 ≥1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25 水中尿素速测盒20次测定用量 包 ≥1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26 水中硫化物速测盒20次测定用量 盒 ≥1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27 亚硝酸盐速测盒20次测定用量 包 ≥1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28 硝酸盐速测盒20次测定用量 包 ≥1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29 二氧化氯速测盒100次测定用量 盒 ≥1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30 农药速测卡20次测定用量 包 ≥1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31 毒鼠强速测盒约30次测定用量 盒 ≥1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32 氟乙酰胺速测盒约30次测定用量 盒 ≥1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33 消毒液有效氯速测试纸20次测定用量 袋 ≥1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34  水中镍速测盒50次测定用量 包 ≥2</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三、检测箱预装辅助设备：</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0.1～1.0mL手动可调式移液器1把，移液头20支，计算器1个，多功能剪刀1把，试管架1个，试管5支，30ml采样器1个，30ml采样罐10个，样品杯10个，一次性滴管20支，镊子2把，量尺1把，小刀1把，pH试纸1包，封口膜1袋，记号笔2支，标签纸2张</w:t>
            </w:r>
          </w:p>
        </w:tc>
      </w:tr>
      <w:tr w14:paraId="174B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75" w:type="dxa"/>
            <w:noWrap/>
            <w:vAlign w:val="center"/>
          </w:tcPr>
          <w:p w14:paraId="57D144D5">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52</w:t>
            </w:r>
          </w:p>
        </w:tc>
        <w:tc>
          <w:tcPr>
            <w:tcW w:w="1908" w:type="dxa"/>
            <w:noWrap w:val="0"/>
            <w:vAlign w:val="center"/>
          </w:tcPr>
          <w:p w14:paraId="75567154">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便携式气象仪</w:t>
            </w:r>
          </w:p>
        </w:tc>
        <w:tc>
          <w:tcPr>
            <w:tcW w:w="683" w:type="dxa"/>
            <w:noWrap w:val="0"/>
            <w:vAlign w:val="center"/>
          </w:tcPr>
          <w:p w14:paraId="4FA8CB08">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w:t>
            </w:r>
          </w:p>
        </w:tc>
        <w:tc>
          <w:tcPr>
            <w:tcW w:w="825" w:type="dxa"/>
            <w:noWrap w:val="0"/>
            <w:vAlign w:val="center"/>
          </w:tcPr>
          <w:p w14:paraId="0C9EF3E7">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48A423F3">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1.风速：0.6-40m/s±3%</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2.空气温度：-29℃-70℃ 精度0.5℃</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3.相对湿度：10-90%±2%</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4.压力：700~1100hPa±1.5 hPa/mb</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5.风向：0～360°±5°</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6.数据存储：&gt;10000组</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7.存储温度：-30℃～60℃</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8.无线传输距离：30米</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9.LCD和电池温度：-10℃～55℃</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10.电源：1节AA电池，可用大约400小时</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11.防护等级：IP67</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12.标配：主机，布袋包，颈带绳</w:t>
            </w:r>
          </w:p>
        </w:tc>
      </w:tr>
      <w:tr w14:paraId="152C5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675" w:type="dxa"/>
            <w:noWrap/>
            <w:vAlign w:val="center"/>
          </w:tcPr>
          <w:p w14:paraId="2150FBF4">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53</w:t>
            </w:r>
          </w:p>
        </w:tc>
        <w:tc>
          <w:tcPr>
            <w:tcW w:w="1908" w:type="dxa"/>
            <w:noWrap w:val="0"/>
            <w:vAlign w:val="center"/>
          </w:tcPr>
          <w:p w14:paraId="52EF458E">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便携式分光光度计</w:t>
            </w:r>
          </w:p>
        </w:tc>
        <w:tc>
          <w:tcPr>
            <w:tcW w:w="683" w:type="dxa"/>
            <w:noWrap w:val="0"/>
            <w:vAlign w:val="center"/>
          </w:tcPr>
          <w:p w14:paraId="7FDFADEA">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w:t>
            </w:r>
          </w:p>
        </w:tc>
        <w:tc>
          <w:tcPr>
            <w:tcW w:w="825" w:type="dxa"/>
            <w:noWrap w:val="0"/>
            <w:vAlign w:val="center"/>
          </w:tcPr>
          <w:p w14:paraId="544D23DE">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54963FD4">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1、水质分析模块包含但不限于余氯、COD、总磷、总氮、氨氮的测试项目，并具有根据用户需要添加自定义测试项目的功能。</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2、样品测试：简易化的一键测试功能，使用更加方便</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3、操作便捷：彩色触屏，人性化设计，浓度直读，中文显示界面</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4、数据处理：可以存储海量测试数据，并能自由查看，支持U盘导出</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5、主机内置或外置锂电池，配套便携式消解器和便携箱，方便野外使用。</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6、波长范围：320-1100</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7、光学系统：单光束</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8、波长准确度：±2nm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9、波长重复性：≤1nm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10、透射比准确度：±0.5%T</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11、透射比重复性：≤0.1%T</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12配置清单：主机、消解器、打印机</w:t>
            </w:r>
            <w:r>
              <w:rPr>
                <w:rFonts w:hint="eastAsia" w:ascii="宋体" w:hAnsi="宋体" w:cs="宋体"/>
                <w:color w:val="000000"/>
                <w:kern w:val="0"/>
                <w:sz w:val="24"/>
                <w:szCs w:val="24"/>
                <w:highlight w:val="none"/>
                <w:lang w:eastAsia="zh-CN" w:bidi="ar"/>
              </w:rPr>
              <w:t>（可扫描复印、正反打印，支持A4幅面）</w:t>
            </w:r>
            <w:r>
              <w:rPr>
                <w:rFonts w:hint="eastAsia" w:ascii="宋体" w:hAnsi="宋体" w:cs="宋体"/>
                <w:color w:val="000000"/>
                <w:kern w:val="0"/>
                <w:sz w:val="24"/>
                <w:szCs w:val="24"/>
                <w:highlight w:val="none"/>
                <w:lang w:bidi="ar"/>
              </w:rPr>
              <w:t>、便携箱、以及COD、氨氮、总磷、总氮预制管试剂各一套</w:t>
            </w:r>
          </w:p>
        </w:tc>
      </w:tr>
      <w:tr w14:paraId="2482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6" w:hRule="atLeast"/>
        </w:trPr>
        <w:tc>
          <w:tcPr>
            <w:tcW w:w="675" w:type="dxa"/>
            <w:noWrap/>
            <w:vAlign w:val="center"/>
          </w:tcPr>
          <w:p w14:paraId="015489CA">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54</w:t>
            </w:r>
          </w:p>
        </w:tc>
        <w:tc>
          <w:tcPr>
            <w:tcW w:w="1908" w:type="dxa"/>
            <w:noWrap w:val="0"/>
            <w:vAlign w:val="center"/>
          </w:tcPr>
          <w:p w14:paraId="1968F5DD">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微波萃取仪</w:t>
            </w:r>
          </w:p>
        </w:tc>
        <w:tc>
          <w:tcPr>
            <w:tcW w:w="683" w:type="dxa"/>
            <w:noWrap w:val="0"/>
            <w:vAlign w:val="center"/>
          </w:tcPr>
          <w:p w14:paraId="42EB1EDA">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825" w:type="dxa"/>
            <w:noWrap w:val="0"/>
            <w:vAlign w:val="center"/>
          </w:tcPr>
          <w:p w14:paraId="4DA92C67">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6B3197CE">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 xml:space="preserve">1.基本要求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适用于土壤、固体废物或沉积物样品中有机物的微波萃取，符合 HJ 765、HJ 921 等技术规范要求。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2.技术参数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2.1 微波系统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2.1.1 微波输出功率：≥1000W；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2.1.2 微波工作方式：可实现脉冲和连续波（非脉冲）方式；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2.2 炉腔系统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2.2.1 萃取位数：≥8 位；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2.2.2 腔体：材质为整体 316L 不锈钢，容积：≥30L；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2.2.3 炉门及门锁结构：侧开门方式，采用不锈钢安全防爆门，运行过程中始终锁定炉门；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2.2.4 测温方式：采用红外全罐测温，对全部罐体进行温度扫描；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2.2.5 测温范围及精度：室温～400℃，精度：±0.1℃；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2.2.6 全罐控压：配备压力监控系统，实时监控反应罐反应过程中的压力变化，并在操控屏上实时显示压力数值，超压自动泄压；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2.3 罐体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2.3.1 内罐材质：自带编号的高性能 TFM 复合材料；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2.3.2 内罐容积：≥60mL；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2.3.3 内罐最高耐受压力：≥2.5Mpa，最高耐受温度：≥230℃；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2.3.4 内罐在≥2.5Mpa、≥230℃条件下，仪器可正常工作运行；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2.3.5 外罐材质：耐高压，耐腐蚀、支持水洗易于清洁；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2.4 主机内置灯光识别反应状态系统，可通过灯光信号变化反馈反应状况和不同的萃取阶段</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2.5 内置方法库和视频培训教程，中文操作界面；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2.6 异常监控：具有异常自动报警及急停切断微波功能。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3.配置要求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3.1 主机：1台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3.2 萃取外罐(与萃取位数数量相同)：1套；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3.3 萃取内罐（与萃取位数数量相同）：2套；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3.4 内罐杯架：2套；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3.5 全罐压力控制系统：1套；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3.6 全罐红外测温系统：1套；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3.7 溶剂泄露监控系统：1套。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4.验收指标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按照HJ921方法要求，土壤六六六和滴滴涕质控样测定值在标准限值范围内，空白加标回收率在75％～105％。</w:t>
            </w:r>
          </w:p>
        </w:tc>
      </w:tr>
      <w:tr w14:paraId="7EA3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0" w:hRule="atLeast"/>
        </w:trPr>
        <w:tc>
          <w:tcPr>
            <w:tcW w:w="675" w:type="dxa"/>
            <w:noWrap/>
            <w:vAlign w:val="center"/>
          </w:tcPr>
          <w:p w14:paraId="082D1076">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55</w:t>
            </w:r>
          </w:p>
        </w:tc>
        <w:tc>
          <w:tcPr>
            <w:tcW w:w="1908" w:type="dxa"/>
            <w:noWrap w:val="0"/>
            <w:vAlign w:val="center"/>
          </w:tcPr>
          <w:p w14:paraId="257067A7">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多功能水质采样器</w:t>
            </w:r>
          </w:p>
        </w:tc>
        <w:tc>
          <w:tcPr>
            <w:tcW w:w="683" w:type="dxa"/>
            <w:noWrap w:val="0"/>
            <w:vAlign w:val="center"/>
          </w:tcPr>
          <w:p w14:paraId="69B018CA">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w:t>
            </w:r>
          </w:p>
        </w:tc>
        <w:tc>
          <w:tcPr>
            <w:tcW w:w="825" w:type="dxa"/>
            <w:noWrap w:val="0"/>
            <w:vAlign w:val="center"/>
          </w:tcPr>
          <w:p w14:paraId="756A4FB5">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13DB2D1E">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1.技术指标</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1.1采样间隔：</w:t>
            </w:r>
            <w:r>
              <w:rPr>
                <w:rStyle w:val="29"/>
                <w:rFonts w:hint="default"/>
                <w:sz w:val="24"/>
                <w:szCs w:val="24"/>
                <w:highlight w:val="none"/>
                <w:lang w:bidi="ar"/>
              </w:rPr>
              <w:t xml:space="preserve">                                  1min～9999min可设</w:t>
            </w:r>
            <w:r>
              <w:rPr>
                <w:rStyle w:val="29"/>
                <w:rFonts w:hint="default"/>
                <w:sz w:val="24"/>
                <w:szCs w:val="24"/>
                <w:highlight w:val="none"/>
                <w:lang w:bidi="ar"/>
              </w:rPr>
              <w:br w:type="textWrapping"/>
            </w:r>
            <w:r>
              <w:rPr>
                <w:rStyle w:val="29"/>
                <w:rFonts w:hint="default"/>
                <w:sz w:val="24"/>
                <w:szCs w:val="24"/>
                <w:highlight w:val="none"/>
                <w:lang w:bidi="ar"/>
              </w:rPr>
              <w:t>1.2留样瓶数：                                  12瓶</w:t>
            </w:r>
            <w:r>
              <w:rPr>
                <w:rStyle w:val="29"/>
                <w:rFonts w:hint="default"/>
                <w:sz w:val="24"/>
                <w:szCs w:val="24"/>
                <w:highlight w:val="none"/>
                <w:lang w:bidi="ar"/>
              </w:rPr>
              <w:br w:type="textWrapping"/>
            </w:r>
            <w:r>
              <w:rPr>
                <w:rStyle w:val="29"/>
                <w:rFonts w:hint="default"/>
                <w:sz w:val="24"/>
                <w:szCs w:val="24"/>
                <w:highlight w:val="none"/>
                <w:lang w:bidi="ar"/>
              </w:rPr>
              <w:t>1.3单次留样样量：                          10ml～1000ml</w:t>
            </w:r>
            <w:r>
              <w:rPr>
                <w:rStyle w:val="29"/>
                <w:rFonts w:hint="default"/>
                <w:sz w:val="24"/>
                <w:szCs w:val="24"/>
                <w:highlight w:val="none"/>
                <w:lang w:bidi="ar"/>
              </w:rPr>
              <w:br w:type="textWrapping"/>
            </w:r>
            <w:r>
              <w:rPr>
                <w:rStyle w:val="29"/>
                <w:rFonts w:hint="default"/>
                <w:sz w:val="24"/>
                <w:szCs w:val="24"/>
                <w:highlight w:val="none"/>
                <w:lang w:bidi="ar"/>
              </w:rPr>
              <w:t>1.4采样瓶容量：                              900ml</w:t>
            </w:r>
            <w:r>
              <w:rPr>
                <w:rStyle w:val="29"/>
                <w:rFonts w:hint="default"/>
                <w:sz w:val="24"/>
                <w:szCs w:val="24"/>
                <w:highlight w:val="none"/>
                <w:lang w:bidi="ar"/>
              </w:rPr>
              <w:br w:type="textWrapping"/>
            </w:r>
            <w:r>
              <w:rPr>
                <w:rStyle w:val="29"/>
                <w:rFonts w:hint="default"/>
                <w:sz w:val="24"/>
                <w:szCs w:val="24"/>
                <w:highlight w:val="none"/>
                <w:lang w:bidi="ar"/>
              </w:rPr>
              <w:t>1.5留样量误差：                              ±10%（留样200ml时）</w:t>
            </w:r>
            <w:r>
              <w:rPr>
                <w:rStyle w:val="29"/>
                <w:rFonts w:hint="default"/>
                <w:sz w:val="24"/>
                <w:szCs w:val="24"/>
                <w:highlight w:val="none"/>
                <w:lang w:bidi="ar"/>
              </w:rPr>
              <w:br w:type="textWrapping"/>
            </w:r>
            <w:r>
              <w:rPr>
                <w:rStyle w:val="29"/>
                <w:rFonts w:hint="default"/>
                <w:sz w:val="24"/>
                <w:szCs w:val="24"/>
                <w:highlight w:val="none"/>
                <w:lang w:bidi="ar"/>
              </w:rPr>
              <w:t>1.6等比例留样量误差：                   ±10%</w:t>
            </w:r>
            <w:r>
              <w:rPr>
                <w:rStyle w:val="29"/>
                <w:rFonts w:hint="default"/>
                <w:sz w:val="24"/>
                <w:szCs w:val="24"/>
                <w:highlight w:val="none"/>
                <w:lang w:bidi="ar"/>
              </w:rPr>
              <w:br w:type="textWrapping"/>
            </w:r>
            <w:r>
              <w:rPr>
                <w:rStyle w:val="29"/>
                <w:rFonts w:hint="default"/>
                <w:sz w:val="24"/>
                <w:szCs w:val="24"/>
                <w:highlight w:val="none"/>
                <w:lang w:bidi="ar"/>
              </w:rPr>
              <w:t>1.7内置采样泵吸程：                       ≥6.5米</w:t>
            </w:r>
            <w:r>
              <w:rPr>
                <w:rStyle w:val="29"/>
                <w:rFonts w:hint="default"/>
                <w:sz w:val="24"/>
                <w:szCs w:val="24"/>
                <w:highlight w:val="none"/>
                <w:lang w:bidi="ar"/>
              </w:rPr>
              <w:br w:type="textWrapping"/>
            </w:r>
            <w:r>
              <w:rPr>
                <w:rStyle w:val="29"/>
                <w:rFonts w:hint="default"/>
                <w:sz w:val="24"/>
                <w:szCs w:val="24"/>
                <w:highlight w:val="none"/>
                <w:lang w:bidi="ar"/>
              </w:rPr>
              <w:t>1.8水平采样距离：                           ≥60米</w:t>
            </w:r>
            <w:r>
              <w:rPr>
                <w:rStyle w:val="29"/>
                <w:rFonts w:hint="default"/>
                <w:sz w:val="24"/>
                <w:szCs w:val="24"/>
                <w:highlight w:val="none"/>
                <w:lang w:bidi="ar"/>
              </w:rPr>
              <w:br w:type="textWrapping"/>
            </w:r>
            <w:r>
              <w:rPr>
                <w:rStyle w:val="29"/>
                <w:rFonts w:hint="default"/>
                <w:sz w:val="24"/>
                <w:szCs w:val="24"/>
                <w:highlight w:val="none"/>
                <w:lang w:bidi="ar"/>
              </w:rPr>
              <w:t>1.9水样保存温度：                           0℃～4℃（±1.5℃）</w:t>
            </w:r>
            <w:r>
              <w:rPr>
                <w:rStyle w:val="29"/>
                <w:rFonts w:hint="default"/>
                <w:sz w:val="24"/>
                <w:szCs w:val="24"/>
                <w:highlight w:val="none"/>
                <w:lang w:bidi="ar"/>
              </w:rPr>
              <w:br w:type="textWrapping"/>
            </w:r>
            <w:r>
              <w:rPr>
                <w:rStyle w:val="29"/>
                <w:rFonts w:hint="default"/>
                <w:sz w:val="24"/>
                <w:szCs w:val="24"/>
                <w:highlight w:val="none"/>
                <w:lang w:bidi="ar"/>
              </w:rPr>
              <w:t>1.10管路系统气密性：                       ≤-0.07MPa</w:t>
            </w:r>
            <w:r>
              <w:rPr>
                <w:rStyle w:val="29"/>
                <w:rFonts w:hint="default"/>
                <w:sz w:val="24"/>
                <w:szCs w:val="24"/>
                <w:highlight w:val="none"/>
                <w:lang w:bidi="ar"/>
              </w:rPr>
              <w:br w:type="textWrapping"/>
            </w:r>
            <w:r>
              <w:rPr>
                <w:rStyle w:val="29"/>
                <w:rFonts w:hint="default"/>
                <w:sz w:val="24"/>
                <w:szCs w:val="24"/>
                <w:highlight w:val="none"/>
                <w:lang w:bidi="ar"/>
              </w:rPr>
              <w:t>1.11平均无故障连续运行时间：          ≥1440h/次</w:t>
            </w:r>
            <w:r>
              <w:rPr>
                <w:rStyle w:val="29"/>
                <w:rFonts w:hint="default"/>
                <w:sz w:val="24"/>
                <w:szCs w:val="24"/>
                <w:highlight w:val="none"/>
                <w:lang w:bidi="ar"/>
              </w:rPr>
              <w:br w:type="textWrapping"/>
            </w:r>
            <w:r>
              <w:rPr>
                <w:rStyle w:val="29"/>
                <w:rFonts w:hint="default"/>
                <w:sz w:val="24"/>
                <w:szCs w:val="24"/>
                <w:highlight w:val="none"/>
                <w:lang w:bidi="ar"/>
              </w:rPr>
              <w:t>1.12绝缘阻抗：                                 ＞20MΩ</w:t>
            </w:r>
            <w:r>
              <w:rPr>
                <w:rStyle w:val="29"/>
                <w:rFonts w:hint="default"/>
                <w:sz w:val="24"/>
                <w:szCs w:val="24"/>
                <w:highlight w:val="none"/>
                <w:lang w:bidi="ar"/>
              </w:rPr>
              <w:br w:type="textWrapping"/>
            </w:r>
            <w:r>
              <w:rPr>
                <w:rStyle w:val="29"/>
                <w:rFonts w:hint="default"/>
                <w:sz w:val="24"/>
                <w:szCs w:val="24"/>
                <w:highlight w:val="none"/>
                <w:lang w:bidi="ar"/>
              </w:rPr>
              <w:t>1.13模拟接口：                                 4mA～20mA</w:t>
            </w:r>
            <w:r>
              <w:rPr>
                <w:rStyle w:val="29"/>
                <w:rFonts w:hint="default"/>
                <w:sz w:val="24"/>
                <w:szCs w:val="24"/>
                <w:highlight w:val="none"/>
                <w:lang w:bidi="ar"/>
              </w:rPr>
              <w:br w:type="textWrapping"/>
            </w:r>
            <w:r>
              <w:rPr>
                <w:rStyle w:val="29"/>
                <w:rFonts w:hint="default"/>
                <w:sz w:val="24"/>
                <w:szCs w:val="24"/>
                <w:highlight w:val="none"/>
                <w:lang w:bidi="ar"/>
              </w:rPr>
              <w:t>1.14数字量输入接口：                      开关量、RS485</w:t>
            </w:r>
            <w:r>
              <w:rPr>
                <w:rStyle w:val="29"/>
                <w:rFonts w:hint="default"/>
                <w:sz w:val="24"/>
                <w:szCs w:val="24"/>
                <w:highlight w:val="none"/>
                <w:lang w:bidi="ar"/>
              </w:rPr>
              <w:br w:type="textWrapping"/>
            </w:r>
            <w:r>
              <w:rPr>
                <w:rStyle w:val="29"/>
                <w:rFonts w:hint="default"/>
                <w:sz w:val="24"/>
                <w:szCs w:val="24"/>
                <w:highlight w:val="none"/>
                <w:lang w:bidi="ar"/>
              </w:rPr>
              <w:t>1.15流量测量接入形式：                  流量计模拟信号</w:t>
            </w:r>
          </w:p>
        </w:tc>
      </w:tr>
      <w:tr w14:paraId="3D5E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noWrap/>
            <w:vAlign w:val="center"/>
          </w:tcPr>
          <w:p w14:paraId="76FBBF61">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56</w:t>
            </w:r>
          </w:p>
        </w:tc>
        <w:tc>
          <w:tcPr>
            <w:tcW w:w="1908" w:type="dxa"/>
            <w:noWrap w:val="0"/>
            <w:vAlign w:val="center"/>
          </w:tcPr>
          <w:p w14:paraId="2031CC5E">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手持式叶绿素（蓝绿藻）测定仪</w:t>
            </w:r>
          </w:p>
        </w:tc>
        <w:tc>
          <w:tcPr>
            <w:tcW w:w="683" w:type="dxa"/>
            <w:noWrap w:val="0"/>
            <w:vAlign w:val="center"/>
          </w:tcPr>
          <w:p w14:paraId="1ABE496C">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w:t>
            </w:r>
          </w:p>
        </w:tc>
        <w:tc>
          <w:tcPr>
            <w:tcW w:w="825" w:type="dxa"/>
            <w:noWrap w:val="0"/>
            <w:vAlign w:val="center"/>
          </w:tcPr>
          <w:p w14:paraId="5F652170">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5FD1A11C">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1.叶绿素；</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 测量范围：0.5-500 ug/L；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1.2 测量精度：±5%；</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1.3 存储温度：0-50℃；</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1.4 工作温度：0-40℃；</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 蓝绿藻；</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 测量范围：200-300,000cells/mL；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2.2 测量精度：±5%；</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2.3 存储温度：0-50℃；</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2.4 工作温度：0-40℃；</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3.5彩色显示屏幕，背光可调；</w:t>
            </w:r>
          </w:p>
        </w:tc>
      </w:tr>
      <w:tr w14:paraId="3E981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atLeast"/>
        </w:trPr>
        <w:tc>
          <w:tcPr>
            <w:tcW w:w="675" w:type="dxa"/>
            <w:noWrap/>
            <w:vAlign w:val="center"/>
          </w:tcPr>
          <w:p w14:paraId="718DB8D3">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57</w:t>
            </w:r>
          </w:p>
        </w:tc>
        <w:tc>
          <w:tcPr>
            <w:tcW w:w="1908" w:type="dxa"/>
            <w:noWrap w:val="0"/>
            <w:vAlign w:val="center"/>
          </w:tcPr>
          <w:p w14:paraId="63A297E6">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便携式不透光烟度计</w:t>
            </w:r>
          </w:p>
        </w:tc>
        <w:tc>
          <w:tcPr>
            <w:tcW w:w="683" w:type="dxa"/>
            <w:noWrap w:val="0"/>
            <w:vAlign w:val="center"/>
          </w:tcPr>
          <w:p w14:paraId="79651605">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w:t>
            </w:r>
          </w:p>
        </w:tc>
        <w:tc>
          <w:tcPr>
            <w:tcW w:w="825" w:type="dxa"/>
            <w:noWrap w:val="0"/>
            <w:vAlign w:val="center"/>
          </w:tcPr>
          <w:p w14:paraId="5E1C2F1C">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7514B124">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技术参数：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吸收比(N)：(0~99.9)%</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光吸收系数（K）：(0~16.08)m-1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油温：(-20-200)℃</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烟气温度：(0-150)℃</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大气压：(60~120)kPa</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环境温度：(-40~85)℃</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光通道有效长度：215mm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光通道等效长度：430mm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工作温度：(-5~40)℃</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工作湿度：(0-95)%无凝结</w:t>
            </w:r>
          </w:p>
        </w:tc>
      </w:tr>
      <w:tr w14:paraId="5BCCF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675" w:type="dxa"/>
            <w:noWrap/>
            <w:vAlign w:val="center"/>
          </w:tcPr>
          <w:p w14:paraId="0D24107B">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58</w:t>
            </w:r>
          </w:p>
        </w:tc>
        <w:tc>
          <w:tcPr>
            <w:tcW w:w="1908" w:type="dxa"/>
            <w:noWrap w:val="0"/>
            <w:vAlign w:val="center"/>
          </w:tcPr>
          <w:p w14:paraId="00AE5B9B">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激光测距望远镜</w:t>
            </w:r>
          </w:p>
        </w:tc>
        <w:tc>
          <w:tcPr>
            <w:tcW w:w="683" w:type="dxa"/>
            <w:noWrap w:val="0"/>
            <w:vAlign w:val="center"/>
          </w:tcPr>
          <w:p w14:paraId="3AD6A9FB">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w:t>
            </w:r>
          </w:p>
        </w:tc>
        <w:tc>
          <w:tcPr>
            <w:tcW w:w="825" w:type="dxa"/>
            <w:noWrap w:val="0"/>
            <w:vAlign w:val="center"/>
          </w:tcPr>
          <w:p w14:paraId="1945B40A">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238E9323">
            <w:pPr>
              <w:widowControl/>
              <w:numPr>
                <w:ilvl w:val="0"/>
                <w:numId w:val="11"/>
              </w:numPr>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测量范围：≥1000m；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2.自动存储功能：≥30次；</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3.测角范围：±90°；</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4.角度公差：±1°；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5.望远镜倍率：≥6X；</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6.视场角：6.0±10%；</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7.视度调节范围：±6驱光度；</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8.测量单位：M米，Y码；</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9.电池：≥750mAh锂电池可充/放电800次；</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10.整机功耗：≤1.2w；</w:t>
            </w:r>
          </w:p>
          <w:p w14:paraId="6D9656A0">
            <w:pPr>
              <w:widowControl/>
              <w:jc w:val="left"/>
              <w:textAlignment w:val="top"/>
              <w:rPr>
                <w:rFonts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11.含红外功能</w:t>
            </w:r>
          </w:p>
        </w:tc>
      </w:tr>
      <w:tr w14:paraId="592D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trPr>
        <w:tc>
          <w:tcPr>
            <w:tcW w:w="675" w:type="dxa"/>
            <w:noWrap/>
            <w:vAlign w:val="center"/>
          </w:tcPr>
          <w:p w14:paraId="79FAB83F">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59</w:t>
            </w:r>
          </w:p>
        </w:tc>
        <w:tc>
          <w:tcPr>
            <w:tcW w:w="1908" w:type="dxa"/>
            <w:noWrap w:val="0"/>
            <w:vAlign w:val="center"/>
          </w:tcPr>
          <w:p w14:paraId="0D47A4CD">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便携式水质重金属检测仪</w:t>
            </w:r>
          </w:p>
        </w:tc>
        <w:tc>
          <w:tcPr>
            <w:tcW w:w="683" w:type="dxa"/>
            <w:noWrap w:val="0"/>
            <w:vAlign w:val="center"/>
          </w:tcPr>
          <w:p w14:paraId="0C165121">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825" w:type="dxa"/>
            <w:noWrap w:val="0"/>
            <w:vAlign w:val="center"/>
          </w:tcPr>
          <w:p w14:paraId="14A8EE58">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6C4B577B">
            <w:pPr>
              <w:widowControl/>
              <w:jc w:val="left"/>
              <w:textAlignment w:val="top"/>
              <w:rPr>
                <w:rStyle w:val="29"/>
                <w:rFonts w:hint="default"/>
                <w:sz w:val="24"/>
                <w:szCs w:val="24"/>
                <w:highlight w:val="none"/>
                <w:lang w:bidi="ar"/>
              </w:rPr>
            </w:pPr>
            <w:r>
              <w:rPr>
                <w:rFonts w:hint="eastAsia" w:ascii="宋体" w:hAnsi="宋体" w:cs="宋体"/>
                <w:color w:val="000000"/>
                <w:kern w:val="0"/>
                <w:sz w:val="24"/>
                <w:szCs w:val="24"/>
                <w:highlight w:val="none"/>
                <w:lang w:bidi="ar"/>
              </w:rPr>
              <w:t>技术要求：</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1.1通过配置不同的工作电极，可支持检测十种以上的金属离子。仪器可支持自行开发更多种重金属离子检测方法；</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1.2检测精度：单机操作为100ppb≤±10%</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1.3电极组配制：独立的玻碳工作电极（对应检测项目：Zn、Cd、Pb、Cu）；独立的金工作电极（对应检测项目：Hg、As）；独立的铂对电极；独立的银/氯化银参比电极；</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1.4测量镉标准液示值误差≤±5%（@100ppb），重现性RSD≤10% </w:t>
            </w:r>
            <w:r>
              <w:rPr>
                <w:rStyle w:val="29"/>
                <w:rFonts w:hint="default"/>
                <w:sz w:val="24"/>
                <w:szCs w:val="24"/>
                <w:highlight w:val="none"/>
                <w:lang w:bidi="ar"/>
              </w:rPr>
              <w:t xml:space="preserve"> </w:t>
            </w:r>
            <w:r>
              <w:rPr>
                <w:rStyle w:val="29"/>
                <w:rFonts w:hint="default"/>
                <w:sz w:val="24"/>
                <w:szCs w:val="24"/>
                <w:highlight w:val="none"/>
                <w:lang w:bidi="ar"/>
              </w:rPr>
              <w:br w:type="textWrapping"/>
            </w:r>
            <w:r>
              <w:rPr>
                <w:rStyle w:val="29"/>
                <w:rFonts w:hint="default"/>
                <w:sz w:val="24"/>
                <w:szCs w:val="24"/>
                <w:highlight w:val="none"/>
                <w:lang w:bidi="ar"/>
              </w:rPr>
              <w:t xml:space="preserve">1.5元素检测范围： 阳极溶出法：铜：0.1 ppb～25ppm；镉：0.1 ppb～20 ppm；铅：0.5 ppb～25ppm；锌：0.5 ppb～20 ppm；汞：0.1 ppb～6 ppm； 砷：1ppb～ 20 ppm；可扩展比色法模块（铁：50 ppb～10 ppm；六价铬：50ppb～2ppm）； </w:t>
            </w:r>
            <w:r>
              <w:rPr>
                <w:rStyle w:val="29"/>
                <w:rFonts w:hint="default"/>
                <w:sz w:val="24"/>
                <w:szCs w:val="24"/>
                <w:highlight w:val="none"/>
                <w:lang w:bidi="ar"/>
              </w:rPr>
              <w:br w:type="textWrapping"/>
            </w:r>
            <w:r>
              <w:rPr>
                <w:rStyle w:val="29"/>
                <w:rFonts w:hint="default"/>
                <w:sz w:val="24"/>
                <w:szCs w:val="24"/>
                <w:highlight w:val="none"/>
                <w:lang w:bidi="ar"/>
              </w:rPr>
              <w:t xml:space="preserve">1.6测量时间快：检测时间小于5 分钟，最快检测时间小于30 秒；  </w:t>
            </w:r>
            <w:r>
              <w:rPr>
                <w:rStyle w:val="29"/>
                <w:rFonts w:hint="default"/>
                <w:sz w:val="24"/>
                <w:szCs w:val="24"/>
                <w:highlight w:val="none"/>
                <w:lang w:bidi="ar"/>
              </w:rPr>
              <w:br w:type="textWrapping"/>
            </w:r>
            <w:r>
              <w:rPr>
                <w:rStyle w:val="29"/>
                <w:rFonts w:hint="default"/>
                <w:sz w:val="24"/>
                <w:szCs w:val="24"/>
                <w:highlight w:val="none"/>
                <w:lang w:bidi="ar"/>
              </w:rPr>
              <w:t xml:space="preserve">1.7具有剩余电量指示功能，配置电源适配器充电和汽车点烟器进行车载充电，方便现场电量不足时采取有效措施；  </w:t>
            </w:r>
            <w:r>
              <w:rPr>
                <w:rStyle w:val="29"/>
                <w:rFonts w:hint="default"/>
                <w:sz w:val="24"/>
                <w:szCs w:val="24"/>
                <w:highlight w:val="none"/>
                <w:lang w:bidi="ar"/>
              </w:rPr>
              <w:br w:type="textWrapping"/>
            </w:r>
            <w:r>
              <w:rPr>
                <w:rStyle w:val="29"/>
                <w:rFonts w:hint="default"/>
                <w:sz w:val="24"/>
                <w:szCs w:val="24"/>
                <w:highlight w:val="none"/>
                <w:lang w:bidi="ar"/>
              </w:rPr>
              <w:t xml:space="preserve">1.8可选配支持无线打印功能，可现场打印记录结果；具有数据存储功能，方便用户查询；  </w:t>
            </w:r>
            <w:r>
              <w:rPr>
                <w:rStyle w:val="29"/>
                <w:rFonts w:hint="default"/>
                <w:sz w:val="24"/>
                <w:szCs w:val="24"/>
                <w:highlight w:val="none"/>
                <w:lang w:bidi="ar"/>
              </w:rPr>
              <w:br w:type="textWrapping"/>
            </w:r>
            <w:r>
              <w:rPr>
                <w:rStyle w:val="29"/>
                <w:rFonts w:hint="default"/>
                <w:sz w:val="24"/>
                <w:szCs w:val="24"/>
                <w:highlight w:val="none"/>
                <w:lang w:bidi="ar"/>
              </w:rPr>
              <w:t xml:space="preserve">1.10内置蓝牙和USB 接口，并配套强大的联机软件，可实现硬件检测，电极维护，测量操作、历史数据上传、极谱图分析和算法应用分析等所有仪器操作；  </w:t>
            </w:r>
            <w:r>
              <w:rPr>
                <w:rStyle w:val="29"/>
                <w:rFonts w:hint="default"/>
                <w:sz w:val="24"/>
                <w:szCs w:val="24"/>
                <w:highlight w:val="none"/>
                <w:lang w:bidi="ar"/>
              </w:rPr>
              <w:br w:type="textWrapping"/>
            </w:r>
            <w:r>
              <w:rPr>
                <w:rStyle w:val="29"/>
                <w:rFonts w:hint="default"/>
                <w:sz w:val="24"/>
                <w:szCs w:val="24"/>
                <w:highlight w:val="none"/>
                <w:lang w:bidi="ar"/>
              </w:rPr>
              <w:t xml:space="preserve">2、配置清单：  </w:t>
            </w:r>
            <w:r>
              <w:rPr>
                <w:rStyle w:val="29"/>
                <w:rFonts w:hint="default"/>
                <w:sz w:val="24"/>
                <w:szCs w:val="24"/>
                <w:highlight w:val="none"/>
                <w:lang w:bidi="ar"/>
              </w:rPr>
              <w:br w:type="textWrapping"/>
            </w:r>
            <w:r>
              <w:rPr>
                <w:rStyle w:val="29"/>
                <w:rFonts w:hint="default"/>
                <w:sz w:val="24"/>
                <w:szCs w:val="24"/>
                <w:highlight w:val="none"/>
                <w:lang w:bidi="ar"/>
              </w:rPr>
              <w:t xml:space="preserve">1、主机                        1套 </w:t>
            </w:r>
            <w:r>
              <w:rPr>
                <w:rStyle w:val="29"/>
                <w:rFonts w:hint="default"/>
                <w:sz w:val="24"/>
                <w:szCs w:val="24"/>
                <w:highlight w:val="none"/>
                <w:lang w:bidi="ar"/>
              </w:rPr>
              <w:br w:type="textWrapping"/>
            </w:r>
            <w:r>
              <w:rPr>
                <w:rStyle w:val="29"/>
                <w:rFonts w:hint="default"/>
                <w:sz w:val="24"/>
                <w:szCs w:val="24"/>
                <w:highlight w:val="none"/>
                <w:lang w:bidi="ar"/>
              </w:rPr>
              <w:t xml:space="preserve">2、测试试剂标配六种元素        2套 </w:t>
            </w:r>
            <w:r>
              <w:rPr>
                <w:rStyle w:val="29"/>
                <w:rFonts w:hint="default"/>
                <w:sz w:val="24"/>
                <w:szCs w:val="24"/>
                <w:highlight w:val="none"/>
                <w:lang w:bidi="ar"/>
              </w:rPr>
              <w:br w:type="textWrapping"/>
            </w:r>
            <w:r>
              <w:rPr>
                <w:rStyle w:val="29"/>
                <w:rFonts w:hint="default"/>
                <w:sz w:val="24"/>
                <w:szCs w:val="24"/>
                <w:highlight w:val="none"/>
                <w:lang w:bidi="ar"/>
              </w:rPr>
              <w:t xml:space="preserve">3、电极清洁液                  1套 </w:t>
            </w:r>
            <w:r>
              <w:rPr>
                <w:rStyle w:val="29"/>
                <w:rFonts w:hint="default"/>
                <w:sz w:val="24"/>
                <w:szCs w:val="24"/>
                <w:highlight w:val="none"/>
                <w:lang w:bidi="ar"/>
              </w:rPr>
              <w:br w:type="textWrapping"/>
            </w:r>
            <w:r>
              <w:rPr>
                <w:rStyle w:val="29"/>
                <w:rFonts w:hint="default"/>
                <w:sz w:val="24"/>
                <w:szCs w:val="24"/>
                <w:highlight w:val="none"/>
                <w:lang w:bidi="ar"/>
              </w:rPr>
              <w:t xml:space="preserve">4、专用分析杯                  1套 </w:t>
            </w:r>
            <w:r>
              <w:rPr>
                <w:rStyle w:val="29"/>
                <w:rFonts w:hint="default"/>
                <w:sz w:val="24"/>
                <w:szCs w:val="24"/>
                <w:highlight w:val="none"/>
                <w:lang w:bidi="ar"/>
              </w:rPr>
              <w:br w:type="textWrapping"/>
            </w:r>
            <w:r>
              <w:rPr>
                <w:rStyle w:val="29"/>
                <w:rFonts w:hint="default"/>
                <w:sz w:val="24"/>
                <w:szCs w:val="24"/>
                <w:highlight w:val="none"/>
                <w:lang w:bidi="ar"/>
              </w:rPr>
              <w:t xml:space="preserve">5、移液枪                      1套 </w:t>
            </w:r>
            <w:r>
              <w:rPr>
                <w:rStyle w:val="29"/>
                <w:rFonts w:hint="default"/>
                <w:sz w:val="24"/>
                <w:szCs w:val="24"/>
                <w:highlight w:val="none"/>
                <w:lang w:bidi="ar"/>
              </w:rPr>
              <w:br w:type="textWrapping"/>
            </w:r>
            <w:r>
              <w:rPr>
                <w:rStyle w:val="29"/>
                <w:rFonts w:hint="default"/>
                <w:sz w:val="24"/>
                <w:szCs w:val="24"/>
                <w:highlight w:val="none"/>
                <w:lang w:bidi="ar"/>
              </w:rPr>
              <w:t xml:space="preserve">6、移液管                      1套 </w:t>
            </w:r>
            <w:r>
              <w:rPr>
                <w:rStyle w:val="29"/>
                <w:rFonts w:hint="default"/>
                <w:sz w:val="24"/>
                <w:szCs w:val="24"/>
                <w:highlight w:val="none"/>
                <w:lang w:bidi="ar"/>
              </w:rPr>
              <w:br w:type="textWrapping"/>
            </w:r>
            <w:r>
              <w:rPr>
                <w:rStyle w:val="29"/>
                <w:rFonts w:hint="default"/>
                <w:sz w:val="24"/>
                <w:szCs w:val="24"/>
                <w:highlight w:val="none"/>
                <w:lang w:bidi="ar"/>
              </w:rPr>
              <w:t xml:space="preserve">7、数据连接线                  1套 </w:t>
            </w:r>
            <w:r>
              <w:rPr>
                <w:rStyle w:val="29"/>
                <w:rFonts w:hint="default"/>
                <w:sz w:val="24"/>
                <w:szCs w:val="24"/>
                <w:highlight w:val="none"/>
                <w:lang w:bidi="ar"/>
              </w:rPr>
              <w:br w:type="textWrapping"/>
            </w:r>
            <w:r>
              <w:rPr>
                <w:rStyle w:val="29"/>
                <w:rFonts w:hint="default"/>
                <w:sz w:val="24"/>
                <w:szCs w:val="24"/>
                <w:highlight w:val="none"/>
                <w:lang w:bidi="ar"/>
              </w:rPr>
              <w:t xml:space="preserve">8、数据管理软件                1套 </w:t>
            </w:r>
            <w:r>
              <w:rPr>
                <w:rStyle w:val="29"/>
                <w:rFonts w:hint="default"/>
                <w:sz w:val="24"/>
                <w:szCs w:val="24"/>
                <w:highlight w:val="none"/>
                <w:lang w:bidi="ar"/>
              </w:rPr>
              <w:br w:type="textWrapping"/>
            </w:r>
            <w:r>
              <w:rPr>
                <w:rStyle w:val="29"/>
                <w:rFonts w:hint="default"/>
                <w:sz w:val="24"/>
                <w:szCs w:val="24"/>
                <w:highlight w:val="none"/>
                <w:lang w:bidi="ar"/>
              </w:rPr>
              <w:t xml:space="preserve">9、便携式手提箱                1套 </w:t>
            </w:r>
            <w:r>
              <w:rPr>
                <w:rStyle w:val="29"/>
                <w:rFonts w:hint="default"/>
                <w:sz w:val="24"/>
                <w:szCs w:val="24"/>
                <w:highlight w:val="none"/>
                <w:lang w:bidi="ar"/>
              </w:rPr>
              <w:br w:type="textWrapping"/>
            </w:r>
            <w:r>
              <w:rPr>
                <w:rStyle w:val="29"/>
                <w:rFonts w:hint="default"/>
                <w:sz w:val="24"/>
                <w:szCs w:val="24"/>
                <w:highlight w:val="none"/>
                <w:lang w:bidi="ar"/>
              </w:rPr>
              <w:t xml:space="preserve">10、电源适配器                 1套 </w:t>
            </w:r>
            <w:r>
              <w:rPr>
                <w:rStyle w:val="29"/>
                <w:rFonts w:hint="default"/>
                <w:sz w:val="24"/>
                <w:szCs w:val="24"/>
                <w:highlight w:val="none"/>
                <w:lang w:bidi="ar"/>
              </w:rPr>
              <w:br w:type="textWrapping"/>
            </w:r>
            <w:r>
              <w:rPr>
                <w:rStyle w:val="29"/>
                <w:rFonts w:hint="default"/>
                <w:sz w:val="24"/>
                <w:szCs w:val="24"/>
                <w:highlight w:val="none"/>
                <w:lang w:bidi="ar"/>
              </w:rPr>
              <w:t>11、点烟器适配器               1套</w:t>
            </w:r>
          </w:p>
          <w:p w14:paraId="38AD84DA">
            <w:pPr>
              <w:widowControl/>
              <w:jc w:val="left"/>
              <w:textAlignment w:val="top"/>
              <w:rPr>
                <w:rStyle w:val="29"/>
                <w:sz w:val="24"/>
                <w:szCs w:val="24"/>
                <w:highlight w:val="none"/>
                <w:lang w:bidi="ar"/>
              </w:rPr>
            </w:pPr>
            <w:r>
              <w:rPr>
                <w:rStyle w:val="29"/>
                <w:rFonts w:hint="eastAsia"/>
                <w:sz w:val="24"/>
                <w:szCs w:val="24"/>
                <w:highlight w:val="none"/>
                <w:lang w:bidi="ar"/>
              </w:rPr>
              <w:t>12、</w:t>
            </w:r>
            <w:r>
              <w:rPr>
                <w:rStyle w:val="29"/>
                <w:rFonts w:hint="default"/>
                <w:sz w:val="24"/>
                <w:szCs w:val="24"/>
                <w:highlight w:val="none"/>
                <w:lang w:bidi="ar"/>
              </w:rPr>
              <w:t>彩色激光打印机</w:t>
            </w:r>
            <w:r>
              <w:rPr>
                <w:rStyle w:val="29"/>
                <w:rFonts w:hint="eastAsia"/>
                <w:sz w:val="24"/>
                <w:szCs w:val="24"/>
                <w:highlight w:val="none"/>
                <w:lang w:bidi="ar"/>
              </w:rPr>
              <w:t xml:space="preserve">1台 </w:t>
            </w:r>
            <w:r>
              <w:rPr>
                <w:rStyle w:val="29"/>
                <w:rFonts w:hint="eastAsia"/>
                <w:sz w:val="24"/>
                <w:szCs w:val="24"/>
                <w:highlight w:val="none"/>
                <w:lang w:eastAsia="zh-CN" w:bidi="ar"/>
              </w:rPr>
              <w:t xml:space="preserve"> （ 可扫描复印、正反打印，支持</w:t>
            </w:r>
            <w:r>
              <w:rPr>
                <w:rStyle w:val="29"/>
                <w:rFonts w:hint="eastAsia"/>
                <w:sz w:val="24"/>
                <w:szCs w:val="24"/>
                <w:highlight w:val="none"/>
                <w:lang w:val="en-US" w:eastAsia="zh-CN" w:bidi="ar"/>
              </w:rPr>
              <w:t>A4幅面，无线连接</w:t>
            </w:r>
            <w:r>
              <w:rPr>
                <w:rStyle w:val="29"/>
                <w:rFonts w:hint="eastAsia"/>
                <w:sz w:val="24"/>
                <w:szCs w:val="24"/>
                <w:highlight w:val="none"/>
                <w:lang w:eastAsia="zh-CN" w:bidi="ar"/>
              </w:rPr>
              <w:t>），配套硒鼓</w:t>
            </w:r>
            <w:r>
              <w:rPr>
                <w:rStyle w:val="29"/>
                <w:rFonts w:hint="eastAsia"/>
                <w:sz w:val="24"/>
                <w:szCs w:val="24"/>
                <w:highlight w:val="none"/>
                <w:lang w:val="en-US" w:eastAsia="zh-CN" w:bidi="ar"/>
              </w:rPr>
              <w:t>4个，</w:t>
            </w:r>
            <w:r>
              <w:rPr>
                <w:rStyle w:val="29"/>
                <w:rFonts w:hint="default"/>
                <w:sz w:val="24"/>
                <w:szCs w:val="24"/>
                <w:highlight w:val="none"/>
                <w:lang w:bidi="ar"/>
              </w:rPr>
              <w:t>笔记本：1 台（</w:t>
            </w:r>
            <w:r>
              <w:rPr>
                <w:rStyle w:val="29"/>
                <w:rFonts w:hint="eastAsia"/>
                <w:sz w:val="24"/>
                <w:szCs w:val="24"/>
                <w:highlight w:val="none"/>
                <w:lang w:eastAsia="zh-CN" w:bidi="ar"/>
              </w:rPr>
              <w:t>内存不小于</w:t>
            </w:r>
            <w:r>
              <w:rPr>
                <w:rStyle w:val="29"/>
                <w:rFonts w:hint="eastAsia"/>
                <w:sz w:val="24"/>
                <w:szCs w:val="24"/>
                <w:highlight w:val="none"/>
                <w:lang w:val="en-US" w:eastAsia="zh-CN" w:bidi="ar"/>
              </w:rPr>
              <w:t>16GB，不小于1T固态硬盘</w:t>
            </w:r>
            <w:r>
              <w:rPr>
                <w:rStyle w:val="29"/>
                <w:rFonts w:hint="default"/>
                <w:sz w:val="24"/>
                <w:szCs w:val="24"/>
                <w:highlight w:val="none"/>
                <w:lang w:bidi="ar"/>
              </w:rPr>
              <w:t>）</w:t>
            </w:r>
          </w:p>
        </w:tc>
      </w:tr>
      <w:tr w14:paraId="0D1AC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675" w:type="dxa"/>
            <w:noWrap/>
            <w:vAlign w:val="center"/>
          </w:tcPr>
          <w:p w14:paraId="4D8D2E81">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60</w:t>
            </w:r>
          </w:p>
        </w:tc>
        <w:tc>
          <w:tcPr>
            <w:tcW w:w="1908" w:type="dxa"/>
            <w:noWrap w:val="0"/>
            <w:vAlign w:val="center"/>
          </w:tcPr>
          <w:p w14:paraId="2759FC41">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便携式全自动测油仪</w:t>
            </w:r>
          </w:p>
        </w:tc>
        <w:tc>
          <w:tcPr>
            <w:tcW w:w="683" w:type="dxa"/>
            <w:noWrap w:val="0"/>
            <w:vAlign w:val="center"/>
          </w:tcPr>
          <w:p w14:paraId="03A490CE">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825" w:type="dxa"/>
            <w:noWrap w:val="0"/>
            <w:vAlign w:val="center"/>
          </w:tcPr>
          <w:p w14:paraId="5B58A2DF">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6BF320D7">
            <w:pPr>
              <w:widowControl/>
              <w:numPr>
                <w:ilvl w:val="0"/>
                <w:numId w:val="12"/>
              </w:numPr>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基本要求</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1.1用于突发环境污染事件中地表水、地下水、海水中石油类的测定，符合《水质 石油类的测定 紫外分光光度法》（HJ970-2018）要求。</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1.2 操作方式：触屏电脑，均预装设备工作站，软件有自动配置标准曲线和手工做标准曲线的功能，自动配标准曲线要求：按照国家标准方法《水质石油类的测定紫外分光光度法》（HJ970-2018）中 8.1 配置标准曲线的要求，线性≥0.999</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1.3 设备性能</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1.3.1 测量范围：0-50mg/L（超量程自动稀释）</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1.3.2 分辨率：≤0.001mg/L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1.3.3 检出限：≤0.01mg/L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1.3.4 重现性：＜2%</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1.3.5 准确度：≤±5%</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1.3.6 测量波长：225nm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1.3.7 线性：≥0.999</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1.3.8 测量时间：≤10 分钟/样</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二、主要配置</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 全自动便携式紫外测油仪主机：1 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2.2 石油类采样器：1 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3.3 采样箱：1 个；</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2.4采样瓶（与设备匹配）：4 个；</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2.5 硅酸镁柱：2 根；</w:t>
            </w:r>
          </w:p>
          <w:p w14:paraId="3C45F0B4">
            <w:pPr>
              <w:widowControl/>
              <w:jc w:val="left"/>
              <w:textAlignment w:val="top"/>
              <w:rPr>
                <w:rFonts w:ascii="宋体" w:hAnsi="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2.6</w:t>
            </w:r>
            <w:r>
              <w:rPr>
                <w:rFonts w:hint="default" w:ascii="宋体" w:hAnsi="宋体" w:eastAsia="宋体" w:cs="宋体"/>
                <w:color w:val="000000"/>
                <w:kern w:val="0"/>
                <w:sz w:val="24"/>
                <w:szCs w:val="24"/>
                <w:highlight w:val="none"/>
                <w:lang w:bidi="ar"/>
              </w:rPr>
              <w:t>彩色激光打印机</w:t>
            </w:r>
            <w:r>
              <w:rPr>
                <w:rFonts w:hint="eastAsia" w:ascii="宋体" w:hAnsi="宋体" w:eastAsia="宋体" w:cs="宋体"/>
                <w:color w:val="000000"/>
                <w:kern w:val="0"/>
                <w:sz w:val="24"/>
                <w:szCs w:val="24"/>
                <w:highlight w:val="none"/>
                <w:lang w:bidi="ar"/>
              </w:rPr>
              <w:t xml:space="preserve">1台 </w:t>
            </w:r>
            <w:r>
              <w:rPr>
                <w:rFonts w:hint="eastAsia" w:ascii="宋体" w:hAnsi="宋体" w:eastAsia="宋体" w:cs="宋体"/>
                <w:color w:val="000000"/>
                <w:kern w:val="0"/>
                <w:sz w:val="24"/>
                <w:szCs w:val="24"/>
                <w:highlight w:val="none"/>
                <w:lang w:eastAsia="zh-CN" w:bidi="ar"/>
              </w:rPr>
              <w:t xml:space="preserve"> （ 可扫描复印、正反打印，支持</w:t>
            </w:r>
            <w:r>
              <w:rPr>
                <w:rFonts w:hint="eastAsia" w:ascii="宋体" w:hAnsi="宋体" w:eastAsia="宋体" w:cs="宋体"/>
                <w:color w:val="000000"/>
                <w:kern w:val="0"/>
                <w:sz w:val="24"/>
                <w:szCs w:val="24"/>
                <w:highlight w:val="none"/>
                <w:lang w:val="en-US" w:eastAsia="zh-CN" w:bidi="ar"/>
              </w:rPr>
              <w:t>A4幅面，无线连接</w:t>
            </w:r>
            <w:r>
              <w:rPr>
                <w:rFonts w:hint="eastAsia" w:ascii="宋体" w:hAnsi="宋体" w:eastAsia="宋体" w:cs="宋体"/>
                <w:color w:val="000000"/>
                <w:kern w:val="0"/>
                <w:sz w:val="24"/>
                <w:szCs w:val="24"/>
                <w:highlight w:val="none"/>
                <w:lang w:eastAsia="zh-CN" w:bidi="ar"/>
              </w:rPr>
              <w:t>），配套硒鼓</w:t>
            </w:r>
            <w:r>
              <w:rPr>
                <w:rFonts w:hint="eastAsia" w:ascii="宋体" w:hAnsi="宋体" w:eastAsia="宋体" w:cs="宋体"/>
                <w:color w:val="000000"/>
                <w:kern w:val="0"/>
                <w:sz w:val="24"/>
                <w:szCs w:val="24"/>
                <w:highlight w:val="none"/>
                <w:lang w:val="en-US" w:eastAsia="zh-CN" w:bidi="ar"/>
              </w:rPr>
              <w:t>4个，</w:t>
            </w:r>
            <w:r>
              <w:rPr>
                <w:rFonts w:hint="eastAsia" w:ascii="宋体" w:hAnsi="宋体" w:eastAsia="宋体" w:cs="宋体"/>
                <w:color w:val="000000"/>
                <w:kern w:val="0"/>
                <w:sz w:val="24"/>
                <w:szCs w:val="24"/>
                <w:highlight w:val="none"/>
                <w:lang w:bidi="ar"/>
              </w:rPr>
              <w:t>笔记本：1 台（</w:t>
            </w:r>
            <w:r>
              <w:rPr>
                <w:rFonts w:hint="eastAsia" w:ascii="宋体" w:hAnsi="宋体" w:eastAsia="宋体" w:cs="宋体"/>
                <w:color w:val="000000"/>
                <w:kern w:val="0"/>
                <w:sz w:val="24"/>
                <w:szCs w:val="24"/>
                <w:highlight w:val="none"/>
                <w:lang w:eastAsia="zh-CN" w:bidi="ar"/>
              </w:rPr>
              <w:t>内存不小于</w:t>
            </w:r>
            <w:r>
              <w:rPr>
                <w:rFonts w:hint="eastAsia" w:ascii="宋体" w:hAnsi="宋体" w:eastAsia="宋体" w:cs="宋体"/>
                <w:color w:val="000000"/>
                <w:kern w:val="0"/>
                <w:sz w:val="24"/>
                <w:szCs w:val="24"/>
                <w:highlight w:val="none"/>
                <w:lang w:val="en-US" w:eastAsia="zh-CN" w:bidi="ar"/>
              </w:rPr>
              <w:t>16GB，不小于1T固态硬盘</w:t>
            </w:r>
            <w:r>
              <w:rPr>
                <w:rFonts w:hint="eastAsia" w:ascii="宋体" w:hAnsi="宋体" w:eastAsia="宋体" w:cs="宋体"/>
                <w:color w:val="000000"/>
                <w:kern w:val="0"/>
                <w:sz w:val="24"/>
                <w:szCs w:val="24"/>
                <w:highlight w:val="none"/>
                <w:lang w:bidi="ar"/>
              </w:rPr>
              <w:t>）</w:t>
            </w:r>
          </w:p>
        </w:tc>
      </w:tr>
      <w:tr w14:paraId="2C884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trPr>
        <w:tc>
          <w:tcPr>
            <w:tcW w:w="675" w:type="dxa"/>
            <w:noWrap/>
            <w:vAlign w:val="center"/>
          </w:tcPr>
          <w:p w14:paraId="59DB0C87">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61</w:t>
            </w:r>
          </w:p>
        </w:tc>
        <w:tc>
          <w:tcPr>
            <w:tcW w:w="1908" w:type="dxa"/>
            <w:noWrap w:val="0"/>
            <w:vAlign w:val="center"/>
          </w:tcPr>
          <w:p w14:paraId="5D1FB329">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便携式X荧光重金属检测仪</w:t>
            </w:r>
          </w:p>
        </w:tc>
        <w:tc>
          <w:tcPr>
            <w:tcW w:w="683" w:type="dxa"/>
            <w:noWrap w:val="0"/>
            <w:vAlign w:val="center"/>
          </w:tcPr>
          <w:p w14:paraId="0F2C279C">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825" w:type="dxa"/>
            <w:noWrap w:val="0"/>
            <w:vAlign w:val="center"/>
          </w:tcPr>
          <w:p w14:paraId="7C4208A6">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57D06F2E">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一、基本要求</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适用于水、土壤、大气重金属样品的应急监测。符合《水质 无机元素</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的现场快速测定 便携式单波长激发-能量色散 X 射线荧光光谱法》（DB36/T</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1919-2023）要求。</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二、技术参数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 X 光管：管电压≤70kV，功率≤50W。</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2.2、高分辨率硅漂移（SDD）探测器，计数率＞100 万 CPS，分辨率＜</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135eV,窗口面积＞50mm</w:t>
            </w:r>
            <w:r>
              <w:rPr>
                <w:rStyle w:val="29"/>
                <w:rFonts w:hint="default"/>
                <w:sz w:val="24"/>
                <w:szCs w:val="24"/>
                <w:highlight w:val="none"/>
                <w:lang w:bidi="ar"/>
              </w:rPr>
              <w:t>²。</w:t>
            </w:r>
            <w:r>
              <w:rPr>
                <w:rStyle w:val="29"/>
                <w:rFonts w:hint="default"/>
                <w:sz w:val="24"/>
                <w:szCs w:val="24"/>
                <w:highlight w:val="none"/>
                <w:lang w:bidi="ar"/>
              </w:rPr>
              <w:br w:type="textWrapping"/>
            </w:r>
            <w:r>
              <w:rPr>
                <w:rStyle w:val="29"/>
                <w:rFonts w:hint="default"/>
                <w:sz w:val="24"/>
                <w:szCs w:val="24"/>
                <w:highlight w:val="none"/>
                <w:lang w:bidi="ar"/>
              </w:rPr>
              <w:t>2.3 光学系统：采用双曲面弯晶晶体，使用单色化入射技术。</w:t>
            </w:r>
            <w:r>
              <w:rPr>
                <w:rStyle w:val="29"/>
                <w:rFonts w:hint="default"/>
                <w:sz w:val="24"/>
                <w:szCs w:val="24"/>
                <w:highlight w:val="none"/>
                <w:lang w:bidi="ar"/>
              </w:rPr>
              <w:br w:type="textWrapping"/>
            </w:r>
            <w:r>
              <w:rPr>
                <w:rStyle w:val="29"/>
                <w:rFonts w:hint="default"/>
                <w:sz w:val="24"/>
                <w:szCs w:val="24"/>
                <w:highlight w:val="none"/>
                <w:lang w:bidi="ar"/>
              </w:rPr>
              <w:t>2.4 进样方式：土壤、固废、滤膜样品直接上机分析，高浓度水样可选</w:t>
            </w:r>
            <w:r>
              <w:rPr>
                <w:rStyle w:val="29"/>
                <w:rFonts w:hint="default"/>
                <w:sz w:val="24"/>
                <w:szCs w:val="24"/>
                <w:highlight w:val="none"/>
                <w:lang w:bidi="ar"/>
              </w:rPr>
              <w:br w:type="textWrapping"/>
            </w:r>
            <w:r>
              <w:rPr>
                <w:rStyle w:val="29"/>
                <w:rFonts w:hint="default"/>
                <w:sz w:val="24"/>
                <w:szCs w:val="24"/>
                <w:highlight w:val="none"/>
                <w:lang w:bidi="ar"/>
              </w:rPr>
              <w:t>择直接测定，低浓度水样可通过膜富集技术测定。</w:t>
            </w:r>
            <w:r>
              <w:rPr>
                <w:rStyle w:val="29"/>
                <w:rFonts w:hint="default"/>
                <w:sz w:val="24"/>
                <w:szCs w:val="24"/>
                <w:highlight w:val="none"/>
                <w:lang w:bidi="ar"/>
              </w:rPr>
              <w:br w:type="textWrapping"/>
            </w:r>
            <w:r>
              <w:rPr>
                <w:rStyle w:val="29"/>
                <w:rFonts w:hint="default"/>
                <w:sz w:val="24"/>
                <w:szCs w:val="24"/>
                <w:highlight w:val="none"/>
                <w:lang w:bidi="ar"/>
              </w:rPr>
              <w:t>2.5 具备 X 射线辐射安全保护功能。</w:t>
            </w:r>
            <w:r>
              <w:rPr>
                <w:rStyle w:val="29"/>
                <w:rFonts w:hint="default"/>
                <w:sz w:val="24"/>
                <w:szCs w:val="24"/>
                <w:highlight w:val="none"/>
                <w:lang w:bidi="ar"/>
              </w:rPr>
              <w:br w:type="textWrapping"/>
            </w:r>
            <w:r>
              <w:rPr>
                <w:rStyle w:val="29"/>
                <w:rFonts w:hint="default"/>
                <w:sz w:val="24"/>
                <w:szCs w:val="24"/>
                <w:highlight w:val="none"/>
                <w:lang w:bidi="ar"/>
              </w:rPr>
              <w:t>2.6 设备内置风扇冷却，可保证设备长时间持续工作。</w:t>
            </w:r>
            <w:r>
              <w:rPr>
                <w:rStyle w:val="29"/>
                <w:rFonts w:hint="default"/>
                <w:sz w:val="24"/>
                <w:szCs w:val="24"/>
                <w:highlight w:val="none"/>
                <w:lang w:bidi="ar"/>
              </w:rPr>
              <w:br w:type="textWrapping"/>
            </w:r>
            <w:r>
              <w:rPr>
                <w:rStyle w:val="29"/>
                <w:rFonts w:hint="default"/>
                <w:sz w:val="24"/>
                <w:szCs w:val="24"/>
                <w:highlight w:val="none"/>
                <w:lang w:bidi="ar"/>
              </w:rPr>
              <w:t>2.7 符合仪器辐射豁免管理有关要求。</w:t>
            </w:r>
            <w:r>
              <w:rPr>
                <w:rStyle w:val="29"/>
                <w:rFonts w:hint="default"/>
                <w:sz w:val="24"/>
                <w:szCs w:val="24"/>
                <w:highlight w:val="none"/>
                <w:lang w:bidi="ar"/>
              </w:rPr>
              <w:br w:type="textWrapping"/>
            </w:r>
            <w:r>
              <w:rPr>
                <w:rStyle w:val="29"/>
                <w:rFonts w:hint="default"/>
                <w:sz w:val="24"/>
                <w:szCs w:val="24"/>
                <w:highlight w:val="none"/>
                <w:lang w:bidi="ar"/>
              </w:rPr>
              <w:t>2.8 专用测量操作系统，彩色高分辨率屏，强日光下显示清晰，软件能</w:t>
            </w:r>
            <w:r>
              <w:rPr>
                <w:rStyle w:val="29"/>
                <w:rFonts w:hint="default"/>
                <w:sz w:val="24"/>
                <w:szCs w:val="24"/>
                <w:highlight w:val="none"/>
                <w:lang w:bidi="ar"/>
              </w:rPr>
              <w:br w:type="textWrapping"/>
            </w:r>
            <w:r>
              <w:rPr>
                <w:rStyle w:val="29"/>
                <w:rFonts w:hint="default"/>
                <w:sz w:val="24"/>
                <w:szCs w:val="24"/>
                <w:highlight w:val="none"/>
                <w:lang w:bidi="ar"/>
              </w:rPr>
              <w:t>够实现样品谱图分析，自动进行元素定性、定量分析。</w:t>
            </w:r>
            <w:r>
              <w:rPr>
                <w:rStyle w:val="29"/>
                <w:rFonts w:hint="default"/>
                <w:sz w:val="24"/>
                <w:szCs w:val="24"/>
                <w:highlight w:val="none"/>
                <w:lang w:bidi="ar"/>
              </w:rPr>
              <w:br w:type="textWrapping"/>
            </w:r>
            <w:r>
              <w:rPr>
                <w:rStyle w:val="29"/>
                <w:rFonts w:hint="default"/>
                <w:sz w:val="24"/>
                <w:szCs w:val="24"/>
                <w:highlight w:val="none"/>
                <w:lang w:bidi="ar"/>
              </w:rPr>
              <w:t>2.9 土壤定性分析元素范围：Mg-U，定量分析元素包括且不少于镉、汞、</w:t>
            </w:r>
            <w:r>
              <w:rPr>
                <w:rStyle w:val="29"/>
                <w:rFonts w:hint="default"/>
                <w:sz w:val="24"/>
                <w:szCs w:val="24"/>
                <w:highlight w:val="none"/>
                <w:lang w:bidi="ar"/>
              </w:rPr>
              <w:br w:type="textWrapping"/>
            </w:r>
            <w:r>
              <w:rPr>
                <w:rStyle w:val="29"/>
                <w:rFonts w:hint="default"/>
                <w:sz w:val="24"/>
                <w:szCs w:val="24"/>
                <w:highlight w:val="none"/>
                <w:lang w:bidi="ar"/>
              </w:rPr>
              <w:t>砷、铅、铬、铜、镍、锌、锑、钴、钒、锰、铝、铊、钼、钡、钒、钛、</w:t>
            </w:r>
            <w:r>
              <w:rPr>
                <w:rStyle w:val="29"/>
                <w:rFonts w:hint="default"/>
                <w:sz w:val="24"/>
                <w:szCs w:val="24"/>
                <w:highlight w:val="none"/>
                <w:lang w:bidi="ar"/>
              </w:rPr>
              <w:br w:type="textWrapping"/>
            </w:r>
            <w:r>
              <w:rPr>
                <w:rStyle w:val="29"/>
                <w:rFonts w:hint="default"/>
                <w:sz w:val="24"/>
                <w:szCs w:val="24"/>
                <w:highlight w:val="none"/>
                <w:lang w:bidi="ar"/>
              </w:rPr>
              <w:t>铁等（土壤基体样品，分析时间≤600s）。</w:t>
            </w:r>
            <w:r>
              <w:rPr>
                <w:rStyle w:val="29"/>
                <w:rFonts w:hint="default"/>
                <w:sz w:val="24"/>
                <w:szCs w:val="24"/>
                <w:highlight w:val="none"/>
                <w:lang w:bidi="ar"/>
              </w:rPr>
              <w:br w:type="textWrapping"/>
            </w:r>
            <w:r>
              <w:rPr>
                <w:rStyle w:val="29"/>
                <w:rFonts w:hint="default"/>
                <w:sz w:val="24"/>
                <w:szCs w:val="24"/>
                <w:highlight w:val="none"/>
                <w:lang w:bidi="ar"/>
              </w:rPr>
              <w:t>土壤中元素检出限：As≤1.0 mg/kg，Cd≤0.1mg/kg，Pb≤1.0mg/kg，</w:t>
            </w:r>
            <w:r>
              <w:rPr>
                <w:rStyle w:val="29"/>
                <w:rFonts w:hint="default"/>
                <w:sz w:val="24"/>
                <w:szCs w:val="24"/>
                <w:highlight w:val="none"/>
                <w:lang w:bidi="ar"/>
              </w:rPr>
              <w:br w:type="textWrapping"/>
            </w:r>
            <w:r>
              <w:rPr>
                <w:rStyle w:val="29"/>
                <w:rFonts w:hint="default"/>
                <w:sz w:val="24"/>
                <w:szCs w:val="24"/>
                <w:highlight w:val="none"/>
                <w:lang w:bidi="ar"/>
              </w:rPr>
              <w:t>Cr≤10mg/kg，Tl≤1.0mg/kg，Sb≤5.0mg/kg：</w:t>
            </w:r>
            <w:r>
              <w:rPr>
                <w:rStyle w:val="29"/>
                <w:rFonts w:hint="default"/>
                <w:sz w:val="24"/>
                <w:szCs w:val="24"/>
                <w:highlight w:val="none"/>
                <w:lang w:bidi="ar"/>
              </w:rPr>
              <w:br w:type="textWrapping"/>
            </w:r>
            <w:r>
              <w:rPr>
                <w:rStyle w:val="29"/>
                <w:rFonts w:hint="default"/>
                <w:sz w:val="24"/>
                <w:szCs w:val="24"/>
                <w:highlight w:val="none"/>
                <w:lang w:bidi="ar"/>
              </w:rPr>
              <w:t>土壤测试精密度：测定下限至 10 倍方法检出限范围，RSD≤40%；其他，</w:t>
            </w:r>
            <w:r>
              <w:rPr>
                <w:rStyle w:val="29"/>
                <w:rFonts w:hint="default"/>
                <w:sz w:val="24"/>
                <w:szCs w:val="24"/>
                <w:highlight w:val="none"/>
                <w:lang w:bidi="ar"/>
              </w:rPr>
              <w:br w:type="textWrapping"/>
            </w:r>
            <w:r>
              <w:rPr>
                <w:rStyle w:val="29"/>
                <w:rFonts w:hint="default"/>
                <w:sz w:val="24"/>
                <w:szCs w:val="24"/>
                <w:highlight w:val="none"/>
                <w:lang w:bidi="ar"/>
              </w:rPr>
              <w:t>RSD≤35%。</w:t>
            </w:r>
            <w:r>
              <w:rPr>
                <w:rStyle w:val="29"/>
                <w:rFonts w:hint="default"/>
                <w:sz w:val="24"/>
                <w:szCs w:val="24"/>
                <w:highlight w:val="none"/>
                <w:lang w:bidi="ar"/>
              </w:rPr>
              <w:br w:type="textWrapping"/>
            </w:r>
            <w:r>
              <w:rPr>
                <w:rStyle w:val="29"/>
                <w:rFonts w:hint="default"/>
                <w:sz w:val="24"/>
                <w:szCs w:val="24"/>
                <w:highlight w:val="none"/>
                <w:lang w:bidi="ar"/>
              </w:rPr>
              <w:t>2.10 水样处理与测试</w:t>
            </w:r>
            <w:r>
              <w:rPr>
                <w:rStyle w:val="29"/>
                <w:rFonts w:hint="default"/>
                <w:sz w:val="24"/>
                <w:szCs w:val="24"/>
                <w:highlight w:val="none"/>
                <w:lang w:bidi="ar"/>
              </w:rPr>
              <w:br w:type="textWrapping"/>
            </w:r>
            <w:r>
              <w:rPr>
                <w:rStyle w:val="29"/>
                <w:rFonts w:hint="default"/>
                <w:sz w:val="24"/>
                <w:szCs w:val="24"/>
                <w:highlight w:val="none"/>
                <w:lang w:bidi="ar"/>
              </w:rPr>
              <w:t>2.10.1 根据水样重金属浓度范围不同，高浓度可选择直接测定，低浓</w:t>
            </w:r>
            <w:r>
              <w:rPr>
                <w:rStyle w:val="29"/>
                <w:rFonts w:hint="default"/>
                <w:sz w:val="24"/>
                <w:szCs w:val="24"/>
                <w:highlight w:val="none"/>
                <w:lang w:bidi="ar"/>
              </w:rPr>
              <w:br w:type="textWrapping"/>
            </w:r>
            <w:r>
              <w:rPr>
                <w:rStyle w:val="29"/>
                <w:rFonts w:hint="default"/>
                <w:sz w:val="24"/>
                <w:szCs w:val="24"/>
                <w:highlight w:val="none"/>
                <w:lang w:bidi="ar"/>
              </w:rPr>
              <w:t>度可通过膜富集技术测定。</w:t>
            </w:r>
            <w:r>
              <w:rPr>
                <w:rStyle w:val="29"/>
                <w:rFonts w:hint="default"/>
                <w:sz w:val="24"/>
                <w:szCs w:val="24"/>
                <w:highlight w:val="none"/>
                <w:lang w:bidi="ar"/>
              </w:rPr>
              <w:br w:type="textWrapping"/>
            </w:r>
            <w:r>
              <w:rPr>
                <w:rStyle w:val="29"/>
                <w:rFonts w:hint="default"/>
                <w:sz w:val="24"/>
                <w:szCs w:val="24"/>
                <w:highlight w:val="none"/>
                <w:lang w:bidi="ar"/>
              </w:rPr>
              <w:t>2.10.2 水样前处理装置：实现水样现场快速测定，包括但不限定于过</w:t>
            </w:r>
            <w:r>
              <w:rPr>
                <w:rStyle w:val="29"/>
                <w:rFonts w:hint="default"/>
                <w:sz w:val="24"/>
                <w:szCs w:val="24"/>
                <w:highlight w:val="none"/>
                <w:lang w:bidi="ar"/>
              </w:rPr>
              <w:br w:type="textWrapping"/>
            </w:r>
            <w:r>
              <w:rPr>
                <w:rStyle w:val="29"/>
                <w:rFonts w:hint="default"/>
                <w:sz w:val="24"/>
                <w:szCs w:val="24"/>
                <w:highlight w:val="none"/>
                <w:lang w:bidi="ar"/>
              </w:rPr>
              <w:t>滤及其驱动装置、过滤膜组件套（粗过滤膜、阳离子交换膜、阴离子交换</w:t>
            </w:r>
            <w:r>
              <w:rPr>
                <w:rStyle w:val="29"/>
                <w:rFonts w:hint="default"/>
                <w:sz w:val="24"/>
                <w:szCs w:val="24"/>
                <w:highlight w:val="none"/>
                <w:lang w:bidi="ar"/>
              </w:rPr>
              <w:br w:type="textWrapping"/>
            </w:r>
            <w:r>
              <w:rPr>
                <w:rStyle w:val="29"/>
                <w:rFonts w:hint="default"/>
                <w:sz w:val="24"/>
                <w:szCs w:val="24"/>
                <w:highlight w:val="none"/>
                <w:lang w:bidi="ar"/>
              </w:rPr>
              <w:t>膜）及便携工具箱等。</w:t>
            </w:r>
            <w:r>
              <w:rPr>
                <w:rStyle w:val="29"/>
                <w:rFonts w:hint="default"/>
                <w:sz w:val="24"/>
                <w:szCs w:val="24"/>
                <w:highlight w:val="none"/>
                <w:lang w:bidi="ar"/>
              </w:rPr>
              <w:br w:type="textWrapping"/>
            </w:r>
            <w:r>
              <w:rPr>
                <w:rStyle w:val="29"/>
                <w:rFonts w:hint="default"/>
                <w:sz w:val="24"/>
                <w:szCs w:val="24"/>
                <w:highlight w:val="none"/>
                <w:lang w:bidi="ar"/>
              </w:rPr>
              <w:t>2.10.3 定性分析元素范围：Mg-U，定量分析元素包括且不少于镉、汞、</w:t>
            </w:r>
            <w:r>
              <w:rPr>
                <w:rStyle w:val="29"/>
                <w:rFonts w:hint="default"/>
                <w:sz w:val="24"/>
                <w:szCs w:val="24"/>
                <w:highlight w:val="none"/>
                <w:lang w:bidi="ar"/>
              </w:rPr>
              <w:br w:type="textWrapping"/>
            </w:r>
            <w:r>
              <w:rPr>
                <w:rStyle w:val="29"/>
                <w:rFonts w:hint="default"/>
                <w:sz w:val="24"/>
                <w:szCs w:val="24"/>
                <w:highlight w:val="none"/>
                <w:lang w:bidi="ar"/>
              </w:rPr>
              <w:t>砷、硒、铅、铬、六价铬、铜、镍、锌、锑、钴、钒、锰、铝、铊、钼、</w:t>
            </w:r>
            <w:r>
              <w:rPr>
                <w:rStyle w:val="29"/>
                <w:rFonts w:hint="default"/>
                <w:sz w:val="24"/>
                <w:szCs w:val="24"/>
                <w:highlight w:val="none"/>
                <w:lang w:bidi="ar"/>
              </w:rPr>
              <w:br w:type="textWrapping"/>
            </w:r>
            <w:r>
              <w:rPr>
                <w:rStyle w:val="29"/>
                <w:rFonts w:hint="default"/>
                <w:sz w:val="24"/>
                <w:szCs w:val="24"/>
                <w:highlight w:val="none"/>
                <w:lang w:bidi="ar"/>
              </w:rPr>
              <w:t>钡、钒、钛、铁等。</w:t>
            </w:r>
            <w:r>
              <w:rPr>
                <w:rStyle w:val="29"/>
                <w:rFonts w:hint="default"/>
                <w:sz w:val="24"/>
                <w:szCs w:val="24"/>
                <w:highlight w:val="none"/>
                <w:lang w:bidi="ar"/>
              </w:rPr>
              <w:br w:type="textWrapping"/>
            </w:r>
            <w:r>
              <w:rPr>
                <w:rStyle w:val="29"/>
                <w:rFonts w:hint="default"/>
                <w:sz w:val="24"/>
                <w:szCs w:val="24"/>
                <w:highlight w:val="none"/>
                <w:lang w:bidi="ar"/>
              </w:rPr>
              <w:t>水中元素检出限：采用富集前处理技术，水中常规重金属元素检出限</w:t>
            </w:r>
            <w:r>
              <w:rPr>
                <w:rStyle w:val="29"/>
                <w:rFonts w:hint="default"/>
                <w:sz w:val="24"/>
                <w:szCs w:val="24"/>
                <w:highlight w:val="none"/>
                <w:lang w:bidi="ar"/>
              </w:rPr>
              <w:br w:type="textWrapping"/>
            </w:r>
            <w:r>
              <w:rPr>
                <w:rStyle w:val="29"/>
                <w:rFonts w:hint="default"/>
                <w:sz w:val="24"/>
                <w:szCs w:val="24"/>
                <w:highlight w:val="none"/>
                <w:lang w:bidi="ar"/>
              </w:rPr>
              <w:t>达到 ppb 级，元素检出限 Cr≤3.0μg/L，Cd≤2.8μg/L，Pb≤2.9μg/L，</w:t>
            </w:r>
            <w:r>
              <w:rPr>
                <w:rStyle w:val="29"/>
                <w:rFonts w:hint="default"/>
                <w:sz w:val="24"/>
                <w:szCs w:val="24"/>
                <w:highlight w:val="none"/>
                <w:lang w:bidi="ar"/>
              </w:rPr>
              <w:br w:type="textWrapping"/>
            </w:r>
            <w:r>
              <w:rPr>
                <w:rStyle w:val="29"/>
                <w:rFonts w:hint="default"/>
                <w:sz w:val="24"/>
                <w:szCs w:val="24"/>
                <w:highlight w:val="none"/>
                <w:lang w:bidi="ar"/>
              </w:rPr>
              <w:t>Cu≤2.8μg/L，Zn≤2.4μg/L，Tl≤2.7μg/L、As≤1.7μg/L 等。</w:t>
            </w:r>
            <w:r>
              <w:rPr>
                <w:rStyle w:val="29"/>
                <w:rFonts w:hint="default"/>
                <w:sz w:val="24"/>
                <w:szCs w:val="24"/>
                <w:highlight w:val="none"/>
                <w:lang w:bidi="ar"/>
              </w:rPr>
              <w:br w:type="textWrapping"/>
            </w:r>
            <w:r>
              <w:rPr>
                <w:rStyle w:val="29"/>
                <w:rFonts w:hint="default"/>
                <w:sz w:val="24"/>
                <w:szCs w:val="24"/>
                <w:highlight w:val="none"/>
                <w:lang w:bidi="ar"/>
              </w:rPr>
              <w:t>精密度：测定下限至 10 倍方法检出限含量范围，RSD≤35%；其他，RSD</w:t>
            </w:r>
            <w:r>
              <w:rPr>
                <w:rStyle w:val="29"/>
                <w:rFonts w:hint="default"/>
                <w:sz w:val="24"/>
                <w:szCs w:val="24"/>
                <w:highlight w:val="none"/>
                <w:lang w:bidi="ar"/>
              </w:rPr>
              <w:br w:type="textWrapping"/>
            </w:r>
            <w:r>
              <w:rPr>
                <w:rStyle w:val="29"/>
                <w:rFonts w:hint="default"/>
                <w:sz w:val="24"/>
                <w:szCs w:val="24"/>
                <w:highlight w:val="none"/>
                <w:lang w:bidi="ar"/>
              </w:rPr>
              <w:t>≤30%。</w:t>
            </w:r>
            <w:r>
              <w:rPr>
                <w:rStyle w:val="29"/>
                <w:rFonts w:hint="default"/>
                <w:sz w:val="24"/>
                <w:szCs w:val="24"/>
                <w:highlight w:val="none"/>
                <w:lang w:bidi="ar"/>
              </w:rPr>
              <w:br w:type="textWrapping"/>
            </w:r>
            <w:r>
              <w:rPr>
                <w:rStyle w:val="29"/>
                <w:rFonts w:hint="default"/>
                <w:sz w:val="24"/>
                <w:szCs w:val="24"/>
                <w:highlight w:val="none"/>
                <w:lang w:bidi="ar"/>
              </w:rPr>
              <w:t>水中元素检出限：水样直接检测，元素检出限：As≤0.6mg/L，Cd≤</w:t>
            </w:r>
            <w:r>
              <w:rPr>
                <w:rStyle w:val="29"/>
                <w:rFonts w:hint="default"/>
                <w:sz w:val="24"/>
                <w:szCs w:val="24"/>
                <w:highlight w:val="none"/>
                <w:lang w:bidi="ar"/>
              </w:rPr>
              <w:br w:type="textWrapping"/>
            </w:r>
            <w:r>
              <w:rPr>
                <w:rStyle w:val="29"/>
                <w:rFonts w:hint="default"/>
                <w:sz w:val="24"/>
                <w:szCs w:val="24"/>
                <w:highlight w:val="none"/>
                <w:lang w:bidi="ar"/>
              </w:rPr>
              <w:t>0.5mg/L，Pb≤0.3mg/L，Tl≤0.5mg/L。</w:t>
            </w:r>
            <w:r>
              <w:rPr>
                <w:rStyle w:val="29"/>
                <w:rFonts w:hint="default"/>
                <w:sz w:val="24"/>
                <w:szCs w:val="24"/>
                <w:highlight w:val="none"/>
                <w:lang w:bidi="ar"/>
              </w:rPr>
              <w:br w:type="textWrapping"/>
            </w:r>
            <w:r>
              <w:rPr>
                <w:rStyle w:val="29"/>
                <w:rFonts w:hint="default"/>
                <w:sz w:val="24"/>
                <w:szCs w:val="24"/>
                <w:highlight w:val="none"/>
                <w:lang w:bidi="ar"/>
              </w:rPr>
              <w:t>2.10.4 过滤膜组件可适用水样 pH 范围：3～13。</w:t>
            </w:r>
            <w:r>
              <w:rPr>
                <w:rStyle w:val="29"/>
                <w:rFonts w:hint="default"/>
                <w:sz w:val="24"/>
                <w:szCs w:val="24"/>
                <w:highlight w:val="none"/>
                <w:lang w:bidi="ar"/>
              </w:rPr>
              <w:br w:type="textWrapping"/>
            </w:r>
            <w:r>
              <w:rPr>
                <w:rStyle w:val="29"/>
                <w:rFonts w:hint="default"/>
                <w:sz w:val="24"/>
                <w:szCs w:val="24"/>
                <w:highlight w:val="none"/>
                <w:lang w:bidi="ar"/>
              </w:rPr>
              <w:t>2.10.5 实际水样前处理时间≤600s。</w:t>
            </w:r>
            <w:r>
              <w:rPr>
                <w:rStyle w:val="29"/>
                <w:rFonts w:hint="default"/>
                <w:sz w:val="24"/>
                <w:szCs w:val="24"/>
                <w:highlight w:val="none"/>
                <w:lang w:bidi="ar"/>
              </w:rPr>
              <w:br w:type="textWrapping"/>
            </w:r>
            <w:r>
              <w:rPr>
                <w:rStyle w:val="29"/>
                <w:rFonts w:hint="default"/>
                <w:sz w:val="24"/>
                <w:szCs w:val="24"/>
                <w:highlight w:val="none"/>
                <w:lang w:bidi="ar"/>
              </w:rPr>
              <w:t>2.11 具备分析滤膜（大气样品）中无机元素功能。</w:t>
            </w:r>
            <w:r>
              <w:rPr>
                <w:rStyle w:val="29"/>
                <w:rFonts w:hint="default"/>
                <w:sz w:val="24"/>
                <w:szCs w:val="24"/>
                <w:highlight w:val="none"/>
                <w:lang w:bidi="ar"/>
              </w:rPr>
              <w:br w:type="textWrapping"/>
            </w:r>
            <w:r>
              <w:rPr>
                <w:rStyle w:val="29"/>
                <w:rFonts w:hint="default"/>
                <w:sz w:val="24"/>
                <w:szCs w:val="24"/>
                <w:highlight w:val="none"/>
                <w:lang w:bidi="ar"/>
              </w:rPr>
              <w:t>2.12 主机带移动电源，野外工作状态下的供电时间不少于 8 小时。水</w:t>
            </w:r>
            <w:r>
              <w:rPr>
                <w:rStyle w:val="29"/>
                <w:rFonts w:hint="default"/>
                <w:sz w:val="24"/>
                <w:szCs w:val="24"/>
                <w:highlight w:val="none"/>
                <w:lang w:bidi="ar"/>
              </w:rPr>
              <w:br w:type="textWrapping"/>
            </w:r>
            <w:r>
              <w:rPr>
                <w:rStyle w:val="29"/>
                <w:rFonts w:hint="default"/>
                <w:sz w:val="24"/>
                <w:szCs w:val="24"/>
                <w:highlight w:val="none"/>
                <w:lang w:bidi="ar"/>
              </w:rPr>
              <w:t>富集装置内置电池，可供不低于 4 小时现场使用时间。仪器重量≤10kg。</w:t>
            </w:r>
            <w:r>
              <w:rPr>
                <w:rStyle w:val="29"/>
                <w:rFonts w:hint="default"/>
                <w:sz w:val="24"/>
                <w:szCs w:val="24"/>
                <w:highlight w:val="none"/>
                <w:lang w:bidi="ar"/>
              </w:rPr>
              <w:br w:type="textWrapping"/>
            </w:r>
            <w:r>
              <w:rPr>
                <w:rStyle w:val="29"/>
                <w:rFonts w:hint="default"/>
                <w:sz w:val="24"/>
                <w:szCs w:val="24"/>
                <w:highlight w:val="none"/>
                <w:lang w:bidi="ar"/>
              </w:rPr>
              <w:t>三、主要配置</w:t>
            </w:r>
            <w:r>
              <w:rPr>
                <w:rStyle w:val="29"/>
                <w:rFonts w:hint="default"/>
                <w:sz w:val="24"/>
                <w:szCs w:val="24"/>
                <w:highlight w:val="none"/>
                <w:lang w:bidi="ar"/>
              </w:rPr>
              <w:br w:type="textWrapping"/>
            </w:r>
            <w:r>
              <w:rPr>
                <w:rStyle w:val="29"/>
                <w:rFonts w:hint="default"/>
                <w:sz w:val="24"/>
                <w:szCs w:val="24"/>
                <w:highlight w:val="none"/>
                <w:lang w:bidi="ar"/>
              </w:rPr>
              <w:t>3.1X 射线荧光重金属分析仪主机：1 套；</w:t>
            </w:r>
            <w:r>
              <w:rPr>
                <w:rStyle w:val="29"/>
                <w:rFonts w:hint="default"/>
                <w:sz w:val="24"/>
                <w:szCs w:val="24"/>
                <w:highlight w:val="none"/>
                <w:lang w:bidi="ar"/>
              </w:rPr>
              <w:br w:type="textWrapping"/>
            </w:r>
            <w:r>
              <w:rPr>
                <w:rStyle w:val="29"/>
                <w:rFonts w:hint="default"/>
                <w:sz w:val="24"/>
                <w:szCs w:val="24"/>
                <w:highlight w:val="none"/>
                <w:lang w:bidi="ar"/>
              </w:rPr>
              <w:t>3.2 分析软件：1 套；</w:t>
            </w:r>
            <w:r>
              <w:rPr>
                <w:rStyle w:val="29"/>
                <w:rFonts w:hint="default"/>
                <w:sz w:val="24"/>
                <w:szCs w:val="24"/>
                <w:highlight w:val="none"/>
                <w:lang w:bidi="ar"/>
              </w:rPr>
              <w:br w:type="textWrapping"/>
            </w:r>
            <w:r>
              <w:rPr>
                <w:rStyle w:val="29"/>
                <w:rFonts w:hint="default"/>
                <w:sz w:val="24"/>
                <w:szCs w:val="24"/>
                <w:highlight w:val="none"/>
                <w:lang w:bidi="ar"/>
              </w:rPr>
              <w:t>3.3 土壤样品前处理设备：2 套（土壤测试配件，样品杯 20 个）；</w:t>
            </w:r>
            <w:r>
              <w:rPr>
                <w:rStyle w:val="29"/>
                <w:rFonts w:hint="default"/>
                <w:sz w:val="24"/>
                <w:szCs w:val="24"/>
                <w:highlight w:val="none"/>
                <w:lang w:bidi="ar"/>
              </w:rPr>
              <w:br w:type="textWrapping"/>
            </w:r>
            <w:r>
              <w:rPr>
                <w:rStyle w:val="29"/>
                <w:rFonts w:hint="default"/>
                <w:sz w:val="24"/>
                <w:szCs w:val="24"/>
                <w:highlight w:val="none"/>
                <w:lang w:bidi="ar"/>
              </w:rPr>
              <w:t>3.4 水样前处理富集装置：1 套（含低浓度水样现场前处理膜 2000 张，</w:t>
            </w:r>
            <w:r>
              <w:rPr>
                <w:rStyle w:val="29"/>
                <w:rFonts w:hint="default"/>
                <w:sz w:val="24"/>
                <w:szCs w:val="24"/>
                <w:highlight w:val="none"/>
                <w:lang w:bidi="ar"/>
              </w:rPr>
              <w:br w:type="textWrapping"/>
            </w:r>
            <w:r>
              <w:rPr>
                <w:rStyle w:val="29"/>
                <w:rFonts w:hint="default"/>
                <w:sz w:val="24"/>
                <w:szCs w:val="24"/>
                <w:highlight w:val="none"/>
                <w:lang w:bidi="ar"/>
              </w:rPr>
              <w:t>高浓度水样杯 20 个）；</w:t>
            </w:r>
            <w:r>
              <w:rPr>
                <w:rStyle w:val="29"/>
                <w:rFonts w:hint="default"/>
                <w:sz w:val="24"/>
                <w:szCs w:val="24"/>
                <w:highlight w:val="none"/>
                <w:lang w:bidi="ar"/>
              </w:rPr>
              <w:br w:type="textWrapping"/>
            </w:r>
            <w:r>
              <w:rPr>
                <w:rStyle w:val="29"/>
                <w:rFonts w:hint="default"/>
                <w:sz w:val="24"/>
                <w:szCs w:val="24"/>
                <w:highlight w:val="none"/>
                <w:lang w:bidi="ar"/>
              </w:rPr>
              <w:t>3.5 水混合标液：3 瓶（铅、镉、砷、铬、锡、铜、铁、锰、锌、镍、</w:t>
            </w:r>
            <w:r>
              <w:rPr>
                <w:rStyle w:val="29"/>
                <w:rFonts w:hint="default"/>
                <w:sz w:val="24"/>
                <w:szCs w:val="24"/>
                <w:highlight w:val="none"/>
                <w:lang w:bidi="ar"/>
              </w:rPr>
              <w:br w:type="textWrapping"/>
            </w:r>
            <w:r>
              <w:rPr>
                <w:rStyle w:val="29"/>
                <w:rFonts w:hint="default"/>
                <w:sz w:val="24"/>
                <w:szCs w:val="24"/>
                <w:highlight w:val="none"/>
                <w:lang w:bidi="ar"/>
              </w:rPr>
              <w:t>铝、锑、镁、硼、钡、锶、锂、镓、铋、铍、铊、钛、钒、钴等）；</w:t>
            </w:r>
            <w:r>
              <w:rPr>
                <w:rStyle w:val="29"/>
                <w:rFonts w:hint="default"/>
                <w:sz w:val="24"/>
                <w:szCs w:val="24"/>
                <w:highlight w:val="none"/>
                <w:lang w:bidi="ar"/>
              </w:rPr>
              <w:br w:type="textWrapping"/>
            </w:r>
            <w:r>
              <w:rPr>
                <w:rStyle w:val="29"/>
                <w:rFonts w:hint="default"/>
                <w:sz w:val="24"/>
                <w:szCs w:val="24"/>
                <w:highlight w:val="none"/>
                <w:lang w:bidi="ar"/>
              </w:rPr>
              <w:t>3.6 工具包：1 套；</w:t>
            </w:r>
            <w:r>
              <w:rPr>
                <w:rStyle w:val="29"/>
                <w:rFonts w:hint="default"/>
                <w:sz w:val="24"/>
                <w:szCs w:val="24"/>
                <w:highlight w:val="none"/>
                <w:lang w:bidi="ar"/>
              </w:rPr>
              <w:br w:type="textWrapping"/>
            </w:r>
            <w:r>
              <w:rPr>
                <w:rStyle w:val="29"/>
                <w:rFonts w:hint="default"/>
                <w:sz w:val="24"/>
                <w:szCs w:val="24"/>
                <w:highlight w:val="none"/>
                <w:lang w:bidi="ar"/>
              </w:rPr>
              <w:t>3.7彩色激光打印机</w:t>
            </w:r>
            <w:r>
              <w:rPr>
                <w:rStyle w:val="29"/>
                <w:rFonts w:hint="eastAsia"/>
                <w:sz w:val="24"/>
                <w:szCs w:val="24"/>
                <w:highlight w:val="none"/>
                <w:lang w:bidi="ar"/>
              </w:rPr>
              <w:t xml:space="preserve">1台 </w:t>
            </w:r>
            <w:r>
              <w:rPr>
                <w:rStyle w:val="29"/>
                <w:rFonts w:hint="eastAsia"/>
                <w:sz w:val="24"/>
                <w:szCs w:val="24"/>
                <w:highlight w:val="none"/>
                <w:lang w:eastAsia="zh-CN" w:bidi="ar"/>
              </w:rPr>
              <w:t xml:space="preserve"> （ 可扫描复印、正反打印，支持</w:t>
            </w:r>
            <w:r>
              <w:rPr>
                <w:rStyle w:val="29"/>
                <w:rFonts w:hint="eastAsia"/>
                <w:sz w:val="24"/>
                <w:szCs w:val="24"/>
                <w:highlight w:val="none"/>
                <w:lang w:val="en-US" w:eastAsia="zh-CN" w:bidi="ar"/>
              </w:rPr>
              <w:t>A4幅面，无线连接</w:t>
            </w:r>
            <w:r>
              <w:rPr>
                <w:rStyle w:val="29"/>
                <w:rFonts w:hint="eastAsia"/>
                <w:sz w:val="24"/>
                <w:szCs w:val="24"/>
                <w:highlight w:val="none"/>
                <w:lang w:eastAsia="zh-CN" w:bidi="ar"/>
              </w:rPr>
              <w:t>），配套硒鼓</w:t>
            </w:r>
            <w:r>
              <w:rPr>
                <w:rStyle w:val="29"/>
                <w:rFonts w:hint="eastAsia"/>
                <w:sz w:val="24"/>
                <w:szCs w:val="24"/>
                <w:highlight w:val="none"/>
                <w:lang w:val="en-US" w:eastAsia="zh-CN" w:bidi="ar"/>
              </w:rPr>
              <w:t>4个，</w:t>
            </w:r>
            <w:r>
              <w:rPr>
                <w:rStyle w:val="29"/>
                <w:rFonts w:hint="default"/>
                <w:sz w:val="24"/>
                <w:szCs w:val="24"/>
                <w:highlight w:val="none"/>
                <w:lang w:bidi="ar"/>
              </w:rPr>
              <w:t>笔记本：1 台（</w:t>
            </w:r>
            <w:r>
              <w:rPr>
                <w:rStyle w:val="29"/>
                <w:rFonts w:hint="eastAsia"/>
                <w:sz w:val="24"/>
                <w:szCs w:val="24"/>
                <w:highlight w:val="none"/>
                <w:lang w:eastAsia="zh-CN" w:bidi="ar"/>
              </w:rPr>
              <w:t>内存不小于</w:t>
            </w:r>
            <w:r>
              <w:rPr>
                <w:rStyle w:val="29"/>
                <w:rFonts w:hint="eastAsia"/>
                <w:sz w:val="24"/>
                <w:szCs w:val="24"/>
                <w:highlight w:val="none"/>
                <w:lang w:val="en-US" w:eastAsia="zh-CN" w:bidi="ar"/>
              </w:rPr>
              <w:t>16GB，不小于1T固态硬盘</w:t>
            </w:r>
            <w:r>
              <w:rPr>
                <w:rStyle w:val="29"/>
                <w:rFonts w:hint="default"/>
                <w:sz w:val="24"/>
                <w:szCs w:val="24"/>
                <w:highlight w:val="none"/>
                <w:lang w:bidi="ar"/>
              </w:rPr>
              <w:t>）</w:t>
            </w:r>
          </w:p>
        </w:tc>
      </w:tr>
      <w:tr w14:paraId="7D693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75" w:type="dxa"/>
            <w:noWrap/>
            <w:vAlign w:val="center"/>
          </w:tcPr>
          <w:p w14:paraId="408BC8C0">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62</w:t>
            </w:r>
          </w:p>
        </w:tc>
        <w:tc>
          <w:tcPr>
            <w:tcW w:w="1908" w:type="dxa"/>
            <w:noWrap w:val="0"/>
            <w:vAlign w:val="center"/>
          </w:tcPr>
          <w:p w14:paraId="4A87F51E">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高空遥感控制系统</w:t>
            </w:r>
          </w:p>
        </w:tc>
        <w:tc>
          <w:tcPr>
            <w:tcW w:w="683" w:type="dxa"/>
            <w:noWrap w:val="0"/>
            <w:vAlign w:val="center"/>
          </w:tcPr>
          <w:p w14:paraId="656BC53B">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825" w:type="dxa"/>
            <w:noWrap w:val="0"/>
            <w:vAlign w:val="center"/>
          </w:tcPr>
          <w:p w14:paraId="479BE027">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套</w:t>
            </w:r>
          </w:p>
        </w:tc>
        <w:tc>
          <w:tcPr>
            <w:tcW w:w="10088" w:type="dxa"/>
            <w:noWrap w:val="0"/>
            <w:vAlign w:val="top"/>
          </w:tcPr>
          <w:p w14:paraId="675B6357">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高空遥感系统（1台）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1.飞行器裸机重量（无配件，不含电池）:空机重量（不含电池）：≤4 千 </w:t>
            </w:r>
          </w:p>
          <w:p w14:paraId="3B863FAC">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克 </w:t>
            </w:r>
          </w:p>
          <w:p w14:paraId="3BA7B07B">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2.飞行器最大起飞重量≥9 千克 </w:t>
            </w:r>
          </w:p>
          <w:p w14:paraId="3F0BAB85">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3.飞行器对角线轴距≤900 mm </w:t>
            </w:r>
          </w:p>
          <w:p w14:paraId="5A597149">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4.最大上升速度≥6m/s </w:t>
            </w:r>
          </w:p>
          <w:p w14:paraId="76D04760">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5.最大下降速度≥5m/s </w:t>
            </w:r>
          </w:p>
          <w:p w14:paraId="37FE8A50">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6.最大水平飞行速度≥23m/s </w:t>
            </w:r>
          </w:p>
          <w:p w14:paraId="2C60E884">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7.最长飞行时间≥55 分钟 </w:t>
            </w:r>
          </w:p>
          <w:p w14:paraId="01F96BAC">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8.IP 防护等级≥IP55 </w:t>
            </w:r>
          </w:p>
          <w:p w14:paraId="6A550F21">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9.最大可抗风速≥12m/s </w:t>
            </w:r>
          </w:p>
          <w:p w14:paraId="7AF3DBED">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10.无人机系统工作环境温度区间≥-20°C 至 50°C </w:t>
            </w:r>
          </w:p>
          <w:p w14:paraId="51C6C2B9">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11.GNSS：支持单北斗模式 </w:t>
            </w:r>
          </w:p>
          <w:p w14:paraId="50986E39">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12.GNSS 定位悬停精度：无人机系统 GNSS 正常工作时悬停精度：垂直： </w:t>
            </w:r>
          </w:p>
          <w:p w14:paraId="400B6682">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≤±0.5 m 水平≤±1.5 m </w:t>
            </w:r>
          </w:p>
          <w:p w14:paraId="40EFC218">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13.视觉定位悬停精度：无人机系统视觉定位正常工作时悬停精度：垂直：≤ ±0.1 m 水平：≤ ±0.3 m </w:t>
            </w:r>
          </w:p>
          <w:p w14:paraId="414D51D5">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14.支持 RTK 定位：飞行器需内置有 RTK 模块，具备 RTK 定位能力，支持 </w:t>
            </w:r>
          </w:p>
          <w:p w14:paraId="4A4E3E2E">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通过遥控器连接到网络 RTK 服务或 RTK 移动站，获取高精度的位置信息。 </w:t>
            </w:r>
          </w:p>
          <w:p w14:paraId="047CA949">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15.RTK 定位悬停精度：无人机系统在 RTK 正常工作时飞行器悬停精度： </w:t>
            </w:r>
          </w:p>
          <w:p w14:paraId="448F682D">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水平≤ ±0.1m 垂直≤ ±0.1m </w:t>
            </w:r>
          </w:p>
          <w:p w14:paraId="09A11DA0">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16.支持云台安装：飞行器支持搭载云台负载数量≥3 </w:t>
            </w:r>
          </w:p>
          <w:p w14:paraId="0ED20312">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17.双信号控制传输冗余：无人机系统应支持双频通信，当其中一个信道阻塞时，飞行器能自动切换到另一个信道通信； </w:t>
            </w:r>
          </w:p>
          <w:p w14:paraId="6D547498">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18.全向感知系统：无人机系统需配备六向（前、后、上、下、左、右） </w:t>
            </w:r>
          </w:p>
          <w:p w14:paraId="6DD2890A">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双目视觉系统及红外感知系统。全方位避障，保障飞行安全。 </w:t>
            </w:r>
          </w:p>
          <w:p w14:paraId="1A00D706">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19.FPV 相机:飞行器应具备 FPV 相机，分辨率 1920×1080，30fps </w:t>
            </w:r>
          </w:p>
          <w:p w14:paraId="3373C729">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20.FPV 摄像头:FPV 采用星光摄像头，在夜间环境下可获得良好的画面显示效果，提升飞行安全能力。 </w:t>
            </w:r>
          </w:p>
          <w:p w14:paraId="73643958">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21.设备含无人机电池不少于6块，双云台支架1套，4G 图传套件1套，具有远程采水模块1套，无人机及云台保险3年，3年不低于100万三者险。 </w:t>
            </w:r>
          </w:p>
          <w:p w14:paraId="3813BED8">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（二）软件功能 </w:t>
            </w:r>
          </w:p>
          <w:p w14:paraId="0629606B">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1、在线地图支持 TMS、WMTS、WMS 等在线地图服务加载； </w:t>
            </w:r>
          </w:p>
          <w:p w14:paraId="7CD5852C">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2、离线影像地图支持 TIF、IMG、MBT、LRP 等格式的离线地图数据包； </w:t>
            </w:r>
          </w:p>
          <w:p w14:paraId="2EC50038">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3、离线地形支持 TIF、IMG、HGT、LRP 等格式的离线地形数据包，且支持多地形图层无预处理的自动融合； </w:t>
            </w:r>
          </w:p>
          <w:p w14:paraId="2FD8D5BC">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4、矢量数据支持大体量 KML、SHP、CAD（DXF、DWG）直接加载，编辑和保存； </w:t>
            </w:r>
          </w:p>
          <w:p w14:paraId="72B290C2">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5、倾斜模型支持 TB 级 OSGB 格式的倾斜模型无转换直接加载； </w:t>
            </w:r>
          </w:p>
          <w:p w14:paraId="1CB8332C">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6、人工模型支持小体量 FBX、OBJ 模型无转换直接加载，大体量 SKP、FBX模型免插件转换后加载； </w:t>
            </w:r>
          </w:p>
          <w:p w14:paraId="70C3CAD1">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7、坐标系及投影转换支持对倾斜模型、CAD、正射影像、DSM 等数据通过</w:t>
            </w:r>
          </w:p>
          <w:p w14:paraId="3C75E009">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4/7 参数加载； </w:t>
            </w:r>
          </w:p>
          <w:p w14:paraId="1193863C">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8、数据处理工具软件提供数据处理功能，能够对影像（TIF、IMG）、地 </w:t>
            </w:r>
          </w:p>
          <w:p w14:paraId="1C38E4F3">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形（TIF、IMG）、CAD（DXF、DWG）、倾斜模型（OSGB）、人工模型 </w:t>
            </w:r>
          </w:p>
          <w:p w14:paraId="4D21FD4C">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（FBX、SKP）进行高效率数据转换及轻量化； </w:t>
            </w:r>
          </w:p>
          <w:p w14:paraId="7B85CB65">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9、矢量依附支持大体量 KML、SHP、CAD 等矢量图层依附倾斜模型并流畅 </w:t>
            </w:r>
          </w:p>
          <w:p w14:paraId="39063AE4">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浏览； </w:t>
            </w:r>
          </w:p>
          <w:p w14:paraId="37F372A2">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（三）云台相机整机参数 </w:t>
            </w:r>
          </w:p>
          <w:p w14:paraId="5126DC30">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1.系统集成：至少集成五个模组，包含但不限于广角相机、变焦相机、红 </w:t>
            </w:r>
          </w:p>
          <w:p w14:paraId="38E13148">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外热成像相机、激光测距仪、补光灯，满足白天及夜间成像能力 </w:t>
            </w:r>
          </w:p>
          <w:p w14:paraId="02B320D2">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2.重量：负载重量≤1kg </w:t>
            </w:r>
          </w:p>
          <w:p w14:paraId="34FCE84C">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3.尺寸：负载尺寸≤180×150×180mm </w:t>
            </w:r>
          </w:p>
          <w:p w14:paraId="4A601E20">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4.防护等级≥IP54 </w:t>
            </w:r>
          </w:p>
          <w:p w14:paraId="7EB214FE">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5.多相机同时拍照：需支持单次拍照，至少保存 4 种类型照片，广角，变 </w:t>
            </w:r>
          </w:p>
          <w:p w14:paraId="080E97D9">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焦，红外相机及当前画面照片 </w:t>
            </w:r>
          </w:p>
          <w:p w14:paraId="20FA3804">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6.智能定位跟踪：负载相机能够自动识别人、车、船，并进行框选，也可 </w:t>
            </w:r>
          </w:p>
          <w:p w14:paraId="5D6C5471">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手动框选兴趣目标，并支持自动调节镜头焦距保持物体在画面中的比例固 </w:t>
            </w:r>
          </w:p>
          <w:p w14:paraId="67900F9B">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定 </w:t>
            </w:r>
          </w:p>
          <w:p w14:paraId="210E889A">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（四）广角相机 </w:t>
            </w:r>
          </w:p>
          <w:p w14:paraId="4FEA660B">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1.负载广角相机有效像素:有效像素≥ 4800 万。 </w:t>
            </w:r>
          </w:p>
          <w:p w14:paraId="6EC38EB9">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2.负载广角相机照片尺寸:最大照片尺寸≥8064 × 6048 </w:t>
            </w:r>
          </w:p>
          <w:p w14:paraId="38378B2D">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3.负载广角相机传感器:传感器尺寸≥1/1.3 英寸 CMOS </w:t>
            </w:r>
          </w:p>
          <w:p w14:paraId="4FC8FDCF">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4.广角相机视频分辨率:视频分辨率≥3840 × 2160@30fps </w:t>
            </w:r>
          </w:p>
          <w:p w14:paraId="4C4F26B9">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5.夜景模式:APP 端开启夜景模式后支持进入全彩低光视频预览功能，全彩 </w:t>
            </w:r>
          </w:p>
          <w:p w14:paraId="335B50DA">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低光视频预览支持 25fps，15fps，5fps 三档模式设置 </w:t>
            </w:r>
          </w:p>
          <w:p w14:paraId="6B5C8FF8">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（五）变焦相机 </w:t>
            </w:r>
          </w:p>
          <w:p w14:paraId="586CA2C0">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1.负载变焦相机传感器 传感器尺寸≥1/1.8 英寸 CMOS </w:t>
            </w:r>
          </w:p>
          <w:p w14:paraId="3F079BF8">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2.负载变焦相机有效像素:有效像素≥ 4000 万 </w:t>
            </w:r>
          </w:p>
          <w:p w14:paraId="160D4F7B">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3.负载变焦相机可见光光学变焦倍数:光学变焦能力≥34 倍 </w:t>
            </w:r>
          </w:p>
          <w:p w14:paraId="52BEB6B7">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4.负载变焦相机可见光数码变焦倍数:数码变焦能力≥400 倍 </w:t>
            </w:r>
          </w:p>
          <w:p w14:paraId="51CBB928">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5.支持开启红外增强模式 </w:t>
            </w:r>
          </w:p>
          <w:p w14:paraId="4629CBAA">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6.支持开启近红外补光灯 </w:t>
            </w:r>
          </w:p>
          <w:p w14:paraId="67C37B97">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7.补光灯:支持近红外补光 支持开启近红外补光，增加夜视效果 </w:t>
            </w:r>
          </w:p>
          <w:p w14:paraId="1051EAFB">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（六）红外相机 </w:t>
            </w:r>
          </w:p>
          <w:p w14:paraId="740FDD71">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1.红外相机数字变焦倍数:变焦倍数≥32 倍 </w:t>
            </w:r>
          </w:p>
          <w:p w14:paraId="480CDF31">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2.红外相机视频分辨率:视频分辨率≥1280x1024@30fps </w:t>
            </w:r>
          </w:p>
          <w:p w14:paraId="774F526F">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3.视频录制:支持可见光、红外、红外可见光分屏画面，共 3 路视频录制 </w:t>
            </w:r>
          </w:p>
          <w:p w14:paraId="2C44D516">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4.红外相机照片分辨率:分辨率≥1280x1024 </w:t>
            </w:r>
          </w:p>
          <w:p w14:paraId="4BFCEC05">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5.红外成像模式:支持不少于 3 种成像模式：低增益模式、高增益模式、 </w:t>
            </w:r>
          </w:p>
          <w:p w14:paraId="4AF12677">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超清模式， </w:t>
            </w:r>
          </w:p>
          <w:p w14:paraId="620C52C2">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（七）激光测距仪 </w:t>
            </w:r>
          </w:p>
          <w:p w14:paraId="0B1BE08F">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1.激光模块:最远测量距离≥3000 米 </w:t>
            </w:r>
          </w:p>
          <w:p w14:paraId="1674ADE3">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2.打点定位:支持在画面中央的目标上打点，可记录目标点的经纬度及高 </w:t>
            </w:r>
          </w:p>
          <w:p w14:paraId="53E5D513">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度 </w:t>
            </w:r>
          </w:p>
          <w:p w14:paraId="70099986">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（八）取水器 </w:t>
            </w:r>
          </w:p>
          <w:p w14:paraId="1662A61D">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1.重量：水体采集系统主体重量≤670 克 </w:t>
            </w:r>
          </w:p>
          <w:p w14:paraId="2E3C3970">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2.主要材质为 ABS 工程塑料与铝合金 </w:t>
            </w:r>
          </w:p>
          <w:p w14:paraId="705E8041">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3.1 升容量有机玻璃（PMMA）材质（标配）：≤385 克（空重） </w:t>
            </w:r>
          </w:p>
          <w:p w14:paraId="7D4672A2">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4.使用符合环保标准的低 VOC 粘合剂，降低对水体样本的影响 </w:t>
            </w:r>
          </w:p>
          <w:p w14:paraId="2A0D48FA">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5.加重块为更稳定的 316L 不锈钢材质通过慢切割方式加工，最大程度降 </w:t>
            </w:r>
          </w:p>
          <w:p w14:paraId="6B1F6B66">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低金属在水体中的溶出。 </w:t>
            </w:r>
          </w:p>
          <w:p w14:paraId="4C654446">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6.收放机构系统：无电力或控制信号输入时，具备自锁性。 </w:t>
            </w:r>
          </w:p>
          <w:p w14:paraId="360B58F2">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7.具备容器触底（如河床）监测与保护功能，自动及时停止下放线缆并提 </w:t>
            </w:r>
          </w:p>
          <w:p w14:paraId="0D1EC0A1">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示异常现象，有效避免无效采样与线缆反卷。</w:t>
            </w:r>
          </w:p>
          <w:p w14:paraId="401FC768">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8.具备线缆反卷监测与保护功能，实时监测线缆运动方向与状态是否相 </w:t>
            </w:r>
          </w:p>
          <w:p w14:paraId="478BB26C">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符，如遇异常自动急停保护，支持一键理线。 </w:t>
            </w:r>
          </w:p>
          <w:p w14:paraId="0472DF1F">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9.具备电机堵转保护功能，当出现达顶监测传感器失效或其他意外情况， </w:t>
            </w:r>
          </w:p>
          <w:p w14:paraId="32159C96">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可监测到电机堵转，并自动停止电门输入，保护电机。 </w:t>
            </w:r>
          </w:p>
          <w:p w14:paraId="2F60512A">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10.具备释放线缆长度监测功能，支持一键自动完成定深采水，绳长释放 </w:t>
            </w:r>
          </w:p>
          <w:p w14:paraId="62B87DEC">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误差&lt;±5cm。 </w:t>
            </w:r>
          </w:p>
          <w:p w14:paraId="792EB8CB">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11.具备绞盘里程计功能，记录绞盘累积运动距离，便于规划绞盘系统保 </w:t>
            </w:r>
          </w:p>
          <w:p w14:paraId="3BC5BFB8">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养。 </w:t>
            </w:r>
          </w:p>
          <w:p w14:paraId="74BFCCF9">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12.具备释放线缆长度校准功能，可实现一键自动校准。 </w:t>
            </w:r>
          </w:p>
          <w:p w14:paraId="32E59D7A">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13.具备收放机构实时电流检测功能，且支持在控制界面中显示该数据。 </w:t>
            </w:r>
          </w:p>
          <w:p w14:paraId="081D86F6">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14.具备紧急断绳功能，当容器被卡住时，可在 10s 内快速熔断线缆，拯 </w:t>
            </w:r>
          </w:p>
          <w:p w14:paraId="5D9B6B13">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救无人机与迅汲主体，以减轻损失。 </w:t>
            </w:r>
          </w:p>
          <w:p w14:paraId="77DBB38F">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15.绳长：大于等于 10.5 米。 </w:t>
            </w:r>
          </w:p>
          <w:p w14:paraId="1788FC0F">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16.极限承重能力：大于等于 3 千克。 </w:t>
            </w:r>
          </w:p>
          <w:p w14:paraId="2156BD2F">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17.极限上拉能力：载重 3 千克时，上拉速度约为 0.1 米/秒。 </w:t>
            </w:r>
          </w:p>
          <w:p w14:paraId="631B9FED">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18.环境感知系统：内置 200 万像素星光级下视相机，该相机具有½英寸感 </w:t>
            </w:r>
          </w:p>
          <w:p w14:paraId="409EEFCD">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光元件、约 180°对角线视角与 F/2.0 超大光圈。内置高精度毫米波雷 </w:t>
            </w:r>
          </w:p>
          <w:p w14:paraId="627D7C16">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达，该雷达具备 1 毫米检测精度与 0.5~10 米有效检测范围，且具备防溅 </w:t>
            </w:r>
          </w:p>
          <w:p w14:paraId="6CF87FDD">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水功能。 </w:t>
            </w:r>
          </w:p>
          <w:p w14:paraId="7163B70E">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可支持全自动航点采样，通过航点规划，实现一键全自动起飞、飞抵目 </w:t>
            </w:r>
          </w:p>
          <w:p w14:paraId="582C2183">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标采水点、定深采样、返航降落，便于对兴趣点重复采样。具备 HMS 健康 </w:t>
            </w:r>
          </w:p>
          <w:p w14:paraId="52EF6A03">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管理系统，当负载状态存在异常（如绞盘系统需要保养时）时可在无人机 </w:t>
            </w:r>
          </w:p>
          <w:p w14:paraId="2FCC8186">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遥控器界面查看提示信息。</w:t>
            </w:r>
          </w:p>
          <w:p w14:paraId="23F65195">
            <w:pPr>
              <w:widowControl/>
              <w:jc w:val="left"/>
              <w:textAlignment w:val="top"/>
              <w:rPr>
                <w:rFonts w:hint="eastAsia" w:ascii="宋体" w:hAnsi="宋体" w:cs="宋体"/>
                <w:color w:val="000000"/>
                <w:kern w:val="0"/>
                <w:sz w:val="24"/>
                <w:szCs w:val="24"/>
                <w:highlight w:val="none"/>
                <w:lang w:bidi="ar"/>
              </w:rPr>
            </w:pPr>
          </w:p>
          <w:p w14:paraId="250C136D">
            <w:pPr>
              <w:widowControl/>
              <w:jc w:val="left"/>
              <w:textAlignment w:val="top"/>
              <w:rPr>
                <w:rFonts w:hint="eastAsia" w:ascii="宋体" w:hAnsi="宋体" w:cs="宋体"/>
                <w:color w:val="000000"/>
                <w:kern w:val="0"/>
                <w:sz w:val="24"/>
                <w:szCs w:val="24"/>
                <w:highlight w:val="none"/>
                <w:lang w:bidi="ar"/>
              </w:rPr>
            </w:pPr>
          </w:p>
          <w:p w14:paraId="0F92C3A4">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b/>
                <w:bCs/>
                <w:color w:val="000000"/>
                <w:kern w:val="0"/>
                <w:sz w:val="24"/>
                <w:szCs w:val="24"/>
                <w:highlight w:val="none"/>
                <w:lang w:bidi="ar"/>
              </w:rPr>
              <w:t>小型高空遥感系统（2台）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（一）飞行器 </w:t>
            </w:r>
          </w:p>
          <w:p w14:paraId="3792174E">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1.裸机重量≤1229 克 </w:t>
            </w:r>
          </w:p>
          <w:p w14:paraId="5B7342B2">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2.最大起飞重量≤1430 克 </w:t>
            </w:r>
          </w:p>
          <w:p w14:paraId="24C44CDC">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3.尺寸：展开尺寸：≤长 307.0 毫米，宽 387.5 毫米，高 149.5 毫 </w:t>
            </w:r>
          </w:p>
          <w:p w14:paraId="30108AB3">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米，折叠尺寸：≤长 260.6 毫米，宽 113.7 毫米，高 138.4 毫米 </w:t>
            </w:r>
          </w:p>
          <w:p w14:paraId="6A00CEF6">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4.最大载重≤200 克 </w:t>
            </w:r>
          </w:p>
          <w:p w14:paraId="591DA78E">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5.桨叶尺寸≤10.8 英寸 </w:t>
            </w:r>
          </w:p>
          <w:p w14:paraId="67B66239">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6.轴距：对角线≤438.8 毫米 </w:t>
            </w:r>
          </w:p>
          <w:p w14:paraId="464EF34E">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7.最大上升速度：10 米/秒 </w:t>
            </w:r>
          </w:p>
          <w:p w14:paraId="15C5A775">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8.带配件最大上升速度≥6 米/秒 </w:t>
            </w:r>
          </w:p>
          <w:p w14:paraId="712A1E29">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9.最大下降速度≥8 米/秒 </w:t>
            </w:r>
          </w:p>
          <w:p w14:paraId="4C4B8E0F">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10.最大水平飞行速度≥21 米/秒 </w:t>
            </w:r>
          </w:p>
          <w:p w14:paraId="16586DBD">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11.最大起飞海拔高度≥6000 米 </w:t>
            </w:r>
          </w:p>
          <w:p w14:paraId="34AF0095">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12.最长飞行时间（无风环境）≥49 分钟 </w:t>
            </w:r>
          </w:p>
          <w:p w14:paraId="7BA561A5">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13.最长悬停时间（无风环境）≥42 分钟 </w:t>
            </w:r>
          </w:p>
          <w:p w14:paraId="405E5203">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14.最大续航里程（无风环境）≥35 公里 </w:t>
            </w:r>
          </w:p>
          <w:p w14:paraId="6FA05DAA">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15.最大抗风速度≥12 米/秒 </w:t>
            </w:r>
          </w:p>
          <w:p w14:paraId="2D23F275">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16.最大可倾斜角度≥35° </w:t>
            </w:r>
          </w:p>
          <w:p w14:paraId="44B76683">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17.工作环境温度≥-10℃ 至 40℃（无太阳辐射） </w:t>
            </w:r>
          </w:p>
          <w:p w14:paraId="082253E1">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18.悬停精度（无风或微风环境）：垂直：± 0.1 米（视觉定位正常工作 </w:t>
            </w:r>
          </w:p>
          <w:p w14:paraId="12BDA310">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时）;± 0.5 米（GNSS 正常工作时）;± 0.1 米（RTK 正常工作时）， </w:t>
            </w:r>
          </w:p>
          <w:p w14:paraId="33379F42">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水平：± 0.3 米（视觉定位正常工作时）;± 0.5 米（GNSS 正常工作 </w:t>
            </w:r>
          </w:p>
          <w:p w14:paraId="54265ADF">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时）;± 0.1 米（RTK 正常工作时） </w:t>
            </w:r>
          </w:p>
          <w:p w14:paraId="35838BE7">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19.RTK 定位精度：RTK 固定解：水平：1 厘米 + 1 ppm；垂直：1.5 厘 </w:t>
            </w:r>
          </w:p>
          <w:p w14:paraId="059B6BA6">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米 + 1 ppm </w:t>
            </w:r>
          </w:p>
          <w:p w14:paraId="395A330C">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20.夜航灯：无人机内置 </w:t>
            </w:r>
          </w:p>
          <w:p w14:paraId="52BE55A5">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21.感知系统类型：具备全向双目视觉系统，机身底部具备三维红外传感 </w:t>
            </w:r>
          </w:p>
          <w:p w14:paraId="578447B1">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器 </w:t>
            </w:r>
          </w:p>
          <w:p w14:paraId="3F251156">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22.最大信号有效距离≥25 公里 </w:t>
            </w:r>
          </w:p>
          <w:p w14:paraId="55B9CE38">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23.实时图传质量≥遥控器：1080p/30fps，屏幕分辨率 1920 × 1200，屏 </w:t>
            </w:r>
          </w:p>
          <w:p w14:paraId="3058614B">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幕尺寸 7.02 英寸。 </w:t>
            </w:r>
          </w:p>
          <w:p w14:paraId="582EFEFC">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24.电池容量≥6741 毫安时 </w:t>
            </w:r>
          </w:p>
          <w:p w14:paraId="00DB75AF">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25.支持 AI 识别功能：支持人、车、船目标检测 AI 模型，支持拓展更多 </w:t>
            </w:r>
          </w:p>
          <w:p w14:paraId="400881AC">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AI 目标检测应用。支持超清矩阵 AI 检测，支持单张照片识别大于等于 </w:t>
            </w:r>
          </w:p>
          <w:p w14:paraId="01A2039A">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1000 个目标。26.设备含无人机电池 4 块，4G 图传套件 1 套，无人机保险 </w:t>
            </w:r>
          </w:p>
          <w:p w14:paraId="359B21EC">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1 年。 </w:t>
            </w:r>
          </w:p>
          <w:p w14:paraId="360E4887">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（二）相机 </w:t>
            </w:r>
          </w:p>
          <w:p w14:paraId="1B5BC25B">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1.影像传感器：广角：1/1.3 英寸 CMOS，有效像素≥4800 万 </w:t>
            </w:r>
          </w:p>
          <w:p w14:paraId="3074107B">
            <w:pPr>
              <w:widowControl/>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中长焦：1/1.3 英寸 CMOS，有效像素≥4800 万</w:t>
            </w:r>
          </w:p>
          <w:p w14:paraId="2ED72093">
            <w:pPr>
              <w:widowControl/>
              <w:jc w:val="left"/>
              <w:textAlignment w:val="top"/>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长焦：1/1.5 英寸 CMOS，有效像素≥4800 万 </w:t>
            </w:r>
          </w:p>
          <w:p w14:paraId="7769C47A">
            <w:pPr>
              <w:widowControl/>
              <w:jc w:val="left"/>
              <w:textAlignment w:val="top"/>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2.镜头：广角相机视角：82°，等效焦距：24 毫米，光圈：f/1.7，对焦 </w:t>
            </w:r>
          </w:p>
          <w:p w14:paraId="35AD58A7">
            <w:pPr>
              <w:widowControl/>
              <w:jc w:val="left"/>
              <w:textAlignment w:val="top"/>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点：1 米至无穷远 </w:t>
            </w:r>
          </w:p>
          <w:p w14:paraId="36C0DC77">
            <w:pPr>
              <w:widowControl/>
              <w:jc w:val="left"/>
              <w:textAlignment w:val="top"/>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3.ISO 范围：普通模式：ISO 100 至 ISO 25600，夜景模式：广角：ISO </w:t>
            </w:r>
          </w:p>
          <w:p w14:paraId="61AFF510">
            <w:pPr>
              <w:widowControl/>
              <w:jc w:val="left"/>
              <w:textAlignment w:val="top"/>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100 至 ISO 409600，中长焦：ISO 100 至 ISO 409600，长焦：ISO 100 </w:t>
            </w:r>
          </w:p>
          <w:p w14:paraId="33F8CFDF">
            <w:pPr>
              <w:widowControl/>
              <w:jc w:val="left"/>
              <w:textAlignment w:val="top"/>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至 ISO 819200 </w:t>
            </w:r>
          </w:p>
          <w:p w14:paraId="702892C2">
            <w:pPr>
              <w:widowControl/>
              <w:jc w:val="left"/>
              <w:textAlignment w:val="top"/>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4.快门速度：2 秒至 1/8000 秒 </w:t>
            </w:r>
          </w:p>
          <w:p w14:paraId="77984E2E">
            <w:pPr>
              <w:widowControl/>
              <w:jc w:val="left"/>
              <w:textAlignment w:val="top"/>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5.最大照片尺寸：广角≥8064 × 6048，中长焦≥8064 × 6048，长焦≥ </w:t>
            </w:r>
          </w:p>
          <w:p w14:paraId="0E4EFFD0">
            <w:pPr>
              <w:widowControl/>
              <w:jc w:val="left"/>
              <w:textAlignment w:val="top"/>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8192 × 6144 </w:t>
            </w:r>
          </w:p>
          <w:p w14:paraId="185A6BF7">
            <w:pPr>
              <w:widowControl/>
              <w:jc w:val="left"/>
              <w:textAlignment w:val="top"/>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6.最小拍照间隔≥0.7 秒 </w:t>
            </w:r>
          </w:p>
          <w:p w14:paraId="52E68CDF">
            <w:pPr>
              <w:widowControl/>
              <w:jc w:val="left"/>
              <w:textAlignment w:val="top"/>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7.照片拍摄模式： </w:t>
            </w:r>
          </w:p>
          <w:p w14:paraId="642ABEC2">
            <w:pPr>
              <w:widowControl/>
              <w:jc w:val="left"/>
              <w:textAlignment w:val="top"/>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广角：单张拍摄≥800 万像素，定时拍摄≥4800 万像素，智能拍照≥ </w:t>
            </w:r>
          </w:p>
          <w:p w14:paraId="086B3AFC">
            <w:pPr>
              <w:widowControl/>
              <w:jc w:val="left"/>
              <w:textAlignment w:val="top"/>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1200 万像素，全景拍照≥1200 万像素（原始素材），合成素材≥1 亿像 </w:t>
            </w:r>
          </w:p>
          <w:p w14:paraId="3B8BEBA8">
            <w:pPr>
              <w:widowControl/>
              <w:jc w:val="left"/>
              <w:textAlignment w:val="top"/>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素 </w:t>
            </w:r>
          </w:p>
          <w:p w14:paraId="6F66BC7A">
            <w:pPr>
              <w:widowControl/>
              <w:jc w:val="left"/>
              <w:textAlignment w:val="top"/>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中长焦：单张拍摄≥4800 万像素，定时拍摄≥4800 万像素，智能拍照≥ </w:t>
            </w:r>
          </w:p>
          <w:p w14:paraId="2DF79487">
            <w:pPr>
              <w:widowControl/>
              <w:jc w:val="left"/>
              <w:textAlignment w:val="top"/>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1200 万像素 </w:t>
            </w:r>
          </w:p>
          <w:p w14:paraId="44371A28">
            <w:pPr>
              <w:widowControl/>
              <w:jc w:val="left"/>
              <w:textAlignment w:val="top"/>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长焦：单张拍摄≥4800 万像素，定时拍摄≥4800 万像素，智能拍照≥ </w:t>
            </w:r>
          </w:p>
          <w:p w14:paraId="2F41527D">
            <w:pPr>
              <w:widowControl/>
              <w:jc w:val="left"/>
              <w:textAlignment w:val="top"/>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1200 万像素 </w:t>
            </w:r>
          </w:p>
          <w:p w14:paraId="5330EAE4">
            <w:pPr>
              <w:widowControl/>
              <w:jc w:val="left"/>
              <w:textAlignment w:val="top"/>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8.数字变焦≥混合变焦 112 倍 </w:t>
            </w:r>
          </w:p>
          <w:p w14:paraId="458CDAD0">
            <w:pPr>
              <w:widowControl/>
              <w:jc w:val="left"/>
              <w:textAlignment w:val="top"/>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9.近红外补光灯：近红外补光灯：6°视场角，100 米照亮距离 </w:t>
            </w:r>
          </w:p>
          <w:p w14:paraId="2B9D5630">
            <w:pPr>
              <w:widowControl/>
              <w:jc w:val="left"/>
              <w:textAlignment w:val="top"/>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10.激光测距：正入射量程：1800 米（1 Hz）@20% 反射率目标*，斜入射 </w:t>
            </w:r>
          </w:p>
          <w:p w14:paraId="7F0BDC7C">
            <w:pPr>
              <w:widowControl/>
              <w:jc w:val="left"/>
              <w:textAlignment w:val="top"/>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量程（1:5 斜距）：600 米（1 Hz），盲区：1 米 </w:t>
            </w:r>
          </w:p>
          <w:p w14:paraId="36C27EA7">
            <w:pPr>
              <w:widowControl/>
              <w:jc w:val="left"/>
              <w:textAlignment w:val="top"/>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11. 测距精度：1 米至 3 米：系统误差 &lt;0.3 米，随机误差&lt;0.1 米@1 </w:t>
            </w:r>
          </w:p>
          <w:p w14:paraId="5AB1E7C0">
            <w:pPr>
              <w:widowControl/>
              <w:jc w:val="left"/>
              <w:textAlignment w:val="top"/>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σ ，其他距离：±（0.2+0.0015D）（D 代表测量距离，单位米） </w:t>
            </w:r>
          </w:p>
          <w:p w14:paraId="66AE1DB4">
            <w:pPr>
              <w:widowControl/>
              <w:jc w:val="left"/>
              <w:textAlignment w:val="top"/>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（三）热成像相机 </w:t>
            </w:r>
          </w:p>
          <w:p w14:paraId="2D1F87A6">
            <w:pPr>
              <w:widowControl/>
              <w:jc w:val="left"/>
              <w:textAlignment w:val="top"/>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1.热成像传感器类型：非制冷氧化钒（VOx） </w:t>
            </w:r>
          </w:p>
          <w:p w14:paraId="28968F69">
            <w:pPr>
              <w:widowControl/>
              <w:jc w:val="left"/>
              <w:textAlignment w:val="top"/>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2.分辨率≥640 × 512 </w:t>
            </w:r>
          </w:p>
          <w:p w14:paraId="7485C000">
            <w:pPr>
              <w:widowControl/>
              <w:jc w:val="left"/>
              <w:textAlignment w:val="top"/>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3.像元间距≥12um </w:t>
            </w:r>
          </w:p>
          <w:p w14:paraId="3FE28AC1">
            <w:pPr>
              <w:widowControl/>
              <w:jc w:val="left"/>
              <w:textAlignment w:val="top"/>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4.帧率≥30Hz </w:t>
            </w:r>
          </w:p>
          <w:p w14:paraId="02F56BCB">
            <w:pPr>
              <w:widowControl/>
              <w:jc w:val="left"/>
              <w:textAlignment w:val="top"/>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5.镜头 DFOV：45°， 等效焦距：53 毫米，光圈：f/1.0，对焦距离：5 </w:t>
            </w:r>
          </w:p>
          <w:p w14:paraId="7DA93F52">
            <w:pPr>
              <w:widowControl/>
              <w:jc w:val="left"/>
              <w:textAlignment w:val="top"/>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米至无穷远 </w:t>
            </w:r>
          </w:p>
          <w:p w14:paraId="7A0905DE">
            <w:pPr>
              <w:widowControl/>
              <w:jc w:val="left"/>
              <w:textAlignment w:val="top"/>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6.灵敏度≤50mk@F1.0 </w:t>
            </w:r>
          </w:p>
          <w:p w14:paraId="460A8DB3">
            <w:pPr>
              <w:widowControl/>
              <w:jc w:val="left"/>
              <w:textAlignment w:val="top"/>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7.测温方式：点测温、区域测温 </w:t>
            </w:r>
          </w:p>
          <w:p w14:paraId="712CCC4E">
            <w:pPr>
              <w:widowControl/>
              <w:jc w:val="left"/>
              <w:textAlignment w:val="top"/>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8.测温范围：-20℃ 至 150℃（高增益模式）0℃ 至 550℃（低增益模 </w:t>
            </w:r>
          </w:p>
          <w:p w14:paraId="421CB405">
            <w:pPr>
              <w:widowControl/>
              <w:jc w:val="left"/>
              <w:textAlignment w:val="top"/>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式） </w:t>
            </w:r>
          </w:p>
          <w:p w14:paraId="184B7A12">
            <w:pPr>
              <w:widowControl/>
              <w:jc w:val="left"/>
              <w:textAlignment w:val="top"/>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9.调色盘：白热/黑热/描红/铁红/热铁/北极/医疗/熔岩/彩虹 1/彩虹 2 </w:t>
            </w:r>
          </w:p>
          <w:p w14:paraId="70AB46BC">
            <w:pPr>
              <w:widowControl/>
              <w:jc w:val="left"/>
              <w:textAlignment w:val="top"/>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10.照片格式：JPEG（8bit）、 R-JPEG（16bit） </w:t>
            </w:r>
          </w:p>
          <w:p w14:paraId="608468B4">
            <w:pPr>
              <w:widowControl/>
              <w:jc w:val="left"/>
              <w:textAlignment w:val="top"/>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11.视频分辨率≥1280 × 1024@30fps </w:t>
            </w:r>
          </w:p>
          <w:p w14:paraId="5CD9519E">
            <w:pPr>
              <w:widowControl/>
              <w:jc w:val="left"/>
              <w:textAlignment w:val="top"/>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12.照片拍摄模式：单张拍摄：1280 × 1024/640 × 512，定时拍摄： </w:t>
            </w:r>
          </w:p>
          <w:p w14:paraId="3C039622">
            <w:pPr>
              <w:widowControl/>
              <w:jc w:val="left"/>
              <w:textAlignment w:val="top"/>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1280 × 1024/640 × 512 </w:t>
            </w:r>
          </w:p>
          <w:p w14:paraId="2F35B834">
            <w:pPr>
              <w:widowControl/>
              <w:jc w:val="left"/>
              <w:textAlignment w:val="top"/>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13.照片分辨率：红外≥1280×1024（超分开启），640×512（超分关 </w:t>
            </w:r>
          </w:p>
          <w:p w14:paraId="09C1CBD7">
            <w:pPr>
              <w:widowControl/>
              <w:jc w:val="left"/>
              <w:textAlignment w:val="top"/>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闭） </w:t>
            </w:r>
          </w:p>
          <w:p w14:paraId="34F6625B">
            <w:pPr>
              <w:widowControl/>
              <w:jc w:val="left"/>
              <w:textAlignment w:val="top"/>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14.数字变焦≥28 倍 </w:t>
            </w:r>
          </w:p>
          <w:p w14:paraId="3C9E4CFB">
            <w:pPr>
              <w:widowControl/>
              <w:jc w:val="left"/>
              <w:textAlignment w:val="top"/>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15.红外波长≥8um 至 14um </w:t>
            </w:r>
          </w:p>
          <w:p w14:paraId="27BF8BD2">
            <w:pPr>
              <w:widowControl/>
              <w:jc w:val="left"/>
              <w:textAlignment w:val="top"/>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16.红外测温精度：高增益：±2℃ 或 ±2%，取较大值，低增益：±5℃ </w:t>
            </w:r>
          </w:p>
          <w:p w14:paraId="643D07B4">
            <w:pPr>
              <w:widowControl/>
              <w:jc w:val="left"/>
              <w:textAlignment w:val="top"/>
              <w:rPr>
                <w:rFonts w:hint="eastAsia" w:ascii="宋体" w:hAnsi="宋体" w:cs="宋体"/>
                <w:color w:val="000000"/>
                <w:sz w:val="24"/>
                <w:szCs w:val="24"/>
                <w:highlight w:val="none"/>
              </w:rPr>
            </w:pPr>
            <w:r>
              <w:rPr>
                <w:rFonts w:hint="eastAsia" w:ascii="宋体" w:hAnsi="宋体" w:cs="宋体"/>
                <w:color w:val="000000"/>
                <w:sz w:val="24"/>
                <w:szCs w:val="24"/>
                <w:highlight w:val="none"/>
              </w:rPr>
              <w:t>或 ±3%，取较大值</w:t>
            </w:r>
          </w:p>
          <w:p w14:paraId="545ED332">
            <w:pPr>
              <w:widowControl/>
              <w:jc w:val="left"/>
              <w:textAlignment w:val="top"/>
              <w:rPr>
                <w:rFonts w:ascii="宋体" w:hAnsi="宋体" w:cs="宋体"/>
                <w:color w:val="000000"/>
                <w:sz w:val="24"/>
                <w:szCs w:val="24"/>
                <w:highlight w:val="none"/>
              </w:rPr>
            </w:pPr>
            <w:r>
              <w:rPr>
                <w:rFonts w:hint="eastAsia" w:ascii="宋体" w:hAnsi="宋体" w:cs="宋体"/>
                <w:b/>
                <w:bCs/>
                <w:color w:val="000000"/>
                <w:sz w:val="24"/>
                <w:szCs w:val="24"/>
                <w:highlight w:val="none"/>
              </w:rPr>
              <w:t>四、无人机驾照：提供中国民航局签发的 CAAC 无人机执照（视距内驾驶员）培训考试名额不少于3名。</w:t>
            </w:r>
          </w:p>
        </w:tc>
      </w:tr>
      <w:tr w14:paraId="441D0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3" w:hRule="atLeast"/>
        </w:trPr>
        <w:tc>
          <w:tcPr>
            <w:tcW w:w="675" w:type="dxa"/>
            <w:noWrap/>
            <w:vAlign w:val="center"/>
          </w:tcPr>
          <w:p w14:paraId="07CCD31C">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63</w:t>
            </w:r>
          </w:p>
        </w:tc>
        <w:tc>
          <w:tcPr>
            <w:tcW w:w="1908" w:type="dxa"/>
            <w:noWrap w:val="0"/>
            <w:vAlign w:val="center"/>
          </w:tcPr>
          <w:p w14:paraId="5EE2BA8C">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辅助设备</w:t>
            </w:r>
          </w:p>
        </w:tc>
        <w:tc>
          <w:tcPr>
            <w:tcW w:w="683" w:type="dxa"/>
            <w:noWrap w:val="0"/>
            <w:vAlign w:val="center"/>
          </w:tcPr>
          <w:p w14:paraId="3507D946">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w:t>
            </w:r>
          </w:p>
        </w:tc>
        <w:tc>
          <w:tcPr>
            <w:tcW w:w="825" w:type="dxa"/>
            <w:noWrap w:val="0"/>
            <w:vAlign w:val="center"/>
          </w:tcPr>
          <w:p w14:paraId="7DFA254D">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套</w:t>
            </w:r>
          </w:p>
        </w:tc>
        <w:tc>
          <w:tcPr>
            <w:tcW w:w="10088" w:type="dxa"/>
            <w:noWrap w:val="0"/>
            <w:vAlign w:val="top"/>
          </w:tcPr>
          <w:p w14:paraId="4BC58F3A">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1、抽滤器：</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HJ776-2015《水质 32种元素的测定 电感耦合等离子体发射光谱法》</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GJW-03-SSG-001 《国家地表水环境质量监测网络作业指导书》</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1.采用一体化设计方式，体积小、重量轻、携带方便；</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2.内置高容量锂电池，续航时间长，方便采样现场使用；</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3.操作简单，即开即用，滤膜更换方便；多种滤径滤膜可选择；</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4.选优质进口真空泵，流量大，带负载能力强，耐酸碱腐蚀，使用寿命长；</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5.抽滤压力实时显示，方便观察负载，及时更换滤膜；</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6.蓄液瓶与样品瓶合并，抽滤下一个水样时无需清洗蓄液瓶；</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7.机壳采用不锈钢加喷涂工艺，具有较好的耐锈蚀性能；</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8.采用大容量耐酸碱缓冲瓶，可以大大提高电机的保护作用；</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9.抽滤压力实时可见；</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10.电池电量实时显示，可以更好的提示使用者给仪器补电；</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11.可选配防倒吸缓冲瓶；</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采样流量（空载）12L/Min</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负载能力-70kPa</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续航时间大于15小时</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 工作温度(-20～+50)℃</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功耗＜15 W</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2、离心机</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HJ91.2-2022《地表水环境质量监测技术规范》</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GB 19815-2005《离心机安全要求》</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GB 19814-2005《分离机安全要求》</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主机与机箱一体式设计、运输、保存、使用更加便捷</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采用交直流两用设计</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具备开门即停功能，更好的保护实验人员</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机盖设计透视窗，可以观察仪器的运行状态/停机时是否停稳等，增加安全系数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充电口设计有防水罩，户外作业更安全</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仪器侧面拉杆设计，移动更轻松</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转速范围（200~2500）rpm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最大离心力1020Xg</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转速精度±10r/min</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最大制备容量4×300mL（刻度至250mL）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定时范围00min01s~99min59s</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3、甲醛检测仪</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内置泵吸式测量，可切换为扩散式，扩散+泵吸式检测方式</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泵堵塞报警  跌倒报警</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最大值、最小值、加权平均值显示</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零点自动跟踪，避免零点漂移</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显示内容：实时浓度、单位、气体名称、报警状态、时间、存储状态、通讯状态、电量、充电状态等</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防爆类型Ex ia IIC T4 Ga;Ex iaD 20 T130C</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外壳材质：高强度耐腐蚀防火聚碳酸酯与橡胶保护套，防摔耐磨防静电，有效抗跌落≥5米</w:t>
            </w:r>
          </w:p>
        </w:tc>
      </w:tr>
      <w:tr w14:paraId="6B35F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8" w:hRule="atLeast"/>
        </w:trPr>
        <w:tc>
          <w:tcPr>
            <w:tcW w:w="675" w:type="dxa"/>
            <w:noWrap/>
            <w:vAlign w:val="center"/>
          </w:tcPr>
          <w:p w14:paraId="006A9552">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64</w:t>
            </w:r>
          </w:p>
        </w:tc>
        <w:tc>
          <w:tcPr>
            <w:tcW w:w="1908" w:type="dxa"/>
            <w:noWrap w:val="0"/>
            <w:vAlign w:val="center"/>
          </w:tcPr>
          <w:p w14:paraId="1BE8E2F0">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低浓度自动烟尘烟气综合测试仪（配多功能烟尘采集枪）</w:t>
            </w:r>
          </w:p>
        </w:tc>
        <w:tc>
          <w:tcPr>
            <w:tcW w:w="683" w:type="dxa"/>
            <w:noWrap w:val="0"/>
            <w:vAlign w:val="center"/>
          </w:tcPr>
          <w:p w14:paraId="17C39EFA">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w:t>
            </w:r>
          </w:p>
        </w:tc>
        <w:tc>
          <w:tcPr>
            <w:tcW w:w="825" w:type="dxa"/>
            <w:noWrap w:val="0"/>
            <w:vAlign w:val="center"/>
          </w:tcPr>
          <w:p w14:paraId="16C92B90">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36115488">
            <w:pPr>
              <w:widowControl/>
              <w:numPr>
                <w:ilvl w:val="0"/>
                <w:numId w:val="13"/>
              </w:numPr>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用途：</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仪器应用皮托管平行等速采样法采集固定污染源排气中的颗粒物，用过滤称重法测定烟尘质量，应用定电位电解法定性定量测定烟气成份。可应用于各种锅炉、烟道、工业炉窑等固定污染源颗粒物的排放浓度、折算浓度、排放总量的测定及设备除尘脱硫效率的测定；自动测量烟气动压、烟气静压、流速、流量计前压力、流量计前温度、烟气温度、含湿量、O2、SO2、CO、NO、NO2浓度等参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 技术要求：</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2.1可完成固定污染源废气中浓度低于20mg/m3的颗粒物测定</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2.2 具有烟尘测量、烟气分析、烟气采样同步运行功能；</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2.3工况测量模块前置，支持有线和无线双通信模式；</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2.4 微电脑控制等速跟踪采样，精确电子流量计控制，实时监测计温、计压，自动调节流量；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2.5烟尘采样和烟气分析气路都具有独立排水功能，可自动排出冷凝水，降低对传感器和采样泵的损伤；</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2.6宽温彩色触摸显示屏搭配物理按键，触摸和按键双操作，中文输入法；</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2.10 烟气分析模块具有加热保温功能，并且增加温度补偿修正；</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2.11支持外部交、直流两种供电方式，电源适配器具有仪器供电和电池充电管理双功能；</w:t>
            </w:r>
          </w:p>
          <w:p w14:paraId="288EB36C">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2.12具备故障自检功能，气密性自动检测功能；</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2.13配备多合一多功能取样管，简单更换采样头就能满足一体称重滤膜式、滤筒式采样；</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 技术指标：</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3.1烟尘采样技术指标：</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3.1.1采样流量：(0～120) L/min  分辨率：0.1 L/min 准确度：不超过±2.5%</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3.1.2烟气动压：(0～2000) Pa    分辨率：1 Pa      准确度：不超过±1%FS</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3.1.3烟气静压：(-30～＋30) kPa  分辨率：0.01 kPa  准确度：不超过±1%FS</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3.1.4流量计前压力：(-60～0) kPa 分辨率：0.01 kPa  准确度：不超过±1%FS</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3.1.5流量计前温度：(-55～125)℃ 分辨率：0.1℃   准确度：不超过±2.5℃</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3.1.6大气压：(50～130) kPa     分辨率：0.01 kPa  准确度：不超过±500Pa</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3.1.7烟气温度：(0～500)℃可扩展  分辨率：0.1℃  准确度：不超过±3℃</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3.1.8流  速：(5～45）m/s       分辨率：0.1 m/s  准确度：不超过±5%</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3.1.9等速跟踪响应时间：不超过20s</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3.1.10采样泵负载能力：≥60 L/min (阻力为20kPa时)</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3.2烟气采样技术指标：</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3.2.1烟气采样流量：不小于0.5L/min</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3.2.2 传感器参数：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电化学法: O2：(0～30)%,分辨率：0.1%;SO2：(0～5700) mg/m3,分辨率：1mg/m3;</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NO：(0～1300) mg/m3,分辨率：1mg/m3;NO2：(0～200) mg/m3,分辨率：1mg/m3;CO：(0～5000) mg/m3,分辨率：1mg/m3。</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 配置：主机、烟尘多功能取样管大于（1.5米×2）对接、无线流速监测模块、烟气含湿量检测器、烟气取样管、烟气预处理器等</w:t>
            </w:r>
          </w:p>
        </w:tc>
      </w:tr>
      <w:tr w14:paraId="1501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0" w:hRule="atLeast"/>
        </w:trPr>
        <w:tc>
          <w:tcPr>
            <w:tcW w:w="675" w:type="dxa"/>
            <w:noWrap/>
            <w:vAlign w:val="center"/>
          </w:tcPr>
          <w:p w14:paraId="238F2DCE">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65</w:t>
            </w:r>
          </w:p>
        </w:tc>
        <w:tc>
          <w:tcPr>
            <w:tcW w:w="1908" w:type="dxa"/>
            <w:noWrap w:val="0"/>
            <w:vAlign w:val="center"/>
          </w:tcPr>
          <w:p w14:paraId="00D8F350">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电感耦合等离子体质谱仪（ICP-MS)</w:t>
            </w:r>
          </w:p>
        </w:tc>
        <w:tc>
          <w:tcPr>
            <w:tcW w:w="683" w:type="dxa"/>
            <w:noWrap w:val="0"/>
            <w:vAlign w:val="center"/>
          </w:tcPr>
          <w:p w14:paraId="5029FA0A">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825" w:type="dxa"/>
            <w:noWrap w:val="0"/>
            <w:vAlign w:val="center"/>
          </w:tcPr>
          <w:p w14:paraId="7C6A5668">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3808F25E">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一、基本要求</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适用于环境样品中各种重金属元素的准确分析，符合《水质 65 种元素的测定 电感耦合等离子体质谱法》（HJ 700-2014）、《土壤和沉积物 19 种金属元素总量的测定电感耦合等离子体质谱法》（HJ 1315-2023）等的要求。</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二、技术参数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 雾化器：耐高盐、高效石英同心雾化器。</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2.2 整机气路控制：≥3 个高精度气体质量流量计，碰撞反应池配备 1 个高精度气体质</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量流量计。</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2.3 炬管：石英炬管，中心管内径≥1.0 mm。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2.4 进样系统：采用蠕动泵进样模式。配备耐高盐进样系统。</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2.5 接口和离子透镜：具有保证仪器性能和分析结果质量的接口和离子透镜技术，保证良好的信噪比。采样锥口径≥0.9 mm，截取锥口径≥0.4 mm。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2.6 离子传输系统：可智能调节离子传输，实现高低含量元素的同时监测。</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2.7 具有二次放电消除技术。</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2.8 碰撞/反应池 ：具备碰撞反应池，工作模式≥3 种。碰撞池设计应能很好地去除干</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扰，提高分析的准确性和灵敏度。</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2.9 质量分析器：采用四级杆设计，驱动频率 ≥2.0 MHz，最短驻留时间 ≤20 </w:t>
            </w:r>
            <w:r>
              <w:rPr>
                <w:rStyle w:val="29"/>
                <w:rFonts w:hint="default"/>
                <w:sz w:val="24"/>
                <w:szCs w:val="24"/>
                <w:highlight w:val="none"/>
                <w:lang w:bidi="ar"/>
              </w:rPr>
              <w:t>µs。</w:t>
            </w:r>
            <w:r>
              <w:rPr>
                <w:rStyle w:val="29"/>
                <w:rFonts w:hint="default"/>
                <w:sz w:val="24"/>
                <w:szCs w:val="24"/>
                <w:highlight w:val="none"/>
                <w:lang w:bidi="ar"/>
              </w:rPr>
              <w:br w:type="textWrapping"/>
            </w:r>
            <w:r>
              <w:rPr>
                <w:rStyle w:val="29"/>
                <w:rFonts w:hint="default"/>
                <w:sz w:val="24"/>
                <w:szCs w:val="24"/>
                <w:highlight w:val="none"/>
                <w:lang w:bidi="ar"/>
              </w:rPr>
              <w:t>2.10 质量数范围：5～250 amu。</w:t>
            </w:r>
            <w:r>
              <w:rPr>
                <w:rStyle w:val="29"/>
                <w:rFonts w:hint="default"/>
                <w:sz w:val="24"/>
                <w:szCs w:val="24"/>
                <w:highlight w:val="none"/>
                <w:lang w:bidi="ar"/>
              </w:rPr>
              <w:br w:type="textWrapping"/>
            </w:r>
            <w:r>
              <w:rPr>
                <w:rStyle w:val="29"/>
                <w:rFonts w:hint="default"/>
                <w:sz w:val="24"/>
                <w:szCs w:val="24"/>
                <w:highlight w:val="none"/>
                <w:lang w:bidi="ar"/>
              </w:rPr>
              <w:t>2.11 检测器：采用电子倍增器，具有较高的分析灵敏度。</w:t>
            </w:r>
            <w:r>
              <w:rPr>
                <w:rStyle w:val="29"/>
                <w:rFonts w:hint="default"/>
                <w:sz w:val="24"/>
                <w:szCs w:val="24"/>
                <w:highlight w:val="none"/>
                <w:lang w:bidi="ar"/>
              </w:rPr>
              <w:br w:type="textWrapping"/>
            </w:r>
            <w:r>
              <w:rPr>
                <w:rStyle w:val="29"/>
                <w:rFonts w:hint="default"/>
                <w:sz w:val="24"/>
                <w:szCs w:val="24"/>
                <w:highlight w:val="none"/>
                <w:lang w:bidi="ar"/>
              </w:rPr>
              <w:t>2.12 真空系统：配备机械泵和分子涡轮泵。在彻底关机后，冷启动抽真空，30 分钟内</w:t>
            </w:r>
            <w:r>
              <w:rPr>
                <w:rStyle w:val="29"/>
                <w:rFonts w:hint="default"/>
                <w:sz w:val="24"/>
                <w:szCs w:val="24"/>
                <w:highlight w:val="none"/>
                <w:lang w:bidi="ar"/>
              </w:rPr>
              <w:br w:type="textWrapping"/>
            </w:r>
            <w:r>
              <w:rPr>
                <w:rStyle w:val="29"/>
                <w:rFonts w:hint="default"/>
                <w:sz w:val="24"/>
                <w:szCs w:val="24"/>
                <w:highlight w:val="none"/>
                <w:lang w:bidi="ar"/>
              </w:rPr>
              <w:t>完成并达到工作真空度。</w:t>
            </w:r>
            <w:r>
              <w:rPr>
                <w:rStyle w:val="29"/>
                <w:rFonts w:hint="default"/>
                <w:sz w:val="24"/>
                <w:szCs w:val="24"/>
                <w:highlight w:val="none"/>
                <w:lang w:bidi="ar"/>
              </w:rPr>
              <w:br w:type="textWrapping"/>
            </w:r>
            <w:r>
              <w:rPr>
                <w:rStyle w:val="29"/>
                <w:rFonts w:hint="default"/>
                <w:sz w:val="24"/>
                <w:szCs w:val="24"/>
                <w:highlight w:val="none"/>
                <w:lang w:bidi="ar"/>
              </w:rPr>
              <w:t>2.13 UPS 稳压电源：断电后工作时间≥2 小时。</w:t>
            </w:r>
            <w:r>
              <w:rPr>
                <w:rStyle w:val="29"/>
                <w:rFonts w:hint="default"/>
                <w:sz w:val="24"/>
                <w:szCs w:val="24"/>
                <w:highlight w:val="none"/>
                <w:lang w:bidi="ar"/>
              </w:rPr>
              <w:br w:type="textWrapping"/>
            </w:r>
            <w:r>
              <w:rPr>
                <w:rStyle w:val="29"/>
                <w:rFonts w:hint="default"/>
                <w:sz w:val="24"/>
                <w:szCs w:val="24"/>
                <w:highlight w:val="none"/>
                <w:lang w:bidi="ar"/>
              </w:rPr>
              <w:t>2.14 操作软件：中文。</w:t>
            </w:r>
            <w:r>
              <w:rPr>
                <w:rStyle w:val="29"/>
                <w:rFonts w:hint="default"/>
                <w:sz w:val="24"/>
                <w:szCs w:val="24"/>
                <w:highlight w:val="none"/>
                <w:lang w:bidi="ar"/>
              </w:rPr>
              <w:br w:type="textWrapping"/>
            </w:r>
            <w:r>
              <w:rPr>
                <w:rStyle w:val="29"/>
                <w:rFonts w:hint="default"/>
                <w:sz w:val="24"/>
                <w:szCs w:val="24"/>
                <w:highlight w:val="none"/>
                <w:lang w:bidi="ar"/>
              </w:rPr>
              <w:t>2.15 氧化物产率(CeO+/Ce+) ：≤2.5 %，双电荷产率(Ce2+/Ce+)：≤3 %。</w:t>
            </w:r>
            <w:r>
              <w:rPr>
                <w:rStyle w:val="29"/>
                <w:rFonts w:hint="default"/>
                <w:sz w:val="24"/>
                <w:szCs w:val="24"/>
                <w:highlight w:val="none"/>
                <w:lang w:bidi="ar"/>
              </w:rPr>
              <w:br w:type="textWrapping"/>
            </w:r>
            <w:r>
              <w:rPr>
                <w:rStyle w:val="29"/>
                <w:rFonts w:hint="default"/>
                <w:sz w:val="24"/>
                <w:szCs w:val="24"/>
                <w:highlight w:val="none"/>
                <w:lang w:bidi="ar"/>
              </w:rPr>
              <w:t>2.16 短期稳定性(RSD)：≤2%，长期稳定性(RSD)：≤3%。</w:t>
            </w:r>
            <w:r>
              <w:rPr>
                <w:rStyle w:val="29"/>
                <w:rFonts w:hint="default"/>
                <w:sz w:val="24"/>
                <w:szCs w:val="24"/>
                <w:highlight w:val="none"/>
                <w:lang w:bidi="ar"/>
              </w:rPr>
              <w:br w:type="textWrapping"/>
            </w:r>
            <w:r>
              <w:rPr>
                <w:rStyle w:val="29"/>
                <w:rFonts w:hint="default"/>
                <w:sz w:val="24"/>
                <w:szCs w:val="24"/>
                <w:highlight w:val="none"/>
                <w:lang w:bidi="ar"/>
              </w:rPr>
              <w:t>2.17 检出限：Be(9) ≤ 0.5ppt、In(115) ≤0.1ppt、Bi(209) ≤0.1ppt。</w:t>
            </w:r>
            <w:r>
              <w:rPr>
                <w:rStyle w:val="29"/>
                <w:rFonts w:hint="default"/>
                <w:sz w:val="24"/>
                <w:szCs w:val="24"/>
                <w:highlight w:val="none"/>
                <w:lang w:bidi="ar"/>
              </w:rPr>
              <w:br w:type="textWrapping"/>
            </w:r>
            <w:r>
              <w:rPr>
                <w:rStyle w:val="29"/>
                <w:rFonts w:hint="default"/>
                <w:sz w:val="24"/>
                <w:szCs w:val="24"/>
                <w:highlight w:val="none"/>
                <w:lang w:bidi="ar"/>
              </w:rPr>
              <w:t>2.18 正确度：≤±5%(测试 1ppb 标液，重复 6 次)。</w:t>
            </w:r>
            <w:r>
              <w:rPr>
                <w:rStyle w:val="29"/>
                <w:rFonts w:hint="default"/>
                <w:sz w:val="24"/>
                <w:szCs w:val="24"/>
                <w:highlight w:val="none"/>
                <w:lang w:bidi="ar"/>
              </w:rPr>
              <w:br w:type="textWrapping"/>
            </w:r>
            <w:r>
              <w:rPr>
                <w:rStyle w:val="29"/>
                <w:rFonts w:hint="default"/>
                <w:sz w:val="24"/>
                <w:szCs w:val="24"/>
                <w:highlight w:val="none"/>
                <w:lang w:bidi="ar"/>
              </w:rPr>
              <w:t>2.19 精密度：≤2%(测试 1ppb 多元素混标，重复 6 次)。</w:t>
            </w:r>
            <w:r>
              <w:rPr>
                <w:rStyle w:val="29"/>
                <w:rFonts w:hint="default"/>
                <w:sz w:val="24"/>
                <w:szCs w:val="24"/>
                <w:highlight w:val="none"/>
                <w:lang w:bidi="ar"/>
              </w:rPr>
              <w:br w:type="textWrapping"/>
            </w:r>
            <w:r>
              <w:rPr>
                <w:rStyle w:val="29"/>
                <w:rFonts w:hint="default"/>
                <w:sz w:val="24"/>
                <w:szCs w:val="24"/>
                <w:highlight w:val="none"/>
                <w:lang w:bidi="ar"/>
              </w:rPr>
              <w:t>三、主要配置要求</w:t>
            </w:r>
            <w:r>
              <w:rPr>
                <w:rStyle w:val="29"/>
                <w:rFonts w:hint="default"/>
                <w:sz w:val="24"/>
                <w:szCs w:val="24"/>
                <w:highlight w:val="none"/>
                <w:lang w:bidi="ar"/>
              </w:rPr>
              <w:br w:type="textWrapping"/>
            </w:r>
            <w:r>
              <w:rPr>
                <w:rStyle w:val="29"/>
                <w:rFonts w:hint="default"/>
                <w:sz w:val="24"/>
                <w:szCs w:val="24"/>
                <w:highlight w:val="none"/>
                <w:lang w:bidi="ar"/>
              </w:rPr>
              <w:t>3.1 主机 1 台。</w:t>
            </w:r>
            <w:r>
              <w:rPr>
                <w:rStyle w:val="29"/>
                <w:rFonts w:hint="default"/>
                <w:sz w:val="24"/>
                <w:szCs w:val="24"/>
                <w:highlight w:val="none"/>
                <w:lang w:bidi="ar"/>
              </w:rPr>
              <w:br w:type="textWrapping"/>
            </w:r>
            <w:r>
              <w:rPr>
                <w:rStyle w:val="29"/>
                <w:rFonts w:hint="default"/>
                <w:sz w:val="24"/>
                <w:szCs w:val="24"/>
                <w:highlight w:val="none"/>
                <w:lang w:bidi="ar"/>
              </w:rPr>
              <w:t>3.2 自动进样器 1 套。</w:t>
            </w:r>
            <w:r>
              <w:rPr>
                <w:rStyle w:val="29"/>
                <w:rFonts w:hint="default"/>
                <w:sz w:val="24"/>
                <w:szCs w:val="24"/>
                <w:highlight w:val="none"/>
                <w:lang w:bidi="ar"/>
              </w:rPr>
              <w:br w:type="textWrapping"/>
            </w:r>
            <w:r>
              <w:rPr>
                <w:rStyle w:val="29"/>
                <w:rFonts w:hint="default"/>
                <w:sz w:val="24"/>
                <w:szCs w:val="24"/>
                <w:highlight w:val="none"/>
                <w:lang w:bidi="ar"/>
              </w:rPr>
              <w:t>3.3 UPS 电源 1 套。</w:t>
            </w:r>
            <w:r>
              <w:rPr>
                <w:rStyle w:val="29"/>
                <w:rFonts w:hint="default"/>
                <w:sz w:val="24"/>
                <w:szCs w:val="24"/>
                <w:highlight w:val="none"/>
                <w:lang w:bidi="ar"/>
              </w:rPr>
              <w:br w:type="textWrapping"/>
            </w:r>
            <w:r>
              <w:rPr>
                <w:rStyle w:val="29"/>
                <w:rFonts w:hint="default"/>
                <w:sz w:val="24"/>
                <w:szCs w:val="24"/>
                <w:highlight w:val="none"/>
                <w:lang w:bidi="ar"/>
              </w:rPr>
              <w:t>3.4 循环冷却水机 1 台。</w:t>
            </w:r>
            <w:r>
              <w:rPr>
                <w:rStyle w:val="29"/>
                <w:rFonts w:hint="default"/>
                <w:sz w:val="24"/>
                <w:szCs w:val="24"/>
                <w:highlight w:val="none"/>
                <w:lang w:bidi="ar"/>
              </w:rPr>
              <w:br w:type="textWrapping"/>
            </w:r>
            <w:r>
              <w:rPr>
                <w:rStyle w:val="29"/>
                <w:rFonts w:hint="default"/>
                <w:sz w:val="24"/>
                <w:szCs w:val="24"/>
                <w:highlight w:val="none"/>
                <w:lang w:bidi="ar"/>
              </w:rPr>
              <w:t>3.5 真空泵 1 套。</w:t>
            </w:r>
            <w:r>
              <w:rPr>
                <w:rStyle w:val="29"/>
                <w:rFonts w:hint="default"/>
                <w:sz w:val="24"/>
                <w:szCs w:val="24"/>
                <w:highlight w:val="none"/>
                <w:lang w:bidi="ar"/>
              </w:rPr>
              <w:br w:type="textWrapping"/>
            </w:r>
            <w:r>
              <w:rPr>
                <w:rStyle w:val="29"/>
                <w:rFonts w:hint="default"/>
                <w:sz w:val="24"/>
                <w:szCs w:val="24"/>
                <w:highlight w:val="none"/>
                <w:lang w:bidi="ar"/>
              </w:rPr>
              <w:t>3.6 台式电脑 1 台</w:t>
            </w:r>
            <w:r>
              <w:rPr>
                <w:rStyle w:val="29"/>
                <w:rFonts w:hint="eastAsia"/>
                <w:sz w:val="24"/>
                <w:szCs w:val="24"/>
                <w:highlight w:val="none"/>
                <w:lang w:bidi="ar"/>
              </w:rPr>
              <w:t>（</w:t>
            </w:r>
            <w:r>
              <w:rPr>
                <w:rStyle w:val="29"/>
                <w:rFonts w:hint="eastAsia"/>
                <w:sz w:val="24"/>
                <w:szCs w:val="24"/>
                <w:highlight w:val="none"/>
                <w:lang w:val="en-US" w:eastAsia="zh-CN" w:bidi="ar"/>
              </w:rPr>
              <w:t>23.8英寸显示屏，内存不小于16GB，不小于512GB固态硬盘</w:t>
            </w:r>
            <w:r>
              <w:rPr>
                <w:rStyle w:val="29"/>
                <w:rFonts w:hint="eastAsia"/>
                <w:sz w:val="24"/>
                <w:szCs w:val="24"/>
                <w:highlight w:val="none"/>
                <w:lang w:eastAsia="zh-CN" w:bidi="ar"/>
              </w:rPr>
              <w:t>）</w:t>
            </w:r>
            <w:r>
              <w:rPr>
                <w:rStyle w:val="29"/>
                <w:rFonts w:hint="default"/>
                <w:sz w:val="24"/>
                <w:szCs w:val="24"/>
                <w:highlight w:val="none"/>
                <w:lang w:bidi="ar"/>
              </w:rPr>
              <w:t>；彩色激光打印机</w:t>
            </w:r>
            <w:r>
              <w:rPr>
                <w:rStyle w:val="29"/>
                <w:rFonts w:hint="eastAsia"/>
                <w:sz w:val="24"/>
                <w:szCs w:val="24"/>
                <w:highlight w:val="none"/>
                <w:lang w:bidi="ar"/>
              </w:rPr>
              <w:t xml:space="preserve">1台 </w:t>
            </w:r>
            <w:r>
              <w:rPr>
                <w:rStyle w:val="29"/>
                <w:rFonts w:hint="eastAsia"/>
                <w:sz w:val="24"/>
                <w:szCs w:val="24"/>
                <w:highlight w:val="none"/>
                <w:lang w:eastAsia="zh-CN" w:bidi="ar"/>
              </w:rPr>
              <w:t xml:space="preserve"> （ 可扫描复印、正反打印，支持</w:t>
            </w:r>
            <w:r>
              <w:rPr>
                <w:rStyle w:val="29"/>
                <w:rFonts w:hint="eastAsia"/>
                <w:sz w:val="24"/>
                <w:szCs w:val="24"/>
                <w:highlight w:val="none"/>
                <w:lang w:val="en-US" w:eastAsia="zh-CN" w:bidi="ar"/>
              </w:rPr>
              <w:t>A4幅面，无线连接</w:t>
            </w:r>
            <w:r>
              <w:rPr>
                <w:rStyle w:val="29"/>
                <w:rFonts w:hint="eastAsia"/>
                <w:sz w:val="24"/>
                <w:szCs w:val="24"/>
                <w:highlight w:val="none"/>
                <w:lang w:eastAsia="zh-CN" w:bidi="ar"/>
              </w:rPr>
              <w:t>），配套硒鼓</w:t>
            </w:r>
            <w:r>
              <w:rPr>
                <w:rStyle w:val="29"/>
                <w:rFonts w:hint="eastAsia"/>
                <w:sz w:val="24"/>
                <w:szCs w:val="24"/>
                <w:highlight w:val="none"/>
                <w:lang w:val="en-US" w:eastAsia="zh-CN" w:bidi="ar"/>
              </w:rPr>
              <w:t>4个，</w:t>
            </w:r>
            <w:r>
              <w:rPr>
                <w:rStyle w:val="29"/>
                <w:rFonts w:hint="default"/>
                <w:sz w:val="24"/>
                <w:szCs w:val="24"/>
                <w:highlight w:val="none"/>
                <w:lang w:bidi="ar"/>
              </w:rPr>
              <w:t>笔记本：1 台（</w:t>
            </w:r>
            <w:r>
              <w:rPr>
                <w:rStyle w:val="29"/>
                <w:rFonts w:hint="eastAsia"/>
                <w:sz w:val="24"/>
                <w:szCs w:val="24"/>
                <w:highlight w:val="none"/>
                <w:lang w:eastAsia="zh-CN" w:bidi="ar"/>
              </w:rPr>
              <w:t>内存不小于</w:t>
            </w:r>
            <w:r>
              <w:rPr>
                <w:rStyle w:val="29"/>
                <w:rFonts w:hint="eastAsia"/>
                <w:sz w:val="24"/>
                <w:szCs w:val="24"/>
                <w:highlight w:val="none"/>
                <w:lang w:val="en-US" w:eastAsia="zh-CN" w:bidi="ar"/>
              </w:rPr>
              <w:t>16GB，不小于1T固态硬盘</w:t>
            </w:r>
            <w:r>
              <w:rPr>
                <w:rStyle w:val="29"/>
                <w:rFonts w:hint="default"/>
                <w:sz w:val="24"/>
                <w:szCs w:val="24"/>
                <w:highlight w:val="none"/>
                <w:lang w:bidi="ar"/>
              </w:rPr>
              <w:t>）。</w:t>
            </w:r>
            <w:r>
              <w:rPr>
                <w:rStyle w:val="29"/>
                <w:rFonts w:hint="default"/>
                <w:sz w:val="24"/>
                <w:szCs w:val="24"/>
                <w:highlight w:val="none"/>
                <w:lang w:bidi="ar"/>
              </w:rPr>
              <w:br w:type="textWrapping"/>
            </w:r>
            <w:r>
              <w:rPr>
                <w:rStyle w:val="29"/>
                <w:rFonts w:hint="default"/>
                <w:sz w:val="24"/>
                <w:szCs w:val="24"/>
                <w:highlight w:val="none"/>
                <w:lang w:bidi="ar"/>
              </w:rPr>
              <w:t>3.7 配件包：包括标准品、调谐液、内标液，泵油，矩管，锥，雾化器、雾化室，进样针，石墨垫片，进样管、内标管、废液管，</w:t>
            </w:r>
            <w:r>
              <w:rPr>
                <w:rStyle w:val="29"/>
                <w:rFonts w:hint="default"/>
                <w:sz w:val="24"/>
                <w:szCs w:val="24"/>
                <w:highlight w:val="yellow"/>
                <w:lang w:bidi="ar"/>
              </w:rPr>
              <w:t>以上各</w:t>
            </w:r>
            <w:r>
              <w:rPr>
                <w:rStyle w:val="29"/>
                <w:rFonts w:hint="eastAsia" w:eastAsia="宋体"/>
                <w:sz w:val="24"/>
                <w:szCs w:val="24"/>
                <w:highlight w:val="yellow"/>
                <w:lang w:val="en-US" w:eastAsia="zh-CN" w:bidi="ar"/>
              </w:rPr>
              <w:t>2</w:t>
            </w:r>
            <w:r>
              <w:rPr>
                <w:rStyle w:val="29"/>
                <w:rFonts w:hint="default"/>
                <w:sz w:val="24"/>
                <w:szCs w:val="24"/>
                <w:highlight w:val="yellow"/>
                <w:lang w:bidi="ar"/>
              </w:rPr>
              <w:t>套</w:t>
            </w:r>
            <w:r>
              <w:rPr>
                <w:rStyle w:val="29"/>
                <w:rFonts w:hint="default"/>
                <w:sz w:val="24"/>
                <w:szCs w:val="24"/>
                <w:highlight w:val="none"/>
                <w:lang w:bidi="ar"/>
              </w:rPr>
              <w:t>；冷却液 1 套，工具包 1 套，其他零部件</w:t>
            </w:r>
            <w:r>
              <w:rPr>
                <w:rStyle w:val="29"/>
                <w:sz w:val="24"/>
                <w:szCs w:val="24"/>
                <w:highlight w:val="none"/>
                <w:lang w:bidi="ar"/>
              </w:rPr>
              <w:t>2</w:t>
            </w:r>
            <w:r>
              <w:rPr>
                <w:rStyle w:val="29"/>
                <w:rFonts w:hint="default"/>
                <w:sz w:val="24"/>
                <w:szCs w:val="24"/>
                <w:highlight w:val="none"/>
                <w:lang w:bidi="ar"/>
              </w:rPr>
              <w:t>套。</w:t>
            </w:r>
            <w:r>
              <w:rPr>
                <w:rStyle w:val="29"/>
                <w:rFonts w:hint="default"/>
                <w:sz w:val="24"/>
                <w:szCs w:val="24"/>
                <w:highlight w:val="none"/>
                <w:lang w:bidi="ar"/>
              </w:rPr>
              <w:br w:type="textWrapping"/>
            </w:r>
            <w:r>
              <w:rPr>
                <w:rStyle w:val="29"/>
                <w:rFonts w:hint="default"/>
                <w:sz w:val="24"/>
                <w:szCs w:val="24"/>
                <w:highlight w:val="none"/>
                <w:lang w:bidi="ar"/>
              </w:rPr>
              <w:t>四、验收标准</w:t>
            </w:r>
            <w:r>
              <w:rPr>
                <w:rStyle w:val="29"/>
                <w:rFonts w:hint="default"/>
                <w:sz w:val="24"/>
                <w:szCs w:val="24"/>
                <w:highlight w:val="none"/>
                <w:lang w:bidi="ar"/>
              </w:rPr>
              <w:br w:type="textWrapping"/>
            </w:r>
            <w:r>
              <w:rPr>
                <w:rStyle w:val="29"/>
                <w:rFonts w:hint="default"/>
                <w:sz w:val="24"/>
                <w:szCs w:val="24"/>
                <w:highlight w:val="none"/>
                <w:lang w:bidi="ar"/>
              </w:rPr>
              <w:t>4.1耐高盐测试：约25%NaCl水溶液作为基体，按照HJ700-2014要求进行加标回收测试，要求加标回收率80%-120%</w:t>
            </w:r>
          </w:p>
        </w:tc>
      </w:tr>
      <w:tr w14:paraId="66F04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trPr>
        <w:tc>
          <w:tcPr>
            <w:tcW w:w="675" w:type="dxa"/>
            <w:noWrap/>
            <w:vAlign w:val="center"/>
          </w:tcPr>
          <w:p w14:paraId="6452E367">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66</w:t>
            </w:r>
          </w:p>
        </w:tc>
        <w:tc>
          <w:tcPr>
            <w:tcW w:w="1908" w:type="dxa"/>
            <w:noWrap w:val="0"/>
            <w:vAlign w:val="center"/>
          </w:tcPr>
          <w:p w14:paraId="753AA582">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便携式测汞仪</w:t>
            </w:r>
          </w:p>
        </w:tc>
        <w:tc>
          <w:tcPr>
            <w:tcW w:w="683" w:type="dxa"/>
            <w:noWrap w:val="0"/>
            <w:vAlign w:val="center"/>
          </w:tcPr>
          <w:p w14:paraId="06AAB784">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825" w:type="dxa"/>
            <w:noWrap w:val="0"/>
            <w:vAlign w:val="center"/>
          </w:tcPr>
          <w:p w14:paraId="43DE19D3">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1E7EC4B0">
            <w:pPr>
              <w:widowControl/>
              <w:tabs>
                <w:tab w:val="left" w:pos="2100"/>
              </w:tabs>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一、用途</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用于现场、野外等场所的地表水、地下水、雨水、生活及环境废水等液态消解物中汞的检测。</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二、配置要求</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1、仪器采用模块化设计，可根据现场检测需求选用不同检测方法进行样品分析。</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2、全中文操作软件。</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3、仪器工作载气采用环境空气，无需任何其他特殊气体。</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4、手提箱结实耐用，可在任何气候条件下搬运并进行现场部署和操作。</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三、标准要求</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执行标准满足: ISO 20553、ISO 12846、HJ 597-2011等。</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四、技术要求</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1、测量原理：冷原子吸收分光光度法。</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2、液体检测单元</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2.1检测方法：采用HJ597-2011氯化亚锡-冷原子吸收分光光度法测量。</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2.2样品分离方式：按照HJ597-2011国标方法要求在室温下通入空气将液体中的金属汞气化载入冷原子吸收汞分析仪中检测</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2.3液体样品量：0-50ml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2.4检测器：半导体探测器</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2.5检测原理：冷原子吸收光谱测定法</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2.6激发光源：恒温低压汞灯</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2.7检测限：1ppt</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2.8线性范围：20mL：0-3000ng(150ppb)/线性0-800ng(40ppb)</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2.9测量时间：小于3分钟</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2.10载气：无需载气</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2.11精度RSD：RSD≤10%</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2.13数据处理：</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2.13.1显示：波形峰值、校准曲线图、测量进度、测量结果等</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2.13.2数据：准曲线、浓度单位、浓度计算、基线校正、统计计算、峰值形状判断，自检。</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2.13.3输出：备忘录、校准曲线公式和图表、测量值表、统计计算、峰值波形、测量日期和时间、自检结果</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五、配置要求</w:t>
            </w:r>
            <w:r>
              <w:rPr>
                <w:rFonts w:hint="eastAsia" w:ascii="宋体" w:hAnsi="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1、便携式测汞仪主机一套、</w:t>
            </w:r>
            <w:r>
              <w:rPr>
                <w:rFonts w:hint="default" w:ascii="宋体" w:hAnsi="宋体" w:eastAsia="宋体" w:cs="宋体"/>
                <w:color w:val="000000"/>
                <w:kern w:val="0"/>
                <w:sz w:val="24"/>
                <w:szCs w:val="24"/>
                <w:highlight w:val="none"/>
                <w:lang w:bidi="ar"/>
              </w:rPr>
              <w:t>彩色激光打印机</w:t>
            </w:r>
            <w:r>
              <w:rPr>
                <w:rFonts w:hint="eastAsia" w:ascii="宋体" w:hAnsi="宋体" w:eastAsia="宋体" w:cs="宋体"/>
                <w:color w:val="000000"/>
                <w:kern w:val="0"/>
                <w:sz w:val="24"/>
                <w:szCs w:val="24"/>
                <w:highlight w:val="none"/>
                <w:lang w:bidi="ar"/>
              </w:rPr>
              <w:t xml:space="preserve">1台 </w:t>
            </w:r>
            <w:r>
              <w:rPr>
                <w:rFonts w:hint="eastAsia" w:ascii="宋体" w:hAnsi="宋体" w:eastAsia="宋体" w:cs="宋体"/>
                <w:color w:val="000000"/>
                <w:kern w:val="0"/>
                <w:sz w:val="24"/>
                <w:szCs w:val="24"/>
                <w:highlight w:val="none"/>
                <w:lang w:eastAsia="zh-CN" w:bidi="ar"/>
              </w:rPr>
              <w:t xml:space="preserve"> （ 可扫描复印、正反打印，支持</w:t>
            </w:r>
            <w:r>
              <w:rPr>
                <w:rFonts w:hint="eastAsia" w:ascii="宋体" w:hAnsi="宋体" w:eastAsia="宋体" w:cs="宋体"/>
                <w:color w:val="000000"/>
                <w:kern w:val="0"/>
                <w:sz w:val="24"/>
                <w:szCs w:val="24"/>
                <w:highlight w:val="none"/>
                <w:lang w:val="en-US" w:eastAsia="zh-CN" w:bidi="ar"/>
              </w:rPr>
              <w:t>A4幅面，无线连接</w:t>
            </w:r>
            <w:r>
              <w:rPr>
                <w:rFonts w:hint="eastAsia" w:ascii="宋体" w:hAnsi="宋体" w:eastAsia="宋体" w:cs="宋体"/>
                <w:color w:val="000000"/>
                <w:kern w:val="0"/>
                <w:sz w:val="24"/>
                <w:szCs w:val="24"/>
                <w:highlight w:val="none"/>
                <w:lang w:eastAsia="zh-CN" w:bidi="ar"/>
              </w:rPr>
              <w:t>），配套硒鼓</w:t>
            </w:r>
            <w:r>
              <w:rPr>
                <w:rFonts w:hint="eastAsia" w:ascii="宋体" w:hAnsi="宋体" w:eastAsia="宋体" w:cs="宋体"/>
                <w:color w:val="000000"/>
                <w:kern w:val="0"/>
                <w:sz w:val="24"/>
                <w:szCs w:val="24"/>
                <w:highlight w:val="none"/>
                <w:lang w:val="en-US" w:eastAsia="zh-CN" w:bidi="ar"/>
              </w:rPr>
              <w:t>4个，</w:t>
            </w:r>
            <w:r>
              <w:rPr>
                <w:rFonts w:hint="eastAsia" w:ascii="宋体" w:hAnsi="宋体" w:eastAsia="宋体" w:cs="宋体"/>
                <w:color w:val="000000"/>
                <w:kern w:val="0"/>
                <w:sz w:val="24"/>
                <w:szCs w:val="24"/>
                <w:highlight w:val="none"/>
                <w:lang w:bidi="ar"/>
              </w:rPr>
              <w:t>笔记本：1 台（</w:t>
            </w:r>
            <w:r>
              <w:rPr>
                <w:rFonts w:hint="eastAsia" w:ascii="宋体" w:hAnsi="宋体" w:eastAsia="宋体" w:cs="宋体"/>
                <w:color w:val="000000"/>
                <w:kern w:val="0"/>
                <w:sz w:val="24"/>
                <w:szCs w:val="24"/>
                <w:highlight w:val="none"/>
                <w:lang w:eastAsia="zh-CN" w:bidi="ar"/>
              </w:rPr>
              <w:t>内存不小于</w:t>
            </w:r>
            <w:r>
              <w:rPr>
                <w:rFonts w:hint="eastAsia" w:ascii="宋体" w:hAnsi="宋体" w:eastAsia="宋体" w:cs="宋体"/>
                <w:color w:val="000000"/>
                <w:kern w:val="0"/>
                <w:sz w:val="24"/>
                <w:szCs w:val="24"/>
                <w:highlight w:val="none"/>
                <w:lang w:val="en-US" w:eastAsia="zh-CN" w:bidi="ar"/>
              </w:rPr>
              <w:t>16GB，不小于1T固态硬盘</w:t>
            </w:r>
            <w:r>
              <w:rPr>
                <w:rFonts w:hint="eastAsia" w:ascii="宋体" w:hAnsi="宋体" w:eastAsia="宋体" w:cs="宋体"/>
                <w:color w:val="000000"/>
                <w:kern w:val="0"/>
                <w:sz w:val="24"/>
                <w:szCs w:val="24"/>
                <w:highlight w:val="none"/>
                <w:lang w:bidi="ar"/>
              </w:rPr>
              <w:t>）</w:t>
            </w:r>
            <w:r>
              <w:rPr>
                <w:rFonts w:hint="default" w:ascii="宋体" w:hAnsi="宋体" w:eastAsia="宋体" w:cs="宋体"/>
                <w:color w:val="000000"/>
                <w:kern w:val="0"/>
                <w:sz w:val="24"/>
                <w:szCs w:val="24"/>
                <w:highlight w:val="none"/>
                <w:lang w:bidi="ar"/>
              </w:rPr>
              <w:t>。</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2、标准配件一套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3、操作说明书一套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4、其它附件一套</w:t>
            </w:r>
          </w:p>
        </w:tc>
      </w:tr>
      <w:tr w14:paraId="43EC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7" w:hRule="atLeast"/>
        </w:trPr>
        <w:tc>
          <w:tcPr>
            <w:tcW w:w="675" w:type="dxa"/>
            <w:noWrap/>
            <w:vAlign w:val="center"/>
          </w:tcPr>
          <w:p w14:paraId="2F6576C0">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67</w:t>
            </w:r>
          </w:p>
        </w:tc>
        <w:tc>
          <w:tcPr>
            <w:tcW w:w="1908" w:type="dxa"/>
            <w:noWrap w:val="0"/>
            <w:vAlign w:val="center"/>
          </w:tcPr>
          <w:p w14:paraId="4055828F">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便携式傅立叶红外分析仪</w:t>
            </w:r>
          </w:p>
        </w:tc>
        <w:tc>
          <w:tcPr>
            <w:tcW w:w="683" w:type="dxa"/>
            <w:noWrap w:val="0"/>
            <w:vAlign w:val="center"/>
          </w:tcPr>
          <w:p w14:paraId="48901FD5">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825" w:type="dxa"/>
            <w:noWrap w:val="0"/>
            <w:vAlign w:val="center"/>
          </w:tcPr>
          <w:p w14:paraId="4B7137AB">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26835E14">
            <w:pPr>
              <w:widowControl/>
              <w:numPr>
                <w:ilvl w:val="0"/>
                <w:numId w:val="0"/>
              </w:numPr>
              <w:jc w:val="left"/>
              <w:textAlignment w:val="top"/>
              <w:rPr>
                <w:rFonts w:hint="eastAsia" w:ascii="宋体" w:hAnsi="宋体" w:cs="宋体"/>
                <w:color w:val="000000"/>
                <w:sz w:val="24"/>
                <w:szCs w:val="24"/>
                <w:highlight w:val="none"/>
              </w:rPr>
            </w:pPr>
            <w:r>
              <w:rPr>
                <w:rFonts w:hint="eastAsia" w:ascii="宋体" w:hAnsi="宋体" w:cs="宋体" w:eastAsiaTheme="minorEastAsia"/>
                <w:color w:val="000000"/>
                <w:kern w:val="2"/>
                <w:sz w:val="24"/>
                <w:szCs w:val="24"/>
                <w:lang w:val="en-US" w:eastAsia="zh-CN" w:bidi="ar-SA"/>
              </w:rPr>
              <w:t>一、</w:t>
            </w:r>
            <w:r>
              <w:rPr>
                <w:rFonts w:hint="eastAsia" w:ascii="宋体" w:hAnsi="宋体" w:cs="宋体"/>
                <w:color w:val="000000"/>
                <w:kern w:val="0"/>
                <w:sz w:val="24"/>
                <w:szCs w:val="24"/>
                <w:highlight w:val="none"/>
                <w:lang w:bidi="ar"/>
              </w:rPr>
              <w:t>基本要求</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适用于突发性污染事故现场气体的快速定性及定量、半定量分析。满</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足《环境空气 挥发性有机物的测定 便携式傅里叶红外仪法》（HJ</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919-2017）、《环境空气 无机有害气体的应急监测 便携式傅里叶红外仪</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法》（HJ 920-2017）、《环境空气和废气 挥发性有机物组分便携式傅里</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叶红外监测仪技术要求及检测方法》（HJ 1011-2018）中对仪器性能的要</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求。定量气体组分至少 50 种，定性气体组分至少 5000 种。</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二、技术参数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 波长范围：5500～600cm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2.2 采样：内置采样泵直接连续采样，实时分析。</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2.3 内置充电电池，充满电后一次能使用≥4 小时，整套系统适合于单</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人携带并操作。</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2.4 光谱分辨率：≤5cm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2.5 多次反射光程：≥8.0m。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2.6 样品室、反射镜涂有抗腐蚀涂层，其中反射镜为贵金属镀层。</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2.7 测量时间 1 秒-5 分钟可选。</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2.8 定量误差范围：标定量程的≤±5%。</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2.9 样品测试精密度：≤±10%。</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2.10 能够进行未知气体的自动查找和判定。</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2.11 多种分析量程进行选择，适用于不同的应用。</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2.12 操作模式：仪器的主机采用≥5 英寸的触摸屏，显示内容不少于</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组分浓度、氧气测试结果、数据结果等，同时可设置并查看气体传输管和</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气体室的温度信息。可外接笔记本进行操作。</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2.13 投标人所投产品配置烟气预处理器，可开展固定污染源气体检测。</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2.14 能将测试数据输出为文本格式利用 EXCEL 进行报表分析。</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2.15 能不断升级参考光谱库。</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2.16 可进行连续现场记录存储，自动存储测量光谱图。</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2.17 全中文软件平台，验收完毕后十年内免费升级。</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三、主要配置</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3.1 分析仪主机 1 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3.2 空气采样系统 1 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3.3 可拆卸电池 2 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3.4 便携箱 1 个；</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3.5 内置滤芯 1 个；</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3.6 测距仪 1 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3.7 中文分析软件 1 套；</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w:t>
            </w:r>
            <w:r>
              <w:rPr>
                <w:rFonts w:hint="eastAsia" w:ascii="宋体" w:hAnsi="宋体" w:cs="宋体"/>
                <w:color w:val="000000"/>
                <w:kern w:val="0"/>
                <w:sz w:val="24"/>
                <w:szCs w:val="24"/>
                <w:highlight w:val="none"/>
                <w:lang w:val="en-US" w:eastAsia="zh-CN" w:bidi="ar"/>
              </w:rPr>
              <w:t>8</w:t>
            </w:r>
            <w:r>
              <w:rPr>
                <w:rFonts w:hint="eastAsia" w:ascii="宋体" w:hAnsi="宋体" w:cs="宋体"/>
                <w:color w:val="000000"/>
                <w:kern w:val="0"/>
                <w:sz w:val="24"/>
                <w:szCs w:val="24"/>
                <w:highlight w:val="none"/>
                <w:lang w:bidi="ar"/>
              </w:rPr>
              <w:t xml:space="preserve"> 二氧化碳、一氧化碳、一氧化氮、二氧化氮、二氧化硫、氨气、氯</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化氢标气（4L）各 2 瓶；</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w:t>
            </w:r>
            <w:r>
              <w:rPr>
                <w:rFonts w:hint="eastAsia" w:ascii="宋体" w:hAnsi="宋体" w:cs="宋体"/>
                <w:color w:val="000000"/>
                <w:kern w:val="0"/>
                <w:sz w:val="24"/>
                <w:szCs w:val="24"/>
                <w:highlight w:val="none"/>
                <w:lang w:val="en-US" w:eastAsia="zh-CN" w:bidi="ar"/>
              </w:rPr>
              <w:t>9</w:t>
            </w:r>
            <w:r>
              <w:rPr>
                <w:rFonts w:hint="eastAsia" w:ascii="宋体" w:hAnsi="宋体" w:cs="宋体"/>
                <w:color w:val="000000"/>
                <w:kern w:val="0"/>
                <w:sz w:val="24"/>
                <w:szCs w:val="24"/>
                <w:highlight w:val="none"/>
                <w:lang w:bidi="ar"/>
              </w:rPr>
              <w:t>配气仪 1 台；</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w:t>
            </w:r>
            <w:r>
              <w:rPr>
                <w:rFonts w:hint="eastAsia" w:ascii="宋体" w:hAnsi="宋体" w:cs="宋体"/>
                <w:color w:val="000000"/>
                <w:kern w:val="0"/>
                <w:sz w:val="24"/>
                <w:szCs w:val="24"/>
                <w:highlight w:val="none"/>
                <w:lang w:val="en-US" w:eastAsia="zh-CN" w:bidi="ar"/>
              </w:rPr>
              <w:t>9</w:t>
            </w:r>
            <w:r>
              <w:rPr>
                <w:rFonts w:hint="eastAsia" w:ascii="宋体" w:hAnsi="宋体" w:cs="宋体"/>
                <w:color w:val="000000"/>
                <w:kern w:val="0"/>
                <w:sz w:val="24"/>
                <w:szCs w:val="24"/>
                <w:highlight w:val="none"/>
                <w:lang w:bidi="ar"/>
              </w:rPr>
              <w:t>.1 最大输出流量≥5L/min；。</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w:t>
            </w:r>
            <w:r>
              <w:rPr>
                <w:rFonts w:hint="eastAsia" w:ascii="宋体" w:hAnsi="宋体" w:cs="宋体"/>
                <w:color w:val="000000"/>
                <w:kern w:val="0"/>
                <w:sz w:val="24"/>
                <w:szCs w:val="24"/>
                <w:highlight w:val="none"/>
                <w:lang w:val="en-US" w:eastAsia="zh-CN" w:bidi="ar"/>
              </w:rPr>
              <w:t>9</w:t>
            </w:r>
            <w:r>
              <w:rPr>
                <w:rFonts w:hint="eastAsia" w:ascii="宋体" w:hAnsi="宋体" w:cs="宋体"/>
                <w:color w:val="000000"/>
                <w:kern w:val="0"/>
                <w:sz w:val="24"/>
                <w:szCs w:val="24"/>
                <w:highlight w:val="none"/>
                <w:lang w:bidi="ar"/>
              </w:rPr>
              <w:t>.2 可进行三种气体混合配气；</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w:t>
            </w:r>
            <w:r>
              <w:rPr>
                <w:rFonts w:hint="eastAsia" w:ascii="宋体" w:hAnsi="宋体" w:cs="宋体"/>
                <w:color w:val="000000"/>
                <w:kern w:val="0"/>
                <w:sz w:val="24"/>
                <w:szCs w:val="24"/>
                <w:highlight w:val="none"/>
                <w:lang w:val="en-US" w:eastAsia="zh-CN" w:bidi="ar"/>
              </w:rPr>
              <w:t>9</w:t>
            </w:r>
            <w:r>
              <w:rPr>
                <w:rFonts w:hint="eastAsia" w:ascii="宋体" w:hAnsi="宋体" w:cs="宋体"/>
                <w:color w:val="000000"/>
                <w:kern w:val="0"/>
                <w:sz w:val="24"/>
                <w:szCs w:val="24"/>
                <w:highlight w:val="none"/>
                <w:lang w:bidi="ar"/>
              </w:rPr>
              <w:t>.3 可稀释标气：O2、SO2、CO、NO、H2S、NH3、CO2等气体；</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3.1</w:t>
            </w:r>
            <w:r>
              <w:rPr>
                <w:rFonts w:hint="eastAsia" w:ascii="宋体" w:hAnsi="宋体" w:cs="宋体"/>
                <w:color w:val="000000"/>
                <w:kern w:val="0"/>
                <w:sz w:val="24"/>
                <w:szCs w:val="24"/>
                <w:highlight w:val="none"/>
                <w:lang w:val="en-US" w:eastAsia="zh-CN" w:bidi="ar"/>
              </w:rPr>
              <w:t>0</w:t>
            </w:r>
            <w:r>
              <w:rPr>
                <w:rFonts w:hint="eastAsia" w:ascii="宋体" w:hAnsi="宋体" w:cs="宋体"/>
                <w:color w:val="000000"/>
                <w:kern w:val="0"/>
                <w:sz w:val="24"/>
                <w:szCs w:val="24"/>
                <w:highlight w:val="none"/>
                <w:lang w:bidi="ar"/>
              </w:rPr>
              <w:t xml:space="preserve"> 铝箔采气袋（2L）20 个；</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3.1</w:t>
            </w:r>
            <w:r>
              <w:rPr>
                <w:rFonts w:hint="eastAsia" w:ascii="宋体" w:hAnsi="宋体" w:cs="宋体"/>
                <w:color w:val="000000"/>
                <w:kern w:val="0"/>
                <w:sz w:val="24"/>
                <w:szCs w:val="24"/>
                <w:highlight w:val="none"/>
                <w:lang w:val="en-US" w:eastAsia="zh-CN" w:bidi="ar"/>
              </w:rPr>
              <w:t>1</w:t>
            </w:r>
            <w:r>
              <w:rPr>
                <w:rFonts w:hint="eastAsia" w:ascii="宋体" w:hAnsi="宋体" w:cs="宋体"/>
                <w:color w:val="000000"/>
                <w:kern w:val="0"/>
                <w:sz w:val="24"/>
                <w:szCs w:val="24"/>
                <w:highlight w:val="none"/>
                <w:lang w:bidi="ar"/>
              </w:rPr>
              <w:t xml:space="preserve"> PVF 采样袋（1L）20 个；</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3.1</w:t>
            </w:r>
            <w:r>
              <w:rPr>
                <w:rFonts w:hint="eastAsia" w:ascii="宋体" w:hAnsi="宋体" w:cs="宋体"/>
                <w:color w:val="000000"/>
                <w:kern w:val="0"/>
                <w:sz w:val="24"/>
                <w:szCs w:val="24"/>
                <w:highlight w:val="none"/>
                <w:lang w:val="en-US" w:eastAsia="zh-CN" w:bidi="ar"/>
              </w:rPr>
              <w:t>2</w:t>
            </w:r>
            <w:r>
              <w:rPr>
                <w:rFonts w:hint="eastAsia" w:ascii="宋体" w:hAnsi="宋体" w:cs="宋体"/>
                <w:color w:val="000000"/>
                <w:kern w:val="0"/>
                <w:sz w:val="24"/>
                <w:szCs w:val="24"/>
                <w:highlight w:val="none"/>
                <w:lang w:bidi="ar"/>
              </w:rPr>
              <w:t xml:space="preserve"> </w:t>
            </w:r>
            <w:r>
              <w:rPr>
                <w:rFonts w:hint="default" w:ascii="宋体" w:hAnsi="宋体" w:eastAsia="宋体" w:cs="宋体"/>
                <w:color w:val="000000"/>
                <w:kern w:val="0"/>
                <w:sz w:val="24"/>
                <w:szCs w:val="24"/>
                <w:highlight w:val="none"/>
                <w:lang w:bidi="ar"/>
              </w:rPr>
              <w:t>彩色激光打印机</w:t>
            </w:r>
            <w:r>
              <w:rPr>
                <w:rFonts w:hint="eastAsia" w:ascii="宋体" w:hAnsi="宋体" w:eastAsia="宋体" w:cs="宋体"/>
                <w:color w:val="000000"/>
                <w:kern w:val="0"/>
                <w:sz w:val="24"/>
                <w:szCs w:val="24"/>
                <w:highlight w:val="none"/>
                <w:lang w:bidi="ar"/>
              </w:rPr>
              <w:t xml:space="preserve">1台 </w:t>
            </w:r>
            <w:r>
              <w:rPr>
                <w:rFonts w:hint="eastAsia" w:ascii="宋体" w:hAnsi="宋体" w:eastAsia="宋体" w:cs="宋体"/>
                <w:color w:val="000000"/>
                <w:kern w:val="0"/>
                <w:sz w:val="24"/>
                <w:szCs w:val="24"/>
                <w:highlight w:val="none"/>
                <w:lang w:eastAsia="zh-CN" w:bidi="ar"/>
              </w:rPr>
              <w:t xml:space="preserve"> （ 可扫描复印、正反打印，支持</w:t>
            </w:r>
            <w:r>
              <w:rPr>
                <w:rFonts w:hint="eastAsia" w:ascii="宋体" w:hAnsi="宋体" w:eastAsia="宋体" w:cs="宋体"/>
                <w:color w:val="000000"/>
                <w:kern w:val="0"/>
                <w:sz w:val="24"/>
                <w:szCs w:val="24"/>
                <w:highlight w:val="none"/>
                <w:lang w:val="en-US" w:eastAsia="zh-CN" w:bidi="ar"/>
              </w:rPr>
              <w:t>A4幅面，无线连接</w:t>
            </w:r>
            <w:r>
              <w:rPr>
                <w:rFonts w:hint="eastAsia" w:ascii="宋体" w:hAnsi="宋体" w:eastAsia="宋体" w:cs="宋体"/>
                <w:color w:val="000000"/>
                <w:kern w:val="0"/>
                <w:sz w:val="24"/>
                <w:szCs w:val="24"/>
                <w:highlight w:val="none"/>
                <w:lang w:eastAsia="zh-CN" w:bidi="ar"/>
              </w:rPr>
              <w:t>），配套硒鼓</w:t>
            </w:r>
            <w:r>
              <w:rPr>
                <w:rFonts w:hint="eastAsia" w:ascii="宋体" w:hAnsi="宋体" w:eastAsia="宋体" w:cs="宋体"/>
                <w:color w:val="000000"/>
                <w:kern w:val="0"/>
                <w:sz w:val="24"/>
                <w:szCs w:val="24"/>
                <w:highlight w:val="none"/>
                <w:lang w:val="en-US" w:eastAsia="zh-CN" w:bidi="ar"/>
              </w:rPr>
              <w:t>4个，</w:t>
            </w:r>
            <w:r>
              <w:rPr>
                <w:rFonts w:hint="eastAsia" w:ascii="宋体" w:hAnsi="宋体" w:eastAsia="宋体" w:cs="宋体"/>
                <w:color w:val="000000"/>
                <w:kern w:val="0"/>
                <w:sz w:val="24"/>
                <w:szCs w:val="24"/>
                <w:highlight w:val="none"/>
                <w:lang w:bidi="ar"/>
              </w:rPr>
              <w:t>笔记本：1 台（</w:t>
            </w:r>
            <w:r>
              <w:rPr>
                <w:rFonts w:hint="eastAsia" w:ascii="宋体" w:hAnsi="宋体" w:eastAsia="宋体" w:cs="宋体"/>
                <w:color w:val="000000"/>
                <w:kern w:val="0"/>
                <w:sz w:val="24"/>
                <w:szCs w:val="24"/>
                <w:highlight w:val="none"/>
                <w:lang w:eastAsia="zh-CN" w:bidi="ar"/>
              </w:rPr>
              <w:t>内存不小于</w:t>
            </w:r>
            <w:r>
              <w:rPr>
                <w:rFonts w:hint="eastAsia" w:ascii="宋体" w:hAnsi="宋体" w:eastAsia="宋体" w:cs="宋体"/>
                <w:color w:val="000000"/>
                <w:kern w:val="0"/>
                <w:sz w:val="24"/>
                <w:szCs w:val="24"/>
                <w:highlight w:val="none"/>
                <w:lang w:val="en-US" w:eastAsia="zh-CN" w:bidi="ar"/>
              </w:rPr>
              <w:t>16GB，不小于1T固态硬盘</w:t>
            </w:r>
            <w:r>
              <w:rPr>
                <w:rFonts w:hint="eastAsia" w:ascii="宋体" w:hAnsi="宋体" w:eastAsia="宋体" w:cs="宋体"/>
                <w:color w:val="000000"/>
                <w:kern w:val="0"/>
                <w:sz w:val="24"/>
                <w:szCs w:val="24"/>
                <w:highlight w:val="none"/>
                <w:lang w:bidi="ar"/>
              </w:rPr>
              <w:t>）</w:t>
            </w:r>
            <w:r>
              <w:rPr>
                <w:rFonts w:hint="default" w:ascii="宋体" w:hAnsi="宋体" w:eastAsia="宋体" w:cs="宋体"/>
                <w:color w:val="000000"/>
                <w:kern w:val="0"/>
                <w:sz w:val="24"/>
                <w:szCs w:val="24"/>
                <w:highlight w:val="none"/>
                <w:lang w:bidi="ar"/>
              </w:rPr>
              <w:t>。</w:t>
            </w:r>
          </w:p>
        </w:tc>
      </w:tr>
      <w:tr w14:paraId="7CE6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0" w:hRule="atLeast"/>
        </w:trPr>
        <w:tc>
          <w:tcPr>
            <w:tcW w:w="675" w:type="dxa"/>
            <w:noWrap/>
            <w:vAlign w:val="center"/>
          </w:tcPr>
          <w:p w14:paraId="2CD19E31">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68</w:t>
            </w:r>
          </w:p>
        </w:tc>
        <w:tc>
          <w:tcPr>
            <w:tcW w:w="1908" w:type="dxa"/>
            <w:noWrap w:val="0"/>
            <w:vAlign w:val="center"/>
          </w:tcPr>
          <w:p w14:paraId="692587A9">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地下水采样设备</w:t>
            </w:r>
          </w:p>
        </w:tc>
        <w:tc>
          <w:tcPr>
            <w:tcW w:w="683" w:type="dxa"/>
            <w:noWrap w:val="0"/>
            <w:vAlign w:val="center"/>
          </w:tcPr>
          <w:p w14:paraId="52C21853">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825" w:type="dxa"/>
            <w:noWrap w:val="0"/>
            <w:vAlign w:val="center"/>
          </w:tcPr>
          <w:p w14:paraId="31716C2A">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23641A2C">
            <w:pPr>
              <w:widowControl/>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1.适用于地下水或深井采样，满足《地下水环境监测技术规范》（HJ 164-2020）、《地块土壤和地下水中挥发性有机物采样技术导则》（HJ 1019-2019）的要求。</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2.低流量采样泵</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2.1设备采样流速可调，可实现低速洗井及低流速采样。</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2.2地下水采样泵控制器，具备变频调节出水流速，连接地下水三水位仪实现泄降联动控制，面板具有出水流量调节功能，能无线连接控制软件并调节控制采样泵。</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2.3出水流速：0.1-12L/min，与地下水6参数测定仪联动可自动和手动两种模式调节流速。</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2.4采样泵扬程：≥70米；可以根据需要达到120m甚至更高扬程。</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2.5采样泵泵体直径：≤46mm。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2.6采样泵泵体长度：≤40cm。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2.7可与手持操作设备链接，同时远程控制采样泵、地下水6参数测定仪、地下水三水位仪等</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2.8采样泵可与地下水三水位仪联动，精确显示水位降低情况（精确到厘米），根据设定自动启泵、停泵、调节出水流量。</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2.9具备带米标钢丝线缆及绞盘，配不锈钢井壁支架。</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2.10泵体材质：316不锈钢等耐腐蚀材料。</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配置：</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深井采样器，含泵体、采样泵控制器、电机线卷轴、采样管（70米）、防水电缆（70米）、防水接头等            1套</w:t>
            </w:r>
          </w:p>
        </w:tc>
      </w:tr>
      <w:tr w14:paraId="199EF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0" w:hRule="atLeast"/>
        </w:trPr>
        <w:tc>
          <w:tcPr>
            <w:tcW w:w="675" w:type="dxa"/>
            <w:noWrap/>
            <w:vAlign w:val="center"/>
          </w:tcPr>
          <w:p w14:paraId="74C9D679">
            <w:pPr>
              <w:widowControl/>
              <w:spacing w:line="280" w:lineRule="exact"/>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69</w:t>
            </w:r>
          </w:p>
        </w:tc>
        <w:tc>
          <w:tcPr>
            <w:tcW w:w="1908" w:type="dxa"/>
            <w:noWrap w:val="0"/>
            <w:vAlign w:val="center"/>
          </w:tcPr>
          <w:p w14:paraId="517AC7AD">
            <w:pPr>
              <w:widowControl/>
              <w:spacing w:line="280" w:lineRule="exact"/>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臭氧直读分析仪</w:t>
            </w:r>
          </w:p>
        </w:tc>
        <w:tc>
          <w:tcPr>
            <w:tcW w:w="683" w:type="dxa"/>
            <w:noWrap w:val="0"/>
            <w:vAlign w:val="center"/>
          </w:tcPr>
          <w:p w14:paraId="623B70F7">
            <w:pPr>
              <w:widowControl/>
              <w:spacing w:line="280" w:lineRule="exact"/>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825" w:type="dxa"/>
            <w:noWrap w:val="0"/>
            <w:vAlign w:val="center"/>
          </w:tcPr>
          <w:p w14:paraId="11D0DA9C">
            <w:pPr>
              <w:widowControl/>
              <w:spacing w:line="280" w:lineRule="exact"/>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64C89F15">
            <w:pPr>
              <w:widowControl/>
              <w:spacing w:line="300" w:lineRule="exact"/>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一、设备用途</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环境空气臭氧分析仪, 采用符合国家标准紫外光度法原理自动精确测量环境空气中的臭氧气体浓度广泛适用于常规环境空气质量监测、环境评价、科学研究、应急监测以及环境空气监测站数据比对等场合。适合HJ 590-2010 环境空气 臭氧的测定 紫外光度法</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二、技术特点</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2.1 采用国标方法，检出限低，灵敏度高</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2.2内置锂电池</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2.3内置大容量数据存储器，支持海量数据存储，支持USB数据导出，可进行查询、打印和导出等操作</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2.4采用防雨防尘设计，可以户外长期使用。</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三、主要技术指标</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3.1 4h零点漂移：±2.0 nmol/mol。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3.2 4h量程漂移：±4.0 nmol/mol。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四、配置清单</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环境空气臭氧分析仪主机1套；主机箱1个；主机电源线1根；温湿度传感器1套；过 滤 器 10个；三脚架1套；说明书1份；合格证1份。</w:t>
            </w:r>
          </w:p>
        </w:tc>
      </w:tr>
      <w:tr w14:paraId="19C26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675" w:type="dxa"/>
            <w:noWrap/>
            <w:vAlign w:val="center"/>
          </w:tcPr>
          <w:p w14:paraId="6D05FF87">
            <w:pPr>
              <w:widowControl/>
              <w:spacing w:line="280" w:lineRule="exact"/>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70</w:t>
            </w:r>
          </w:p>
        </w:tc>
        <w:tc>
          <w:tcPr>
            <w:tcW w:w="1908" w:type="dxa"/>
            <w:noWrap w:val="0"/>
            <w:vAlign w:val="center"/>
          </w:tcPr>
          <w:p w14:paraId="242A527F">
            <w:pPr>
              <w:widowControl/>
              <w:spacing w:line="280" w:lineRule="exact"/>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细菌快速检测仪</w:t>
            </w:r>
          </w:p>
        </w:tc>
        <w:tc>
          <w:tcPr>
            <w:tcW w:w="683" w:type="dxa"/>
            <w:noWrap w:val="0"/>
            <w:vAlign w:val="center"/>
          </w:tcPr>
          <w:p w14:paraId="03795DF1">
            <w:pPr>
              <w:widowControl/>
              <w:spacing w:line="280" w:lineRule="exact"/>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w:t>
            </w:r>
          </w:p>
        </w:tc>
        <w:tc>
          <w:tcPr>
            <w:tcW w:w="825" w:type="dxa"/>
            <w:noWrap w:val="0"/>
            <w:vAlign w:val="center"/>
          </w:tcPr>
          <w:p w14:paraId="2C3517E6">
            <w:pPr>
              <w:widowControl/>
              <w:spacing w:line="280" w:lineRule="exact"/>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10088" w:type="dxa"/>
            <w:noWrap w:val="0"/>
            <w:vAlign w:val="top"/>
          </w:tcPr>
          <w:p w14:paraId="765297A2">
            <w:pPr>
              <w:widowControl/>
              <w:numPr>
                <w:ilvl w:val="0"/>
                <w:numId w:val="14"/>
              </w:numPr>
              <w:spacing w:line="280" w:lineRule="exact"/>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主机：自带显示屏</w:t>
            </w:r>
          </w:p>
          <w:p w14:paraId="58F975EB">
            <w:pPr>
              <w:widowControl/>
              <w:spacing w:line="280" w:lineRule="exact"/>
              <w:jc w:val="left"/>
              <w:textAlignment w:val="top"/>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2.检测精度：1×10-18mol；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3.检测范围：1 - 99999 RLUs；</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4.检测时间：≤20秒；</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5、仪器配置</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5.1 检测仪主机一台（硬件、毒性分析软件）；</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5.2 包括用于电脑联机分析的数据管理软件；</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5.3 可以作为野外操作台的便携箱、移液器；</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5.4 配置微型打印机</w:t>
            </w:r>
            <w:r>
              <w:rPr>
                <w:rFonts w:hint="eastAsia" w:ascii="宋体" w:hAnsi="宋体" w:cs="宋体"/>
                <w:color w:val="000000"/>
                <w:kern w:val="0"/>
                <w:sz w:val="24"/>
                <w:szCs w:val="24"/>
                <w:highlight w:val="none"/>
                <w:lang w:eastAsia="zh-CN" w:bidi="ar"/>
              </w:rPr>
              <w:t>（可扫描复印、正反打印，支持A4幅面）</w:t>
            </w:r>
            <w:r>
              <w:rPr>
                <w:rFonts w:hint="eastAsia" w:ascii="宋体" w:hAnsi="宋体" w:cs="宋体"/>
                <w:color w:val="000000"/>
                <w:kern w:val="0"/>
                <w:sz w:val="24"/>
                <w:szCs w:val="24"/>
                <w:highlight w:val="none"/>
                <w:lang w:bidi="ar"/>
              </w:rPr>
              <w:t>，可现场打印检测报告。</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5.5配置便携式冷冻冰箱，容积不小于20L。</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6、耗材</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6.1 满足大于 50 次检测的专用耗材一批；</w:t>
            </w:r>
          </w:p>
        </w:tc>
      </w:tr>
    </w:tbl>
    <w:p w14:paraId="3B70A134">
      <w:pPr>
        <w:numPr>
          <w:ilvl w:val="0"/>
          <w:numId w:val="0"/>
        </w:numPr>
        <w:rPr>
          <w:rFonts w:hint="eastAsia" w:asciiTheme="minorHAnsi" w:hAnsiTheme="minorHAnsi" w:eastAsiaTheme="minorEastAsia" w:cstheme="minorBidi"/>
          <w:b/>
          <w:bCs/>
          <w:kern w:val="2"/>
          <w:sz w:val="28"/>
          <w:szCs w:val="28"/>
          <w:highlight w:val="none"/>
          <w:lang w:val="en-US" w:eastAsia="zh-CN" w:bidi="ar-SA"/>
        </w:rPr>
      </w:pPr>
    </w:p>
    <w:p w14:paraId="4DFC416C">
      <w:pPr>
        <w:numPr>
          <w:ilvl w:val="0"/>
          <w:numId w:val="0"/>
        </w:numPr>
        <w:rPr>
          <w:rFonts w:hint="eastAsia" w:asciiTheme="minorHAnsi" w:hAnsiTheme="minorHAnsi" w:eastAsiaTheme="minorEastAsia" w:cstheme="minorBidi"/>
          <w:b/>
          <w:bCs/>
          <w:kern w:val="2"/>
          <w:sz w:val="28"/>
          <w:szCs w:val="28"/>
          <w:highlight w:val="none"/>
          <w:lang w:val="en-US" w:eastAsia="zh-CN" w:bidi="ar-SA"/>
        </w:rPr>
      </w:pPr>
    </w:p>
    <w:p w14:paraId="3E6D0F2F">
      <w:pPr>
        <w:numPr>
          <w:ilvl w:val="0"/>
          <w:numId w:val="0"/>
        </w:numPr>
        <w:rPr>
          <w:rFonts w:hint="eastAsia"/>
          <w:b/>
          <w:bCs/>
          <w:sz w:val="28"/>
          <w:szCs w:val="28"/>
          <w:highlight w:val="none"/>
        </w:rPr>
      </w:pPr>
      <w:r>
        <w:rPr>
          <w:rFonts w:hint="eastAsia" w:asciiTheme="minorHAnsi" w:hAnsiTheme="minorHAnsi" w:eastAsiaTheme="minorEastAsia" w:cstheme="minorBidi"/>
          <w:b/>
          <w:bCs/>
          <w:kern w:val="2"/>
          <w:sz w:val="28"/>
          <w:szCs w:val="28"/>
          <w:highlight w:val="none"/>
          <w:lang w:val="en-US" w:eastAsia="zh-CN" w:bidi="ar-SA"/>
        </w:rPr>
        <w:t>（二）</w:t>
      </w:r>
      <w:r>
        <w:rPr>
          <w:rFonts w:hint="eastAsia"/>
          <w:b/>
          <w:bCs/>
          <w:sz w:val="28"/>
          <w:szCs w:val="28"/>
          <w:highlight w:val="none"/>
        </w:rPr>
        <w:t>、办公家具</w:t>
      </w:r>
    </w:p>
    <w:tbl>
      <w:tblPr>
        <w:tblStyle w:val="15"/>
        <w:tblW w:w="14104" w:type="dxa"/>
        <w:tblInd w:w="93" w:type="dxa"/>
        <w:tblLayout w:type="fixed"/>
        <w:tblCellMar>
          <w:top w:w="0" w:type="dxa"/>
          <w:left w:w="108" w:type="dxa"/>
          <w:bottom w:w="0" w:type="dxa"/>
          <w:right w:w="108" w:type="dxa"/>
        </w:tblCellMar>
      </w:tblPr>
      <w:tblGrid>
        <w:gridCol w:w="666"/>
        <w:gridCol w:w="1438"/>
        <w:gridCol w:w="716"/>
        <w:gridCol w:w="810"/>
        <w:gridCol w:w="6413"/>
        <w:gridCol w:w="4061"/>
      </w:tblGrid>
      <w:tr w14:paraId="4852DFC1">
        <w:tblPrEx>
          <w:tblCellMar>
            <w:top w:w="0" w:type="dxa"/>
            <w:left w:w="108" w:type="dxa"/>
            <w:bottom w:w="0" w:type="dxa"/>
            <w:right w:w="108" w:type="dxa"/>
          </w:tblCellMar>
        </w:tblPrEx>
        <w:trPr>
          <w:trHeight w:val="60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CDCC96E">
            <w:pPr>
              <w:widowControl/>
              <w:jc w:val="center"/>
              <w:textAlignment w:val="center"/>
              <w:rPr>
                <w:rFonts w:hint="eastAsia" w:ascii="宋体" w:hAnsi="宋体" w:cs="宋体"/>
                <w:b/>
                <w:bCs/>
                <w:color w:val="000000"/>
                <w:sz w:val="24"/>
                <w:szCs w:val="24"/>
                <w:highlight w:val="none"/>
              </w:rPr>
            </w:pPr>
            <w:r>
              <w:rPr>
                <w:rFonts w:hint="eastAsia" w:ascii="宋体" w:hAnsi="宋体" w:cs="宋体"/>
                <w:b/>
                <w:bCs/>
                <w:color w:val="000000"/>
                <w:kern w:val="0"/>
                <w:sz w:val="24"/>
                <w:szCs w:val="24"/>
                <w:highlight w:val="none"/>
                <w:lang w:bidi="ar"/>
              </w:rPr>
              <w:t>序号</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5AB3B6C2">
            <w:pPr>
              <w:widowControl/>
              <w:jc w:val="center"/>
              <w:textAlignment w:val="center"/>
              <w:rPr>
                <w:rFonts w:hint="eastAsia" w:ascii="宋体" w:hAnsi="宋体" w:cs="宋体"/>
                <w:b/>
                <w:bCs/>
                <w:color w:val="000000"/>
                <w:sz w:val="24"/>
                <w:szCs w:val="24"/>
                <w:highlight w:val="none"/>
              </w:rPr>
            </w:pPr>
            <w:r>
              <w:rPr>
                <w:rFonts w:hint="eastAsia" w:ascii="宋体" w:hAnsi="宋体" w:cs="宋体"/>
                <w:b/>
                <w:bCs/>
                <w:color w:val="000000"/>
                <w:kern w:val="0"/>
                <w:sz w:val="24"/>
                <w:szCs w:val="24"/>
                <w:highlight w:val="none"/>
                <w:lang w:bidi="ar"/>
              </w:rPr>
              <w:t>名称</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60CF4747">
            <w:pPr>
              <w:widowControl/>
              <w:jc w:val="center"/>
              <w:textAlignment w:val="center"/>
              <w:rPr>
                <w:rFonts w:hint="eastAsia" w:ascii="宋体" w:hAnsi="宋体" w:cs="宋体"/>
                <w:b/>
                <w:bCs/>
                <w:color w:val="000000"/>
                <w:sz w:val="24"/>
                <w:szCs w:val="24"/>
                <w:highlight w:val="none"/>
              </w:rPr>
            </w:pPr>
            <w:r>
              <w:rPr>
                <w:rFonts w:hint="eastAsia" w:ascii="宋体" w:hAnsi="宋体" w:cs="宋体"/>
                <w:b/>
                <w:bCs/>
                <w:color w:val="000000"/>
                <w:kern w:val="0"/>
                <w:sz w:val="24"/>
                <w:szCs w:val="24"/>
                <w:highlight w:val="none"/>
                <w:lang w:bidi="ar"/>
              </w:rPr>
              <w:t>数量</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EE428DB">
            <w:pPr>
              <w:widowControl/>
              <w:jc w:val="center"/>
              <w:textAlignment w:val="center"/>
              <w:rPr>
                <w:rFonts w:hint="eastAsia" w:ascii="宋体" w:hAnsi="宋体" w:cs="宋体"/>
                <w:b/>
                <w:bCs/>
                <w:color w:val="000000"/>
                <w:sz w:val="24"/>
                <w:szCs w:val="24"/>
                <w:highlight w:val="none"/>
              </w:rPr>
            </w:pPr>
            <w:r>
              <w:rPr>
                <w:rFonts w:hint="eastAsia" w:ascii="宋体" w:hAnsi="宋体" w:cs="宋体"/>
                <w:b/>
                <w:bCs/>
                <w:color w:val="000000"/>
                <w:kern w:val="0"/>
                <w:sz w:val="24"/>
                <w:szCs w:val="24"/>
                <w:highlight w:val="none"/>
                <w:lang w:bidi="ar"/>
              </w:rPr>
              <w:t>单位</w:t>
            </w:r>
          </w:p>
        </w:tc>
        <w:tc>
          <w:tcPr>
            <w:tcW w:w="6413" w:type="dxa"/>
            <w:tcBorders>
              <w:top w:val="single" w:color="000000" w:sz="4" w:space="0"/>
              <w:left w:val="single" w:color="000000" w:sz="4" w:space="0"/>
              <w:bottom w:val="single" w:color="000000" w:sz="4" w:space="0"/>
              <w:right w:val="single" w:color="000000" w:sz="4" w:space="0"/>
            </w:tcBorders>
            <w:noWrap w:val="0"/>
            <w:vAlign w:val="center"/>
          </w:tcPr>
          <w:p w14:paraId="4D098B2E">
            <w:pPr>
              <w:widowControl/>
              <w:jc w:val="center"/>
              <w:textAlignment w:val="center"/>
              <w:rPr>
                <w:rFonts w:hint="eastAsia" w:ascii="宋体" w:hAnsi="宋体" w:cs="宋体"/>
                <w:b/>
                <w:bCs/>
                <w:color w:val="000000"/>
                <w:sz w:val="24"/>
                <w:szCs w:val="24"/>
                <w:highlight w:val="none"/>
              </w:rPr>
            </w:pPr>
            <w:r>
              <w:rPr>
                <w:rFonts w:hint="eastAsia" w:ascii="宋体" w:hAnsi="宋体" w:cs="宋体"/>
                <w:b/>
                <w:bCs/>
                <w:color w:val="000000"/>
                <w:kern w:val="0"/>
                <w:sz w:val="24"/>
                <w:szCs w:val="24"/>
                <w:highlight w:val="none"/>
                <w:lang w:bidi="ar"/>
              </w:rPr>
              <w:t>技术参数</w:t>
            </w:r>
          </w:p>
        </w:tc>
        <w:tc>
          <w:tcPr>
            <w:tcW w:w="4061" w:type="dxa"/>
            <w:tcBorders>
              <w:top w:val="single" w:color="000000" w:sz="4" w:space="0"/>
              <w:left w:val="single" w:color="000000" w:sz="4" w:space="0"/>
              <w:bottom w:val="single" w:color="000000" w:sz="4" w:space="0"/>
              <w:right w:val="single" w:color="000000" w:sz="4" w:space="0"/>
            </w:tcBorders>
            <w:noWrap w:val="0"/>
            <w:vAlign w:val="center"/>
          </w:tcPr>
          <w:p w14:paraId="28A22F49">
            <w:pPr>
              <w:widowControl/>
              <w:jc w:val="center"/>
              <w:textAlignment w:val="center"/>
              <w:rPr>
                <w:rFonts w:hint="eastAsia" w:ascii="宋体" w:hAnsi="宋体" w:cs="宋体"/>
                <w:b/>
                <w:bCs/>
                <w:color w:val="000000"/>
                <w:sz w:val="24"/>
                <w:szCs w:val="24"/>
                <w:highlight w:val="none"/>
              </w:rPr>
            </w:pPr>
            <w:r>
              <w:rPr>
                <w:rFonts w:hint="eastAsia" w:ascii="宋体" w:hAnsi="宋体" w:cs="宋体"/>
                <w:b/>
                <w:bCs/>
                <w:color w:val="000000"/>
                <w:kern w:val="0"/>
                <w:sz w:val="24"/>
                <w:szCs w:val="24"/>
                <w:highlight w:val="none"/>
                <w:lang w:bidi="ar"/>
              </w:rPr>
              <w:t>参考图片</w:t>
            </w:r>
          </w:p>
        </w:tc>
      </w:tr>
      <w:tr w14:paraId="53C858EF">
        <w:tblPrEx>
          <w:tblCellMar>
            <w:top w:w="0" w:type="dxa"/>
            <w:left w:w="108" w:type="dxa"/>
            <w:bottom w:w="0" w:type="dxa"/>
            <w:right w:w="108" w:type="dxa"/>
          </w:tblCellMar>
        </w:tblPrEx>
        <w:trPr>
          <w:trHeight w:val="3520"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2DD88BBC">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16922266">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钢架上下值班床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3DE68015">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B75B837">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张</w:t>
            </w:r>
          </w:p>
        </w:tc>
        <w:tc>
          <w:tcPr>
            <w:tcW w:w="6413" w:type="dxa"/>
            <w:tcBorders>
              <w:top w:val="single" w:color="000000" w:sz="4" w:space="0"/>
              <w:left w:val="single" w:color="000000" w:sz="4" w:space="0"/>
              <w:bottom w:val="single" w:color="000000" w:sz="4" w:space="0"/>
              <w:right w:val="single" w:color="000000" w:sz="4" w:space="0"/>
            </w:tcBorders>
            <w:noWrap w:val="0"/>
            <w:vAlign w:val="center"/>
          </w:tcPr>
          <w:p w14:paraId="540AAEE9">
            <w:pPr>
              <w:widowControl/>
              <w:jc w:val="left"/>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1.立柱：成型后尺寸≥68*68mm，材料厚度≥1.2mm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2.横梁：成型后尺寸≥86*45mm，材料厚度≥1.2mm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3.挂件：成型后尺寸≥240（mm），材料厚度≥2.0（mm）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4.支撑：采用≥40*20*0.8mm厚优质方管制作，床板支撑管与床横梁采用卡扣式链接</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5.前护栏：采用≥￠19*1.0mm厚优质管材弯制而成，护栏直接嵌入横梁内，让其更加牢固，整个护栏的高度≥300mm。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6.侧护栏：采用≥￠19*1.0mm厚优质管材弯制而成，护栏直接嵌入横梁内，让其更加牢固，整个护栏的高度≥300mm。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7.内梯：楼梯支架采用20*30*1.0mm扁管，床梯踏板：钢板厚1.5mm(防滑条纹+塑料防滑条)冲弧形，防止碰撞</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8.夹板床板：采用≥12mm厚夹板，板材足料，无霉点，双面抛光，床板符合铁床规格要求。                        9.规格：1950mmW*900mmD*1800mmH。</w:t>
            </w:r>
          </w:p>
        </w:tc>
        <w:tc>
          <w:tcPr>
            <w:tcW w:w="4061" w:type="dxa"/>
            <w:tcBorders>
              <w:top w:val="single" w:color="000000" w:sz="4" w:space="0"/>
              <w:left w:val="single" w:color="000000" w:sz="4" w:space="0"/>
              <w:bottom w:val="single" w:color="000000" w:sz="4" w:space="0"/>
              <w:right w:val="single" w:color="000000" w:sz="4" w:space="0"/>
            </w:tcBorders>
            <w:noWrap/>
            <w:vAlign w:val="center"/>
          </w:tcPr>
          <w:p w14:paraId="69BFCFD2">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bdr w:val="single" w:color="000000" w:sz="4" w:space="0"/>
                <w:lang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420620" cy="2209165"/>
                  <wp:effectExtent l="0" t="0" r="17780" b="635"/>
                  <wp:wrapNone/>
                  <wp:docPr id="21" name="图片_21"/>
                  <wp:cNvGraphicFramePr/>
                  <a:graphic xmlns:a="http://schemas.openxmlformats.org/drawingml/2006/main">
                    <a:graphicData uri="http://schemas.openxmlformats.org/drawingml/2006/picture">
                      <pic:pic xmlns:pic="http://schemas.openxmlformats.org/drawingml/2006/picture">
                        <pic:nvPicPr>
                          <pic:cNvPr id="21" name="图片_21"/>
                          <pic:cNvPicPr/>
                        </pic:nvPicPr>
                        <pic:blipFill>
                          <a:blip r:embed="rId5"/>
                          <a:stretch>
                            <a:fillRect/>
                          </a:stretch>
                        </pic:blipFill>
                        <pic:spPr>
                          <a:xfrm>
                            <a:off x="0" y="0"/>
                            <a:ext cx="2420620" cy="2209165"/>
                          </a:xfrm>
                          <a:prstGeom prst="rect">
                            <a:avLst/>
                          </a:prstGeom>
                          <a:noFill/>
                          <a:ln>
                            <a:noFill/>
                          </a:ln>
                        </pic:spPr>
                      </pic:pic>
                    </a:graphicData>
                  </a:graphic>
                </wp:anchor>
              </w:drawing>
            </w:r>
          </w:p>
        </w:tc>
      </w:tr>
      <w:tr w14:paraId="66732E80">
        <w:tblPrEx>
          <w:tblCellMar>
            <w:top w:w="0" w:type="dxa"/>
            <w:left w:w="108" w:type="dxa"/>
            <w:bottom w:w="0" w:type="dxa"/>
            <w:right w:w="108" w:type="dxa"/>
          </w:tblCellMar>
        </w:tblPrEx>
        <w:trPr>
          <w:trHeight w:val="2660"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3D323E32">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61F42B92">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操作台</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2BC5638B">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238C20C">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套</w:t>
            </w:r>
          </w:p>
        </w:tc>
        <w:tc>
          <w:tcPr>
            <w:tcW w:w="6413" w:type="dxa"/>
            <w:tcBorders>
              <w:top w:val="single" w:color="000000" w:sz="4" w:space="0"/>
              <w:left w:val="single" w:color="000000" w:sz="4" w:space="0"/>
              <w:bottom w:val="single" w:color="000000" w:sz="4" w:space="0"/>
              <w:right w:val="single" w:color="000000" w:sz="4" w:space="0"/>
            </w:tcBorders>
            <w:noWrap w:val="0"/>
            <w:vAlign w:val="center"/>
          </w:tcPr>
          <w:p w14:paraId="1EC88A6B">
            <w:pPr>
              <w:widowControl/>
              <w:jc w:val="left"/>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1、贴面用材：采用业内领先品牌的饰面，压纹采用钢板，浮雕细腻，质感明显，具有色泽鲜亮、色牢度高等特点，可保持十年以上不褪色，饰面后板材环保等级可达到E0级，燃烧性能达到GB/T8626所规定的指标；</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2、基料板材：选用业内领先品牌的E0级实木颗粒板；</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3、封边：采用优质厚PVC封边带，厚度≥2mm；                                                           4、规格：1400mm*600mm*750mm。</w:t>
            </w:r>
          </w:p>
        </w:tc>
        <w:tc>
          <w:tcPr>
            <w:tcW w:w="4061" w:type="dxa"/>
            <w:tcBorders>
              <w:top w:val="single" w:color="000000" w:sz="4" w:space="0"/>
              <w:left w:val="single" w:color="000000" w:sz="4" w:space="0"/>
              <w:bottom w:val="single" w:color="000000" w:sz="4" w:space="0"/>
              <w:right w:val="single" w:color="000000" w:sz="4" w:space="0"/>
            </w:tcBorders>
            <w:noWrap/>
            <w:vAlign w:val="center"/>
          </w:tcPr>
          <w:p w14:paraId="5964FA64">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bdr w:val="single" w:color="000000" w:sz="4" w:space="0"/>
                <w:lang w:bidi="ar"/>
              </w:rPr>
              <w:drawing>
                <wp:anchor distT="0" distB="0" distL="114300" distR="114300" simplePos="0" relativeHeight="251660288" behindDoc="0" locked="0" layoutInCell="1" allowOverlap="1">
                  <wp:simplePos x="0" y="0"/>
                  <wp:positionH relativeFrom="column">
                    <wp:posOffset>170815</wp:posOffset>
                  </wp:positionH>
                  <wp:positionV relativeFrom="paragraph">
                    <wp:posOffset>66040</wp:posOffset>
                  </wp:positionV>
                  <wp:extent cx="2165985" cy="1596390"/>
                  <wp:effectExtent l="0" t="0" r="5715" b="3810"/>
                  <wp:wrapNone/>
                  <wp:docPr id="22" name="图片_15"/>
                  <wp:cNvGraphicFramePr/>
                  <a:graphic xmlns:a="http://schemas.openxmlformats.org/drawingml/2006/main">
                    <a:graphicData uri="http://schemas.openxmlformats.org/drawingml/2006/picture">
                      <pic:pic xmlns:pic="http://schemas.openxmlformats.org/drawingml/2006/picture">
                        <pic:nvPicPr>
                          <pic:cNvPr id="22" name="图片_15"/>
                          <pic:cNvPicPr/>
                        </pic:nvPicPr>
                        <pic:blipFill>
                          <a:blip r:embed="rId6"/>
                          <a:stretch>
                            <a:fillRect/>
                          </a:stretch>
                        </pic:blipFill>
                        <pic:spPr>
                          <a:xfrm>
                            <a:off x="0" y="0"/>
                            <a:ext cx="2165985" cy="1596390"/>
                          </a:xfrm>
                          <a:prstGeom prst="rect">
                            <a:avLst/>
                          </a:prstGeom>
                          <a:noFill/>
                          <a:ln>
                            <a:noFill/>
                          </a:ln>
                        </pic:spPr>
                      </pic:pic>
                    </a:graphicData>
                  </a:graphic>
                </wp:anchor>
              </w:drawing>
            </w:r>
          </w:p>
        </w:tc>
      </w:tr>
      <w:tr w14:paraId="54F61B9B">
        <w:tblPrEx>
          <w:tblCellMar>
            <w:top w:w="0" w:type="dxa"/>
            <w:left w:w="108" w:type="dxa"/>
            <w:bottom w:w="0" w:type="dxa"/>
            <w:right w:w="108" w:type="dxa"/>
          </w:tblCellMar>
        </w:tblPrEx>
        <w:trPr>
          <w:trHeight w:val="2580"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494C9116">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3</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5182C638">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椅子1</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392BA7C8">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30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0F86883">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张</w:t>
            </w:r>
          </w:p>
        </w:tc>
        <w:tc>
          <w:tcPr>
            <w:tcW w:w="6413" w:type="dxa"/>
            <w:tcBorders>
              <w:top w:val="single" w:color="000000" w:sz="4" w:space="0"/>
              <w:left w:val="single" w:color="000000" w:sz="4" w:space="0"/>
              <w:bottom w:val="single" w:color="000000" w:sz="4" w:space="0"/>
              <w:right w:val="single" w:color="000000" w:sz="4" w:space="0"/>
            </w:tcBorders>
            <w:noWrap w:val="0"/>
            <w:vAlign w:val="center"/>
          </w:tcPr>
          <w:p w14:paraId="555EB393">
            <w:pPr>
              <w:widowControl/>
              <w:jc w:val="left"/>
              <w:textAlignment w:val="center"/>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常规款：高弹力耐磨网布</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头枕：超大联体头枕</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椅背：黑色背架</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椅座：定型海绵</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扶手：联动可拉伸黑色扶手</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底盘：方形底盘+最大倾仰外角</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气杆：120#沉口40mm黑色气杆</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椅脚：340mm黑色五星脚</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脚踏：可拉伸265mm行程脚托配可180度旋转脚踏</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椅轮：55mm黑色耐磨轮</w:t>
            </w:r>
          </w:p>
          <w:p w14:paraId="6C8B9D63">
            <w:pPr>
              <w:widowControl/>
              <w:jc w:val="left"/>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bidi="ar"/>
              </w:rPr>
              <w:t>规格：</w:t>
            </w:r>
            <w:r>
              <w:rPr>
                <w:rFonts w:hint="eastAsia" w:ascii="宋体" w:hAnsi="宋体" w:cs="宋体"/>
                <w:color w:val="000000"/>
                <w:kern w:val="0"/>
                <w:sz w:val="24"/>
                <w:szCs w:val="24"/>
                <w:highlight w:val="none"/>
                <w:lang w:val="en-US" w:eastAsia="zh-CN" w:bidi="ar"/>
              </w:rPr>
              <w:t>68</w:t>
            </w:r>
            <w:r>
              <w:rPr>
                <w:rFonts w:hint="eastAsia" w:ascii="宋体" w:hAnsi="宋体" w:cs="宋体"/>
                <w:color w:val="000000"/>
                <w:kern w:val="0"/>
                <w:sz w:val="24"/>
                <w:szCs w:val="24"/>
                <w:highlight w:val="none"/>
                <w:lang w:bidi="ar"/>
              </w:rPr>
              <w:t>0mm*6</w:t>
            </w:r>
            <w:r>
              <w:rPr>
                <w:rFonts w:hint="eastAsia" w:ascii="宋体" w:hAnsi="宋体" w:cs="宋体"/>
                <w:color w:val="000000"/>
                <w:kern w:val="0"/>
                <w:sz w:val="24"/>
                <w:szCs w:val="24"/>
                <w:highlight w:val="none"/>
                <w:lang w:val="en-US" w:eastAsia="zh-CN" w:bidi="ar"/>
              </w:rPr>
              <w:t>8</w:t>
            </w:r>
            <w:r>
              <w:rPr>
                <w:rFonts w:hint="eastAsia" w:ascii="宋体" w:hAnsi="宋体" w:cs="宋体"/>
                <w:color w:val="000000"/>
                <w:kern w:val="0"/>
                <w:sz w:val="24"/>
                <w:szCs w:val="24"/>
                <w:highlight w:val="none"/>
                <w:lang w:bidi="ar"/>
              </w:rPr>
              <w:t>0mm*</w:t>
            </w:r>
            <w:r>
              <w:rPr>
                <w:rFonts w:hint="eastAsia" w:ascii="宋体" w:hAnsi="宋体" w:cs="宋体"/>
                <w:color w:val="000000"/>
                <w:kern w:val="0"/>
                <w:sz w:val="24"/>
                <w:szCs w:val="24"/>
                <w:highlight w:val="none"/>
                <w:lang w:val="en-US" w:eastAsia="zh-CN" w:bidi="ar"/>
              </w:rPr>
              <w:t>118</w:t>
            </w:r>
            <w:r>
              <w:rPr>
                <w:rFonts w:hint="eastAsia" w:ascii="宋体" w:hAnsi="宋体" w:cs="宋体"/>
                <w:color w:val="000000"/>
                <w:kern w:val="0"/>
                <w:sz w:val="24"/>
                <w:szCs w:val="24"/>
                <w:highlight w:val="none"/>
                <w:lang w:bidi="ar"/>
              </w:rPr>
              <w:t>0mm</w:t>
            </w: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val="en-US" w:eastAsia="zh-CN" w:bidi="ar"/>
              </w:rPr>
              <w:t>可上下浮动20mm</w:t>
            </w:r>
          </w:p>
        </w:tc>
        <w:tc>
          <w:tcPr>
            <w:tcW w:w="4061" w:type="dxa"/>
            <w:tcBorders>
              <w:top w:val="single" w:color="000000" w:sz="4" w:space="0"/>
              <w:left w:val="single" w:color="000000" w:sz="4" w:space="0"/>
              <w:bottom w:val="single" w:color="000000" w:sz="4" w:space="0"/>
              <w:right w:val="single" w:color="000000" w:sz="4" w:space="0"/>
            </w:tcBorders>
            <w:noWrap/>
            <w:vAlign w:val="center"/>
          </w:tcPr>
          <w:p w14:paraId="5EF55052">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bdr w:val="single" w:color="000000" w:sz="4" w:space="0"/>
                <w:lang w:bidi="ar"/>
              </w:rPr>
              <w:drawing>
                <wp:anchor distT="0" distB="0" distL="114300" distR="114300" simplePos="0" relativeHeight="251661312" behindDoc="0" locked="0" layoutInCell="1" allowOverlap="1">
                  <wp:simplePos x="0" y="0"/>
                  <wp:positionH relativeFrom="column">
                    <wp:posOffset>713105</wp:posOffset>
                  </wp:positionH>
                  <wp:positionV relativeFrom="paragraph">
                    <wp:posOffset>134620</wp:posOffset>
                  </wp:positionV>
                  <wp:extent cx="887730" cy="1503680"/>
                  <wp:effectExtent l="0" t="0" r="7620" b="1270"/>
                  <wp:wrapNone/>
                  <wp:docPr id="20" name="图片_20"/>
                  <wp:cNvGraphicFramePr/>
                  <a:graphic xmlns:a="http://schemas.openxmlformats.org/drawingml/2006/main">
                    <a:graphicData uri="http://schemas.openxmlformats.org/drawingml/2006/picture">
                      <pic:pic xmlns:pic="http://schemas.openxmlformats.org/drawingml/2006/picture">
                        <pic:nvPicPr>
                          <pic:cNvPr id="20" name="图片_20"/>
                          <pic:cNvPicPr/>
                        </pic:nvPicPr>
                        <pic:blipFill>
                          <a:blip r:embed="rId7"/>
                          <a:stretch>
                            <a:fillRect/>
                          </a:stretch>
                        </pic:blipFill>
                        <pic:spPr>
                          <a:xfrm>
                            <a:off x="0" y="0"/>
                            <a:ext cx="887730" cy="1503680"/>
                          </a:xfrm>
                          <a:prstGeom prst="rect">
                            <a:avLst/>
                          </a:prstGeom>
                          <a:noFill/>
                          <a:ln>
                            <a:noFill/>
                          </a:ln>
                        </pic:spPr>
                      </pic:pic>
                    </a:graphicData>
                  </a:graphic>
                </wp:anchor>
              </w:drawing>
            </w:r>
          </w:p>
        </w:tc>
      </w:tr>
      <w:tr w14:paraId="4773338A">
        <w:tblPrEx>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5366C47D">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4</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02555022">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椅子2</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5B7EA8D0">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11B3202">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张</w:t>
            </w:r>
          </w:p>
        </w:tc>
        <w:tc>
          <w:tcPr>
            <w:tcW w:w="6413" w:type="dxa"/>
            <w:tcBorders>
              <w:top w:val="single" w:color="000000" w:sz="4" w:space="0"/>
              <w:left w:val="single" w:color="000000" w:sz="4" w:space="0"/>
              <w:bottom w:val="single" w:color="000000" w:sz="4" w:space="0"/>
              <w:right w:val="single" w:color="000000" w:sz="4" w:space="0"/>
            </w:tcBorders>
            <w:noWrap w:val="0"/>
            <w:vAlign w:val="center"/>
          </w:tcPr>
          <w:p w14:paraId="5A85E42B">
            <w:pPr>
              <w:widowControl/>
              <w:jc w:val="left"/>
              <w:textAlignment w:val="center"/>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常规款                                                                            高弹力耐磨网布</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头枕可上下调节</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黑色尼龙加玻纤背架</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黑色尼龙玻纤独立扶手</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座包采用定型绵</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配中班蝴蝶底盘带原位锁定功能</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100#沉口40mm黑色烤漆气杆</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320mm尼龙五星脚</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φ50mm黑色耐磨尼龙轮</w:t>
            </w:r>
          </w:p>
          <w:p w14:paraId="55ABF339">
            <w:pPr>
              <w:widowControl/>
              <w:jc w:val="left"/>
              <w:textAlignment w:val="center"/>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val="en-US" w:eastAsia="zh-CN" w:bidi="ar"/>
              </w:rPr>
              <w:t>规格：61</w:t>
            </w:r>
            <w:r>
              <w:rPr>
                <w:rFonts w:hint="eastAsia" w:ascii="宋体" w:hAnsi="宋体" w:cs="宋体"/>
                <w:color w:val="000000"/>
                <w:kern w:val="0"/>
                <w:sz w:val="24"/>
                <w:szCs w:val="24"/>
                <w:highlight w:val="none"/>
                <w:lang w:bidi="ar"/>
              </w:rPr>
              <w:t>0mm*6</w:t>
            </w:r>
            <w:r>
              <w:rPr>
                <w:rFonts w:hint="eastAsia" w:ascii="宋体" w:hAnsi="宋体" w:cs="宋体"/>
                <w:color w:val="000000"/>
                <w:kern w:val="0"/>
                <w:sz w:val="24"/>
                <w:szCs w:val="24"/>
                <w:highlight w:val="none"/>
                <w:lang w:val="en-US" w:eastAsia="zh-CN" w:bidi="ar"/>
              </w:rPr>
              <w:t>6</w:t>
            </w:r>
            <w:r>
              <w:rPr>
                <w:rFonts w:hint="eastAsia" w:ascii="宋体" w:hAnsi="宋体" w:cs="宋体"/>
                <w:color w:val="000000"/>
                <w:kern w:val="0"/>
                <w:sz w:val="24"/>
                <w:szCs w:val="24"/>
                <w:highlight w:val="none"/>
                <w:lang w:bidi="ar"/>
              </w:rPr>
              <w:t>0mm*</w:t>
            </w:r>
            <w:r>
              <w:rPr>
                <w:rFonts w:hint="eastAsia" w:ascii="宋体" w:hAnsi="宋体" w:cs="宋体"/>
                <w:color w:val="000000"/>
                <w:kern w:val="0"/>
                <w:sz w:val="24"/>
                <w:szCs w:val="24"/>
                <w:highlight w:val="none"/>
                <w:lang w:val="en-US" w:eastAsia="zh-CN" w:bidi="ar"/>
              </w:rPr>
              <w:t>10790</w:t>
            </w:r>
            <w:r>
              <w:rPr>
                <w:rFonts w:hint="eastAsia" w:ascii="宋体" w:hAnsi="宋体" w:cs="宋体"/>
                <w:color w:val="000000"/>
                <w:kern w:val="0"/>
                <w:sz w:val="24"/>
                <w:szCs w:val="24"/>
                <w:highlight w:val="none"/>
                <w:lang w:bidi="ar"/>
              </w:rPr>
              <w:t>m</w:t>
            </w: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val="en-US" w:eastAsia="zh-CN" w:bidi="ar"/>
              </w:rPr>
              <w:t>可上下浮动20mm</w:t>
            </w:r>
          </w:p>
        </w:tc>
        <w:tc>
          <w:tcPr>
            <w:tcW w:w="4061" w:type="dxa"/>
            <w:tcBorders>
              <w:top w:val="single" w:color="000000" w:sz="4" w:space="0"/>
              <w:left w:val="single" w:color="000000" w:sz="4" w:space="0"/>
              <w:bottom w:val="single" w:color="000000" w:sz="4" w:space="0"/>
              <w:right w:val="single" w:color="000000" w:sz="4" w:space="0"/>
            </w:tcBorders>
            <w:noWrap/>
            <w:vAlign w:val="center"/>
          </w:tcPr>
          <w:p w14:paraId="44B33B98">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bdr w:val="single" w:color="000000" w:sz="4" w:space="0"/>
                <w:lang w:bidi="ar"/>
              </w:rPr>
              <w:drawing>
                <wp:anchor distT="0" distB="0" distL="114300" distR="114300" simplePos="0" relativeHeight="251662336" behindDoc="0" locked="0" layoutInCell="1" allowOverlap="1">
                  <wp:simplePos x="0" y="0"/>
                  <wp:positionH relativeFrom="column">
                    <wp:posOffset>648970</wp:posOffset>
                  </wp:positionH>
                  <wp:positionV relativeFrom="paragraph">
                    <wp:posOffset>84455</wp:posOffset>
                  </wp:positionV>
                  <wp:extent cx="945515" cy="1343660"/>
                  <wp:effectExtent l="0" t="0" r="6985" b="8890"/>
                  <wp:wrapNone/>
                  <wp:docPr id="19" name="图片_1"/>
                  <wp:cNvGraphicFramePr/>
                  <a:graphic xmlns:a="http://schemas.openxmlformats.org/drawingml/2006/main">
                    <a:graphicData uri="http://schemas.openxmlformats.org/drawingml/2006/picture">
                      <pic:pic xmlns:pic="http://schemas.openxmlformats.org/drawingml/2006/picture">
                        <pic:nvPicPr>
                          <pic:cNvPr id="19" name="图片_1"/>
                          <pic:cNvPicPr/>
                        </pic:nvPicPr>
                        <pic:blipFill>
                          <a:blip r:embed="rId8"/>
                          <a:stretch>
                            <a:fillRect/>
                          </a:stretch>
                        </pic:blipFill>
                        <pic:spPr>
                          <a:xfrm>
                            <a:off x="0" y="0"/>
                            <a:ext cx="945515" cy="1343660"/>
                          </a:xfrm>
                          <a:prstGeom prst="rect">
                            <a:avLst/>
                          </a:prstGeom>
                          <a:noFill/>
                          <a:ln>
                            <a:noFill/>
                          </a:ln>
                        </pic:spPr>
                      </pic:pic>
                    </a:graphicData>
                  </a:graphic>
                </wp:anchor>
              </w:drawing>
            </w:r>
          </w:p>
        </w:tc>
      </w:tr>
      <w:tr w14:paraId="59EBD8A2">
        <w:tblPrEx>
          <w:tblCellMar>
            <w:top w:w="0" w:type="dxa"/>
            <w:left w:w="108" w:type="dxa"/>
            <w:bottom w:w="0" w:type="dxa"/>
            <w:right w:w="108" w:type="dxa"/>
          </w:tblCellMar>
        </w:tblPrEx>
        <w:trPr>
          <w:trHeight w:val="2480"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4D094B09">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5</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447B2D9A">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椅子3</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6FC5E104">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34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2E96F3E">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张</w:t>
            </w:r>
          </w:p>
        </w:tc>
        <w:tc>
          <w:tcPr>
            <w:tcW w:w="6413" w:type="dxa"/>
            <w:tcBorders>
              <w:top w:val="single" w:color="000000" w:sz="4" w:space="0"/>
              <w:left w:val="single" w:color="000000" w:sz="4" w:space="0"/>
              <w:bottom w:val="single" w:color="000000" w:sz="4" w:space="0"/>
              <w:right w:val="single" w:color="000000" w:sz="4" w:space="0"/>
            </w:tcBorders>
            <w:noWrap w:val="0"/>
            <w:vAlign w:val="center"/>
          </w:tcPr>
          <w:p w14:paraId="305BBAB6">
            <w:pPr>
              <w:widowControl/>
              <w:jc w:val="left"/>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1、面材采用优质西皮，皮面光泽度好，透气性强，柔软且富于韧性，厚度适中；                                                                   2、垫内结构：一次成型多层薄木高温热压而成，双面备胶；                                                  3、填充物：高密高回弹聚安脂阻燃料定型棉，表面附加丝棉，不易变形；                                       4、五金配件：钢制脚架。                                                                         5、规格：</w:t>
            </w:r>
            <w:r>
              <w:rPr>
                <w:rFonts w:hint="eastAsia" w:ascii="宋体" w:hAnsi="宋体" w:cs="宋体"/>
                <w:color w:val="000000"/>
                <w:kern w:val="0"/>
                <w:sz w:val="24"/>
                <w:szCs w:val="24"/>
                <w:highlight w:val="none"/>
                <w:lang w:val="en-US" w:eastAsia="zh-CN" w:bidi="ar"/>
              </w:rPr>
              <w:t>700</w:t>
            </w:r>
            <w:r>
              <w:rPr>
                <w:rFonts w:hint="eastAsia" w:ascii="宋体" w:hAnsi="宋体" w:cs="宋体"/>
                <w:color w:val="000000"/>
                <w:kern w:val="0"/>
                <w:sz w:val="24"/>
                <w:szCs w:val="24"/>
                <w:highlight w:val="none"/>
                <w:lang w:bidi="ar"/>
              </w:rPr>
              <w:t>mm*</w:t>
            </w:r>
            <w:r>
              <w:rPr>
                <w:rFonts w:hint="eastAsia" w:ascii="宋体" w:hAnsi="宋体" w:cs="宋体"/>
                <w:color w:val="000000"/>
                <w:kern w:val="0"/>
                <w:sz w:val="24"/>
                <w:szCs w:val="24"/>
                <w:highlight w:val="none"/>
                <w:lang w:val="en-US" w:eastAsia="zh-CN" w:bidi="ar"/>
              </w:rPr>
              <w:t>59</w:t>
            </w:r>
            <w:r>
              <w:rPr>
                <w:rFonts w:hint="eastAsia" w:ascii="宋体" w:hAnsi="宋体" w:cs="宋体"/>
                <w:color w:val="000000"/>
                <w:kern w:val="0"/>
                <w:sz w:val="24"/>
                <w:szCs w:val="24"/>
                <w:highlight w:val="none"/>
                <w:lang w:bidi="ar"/>
              </w:rPr>
              <w:t>0mm*</w:t>
            </w:r>
            <w:r>
              <w:rPr>
                <w:rFonts w:hint="eastAsia" w:ascii="宋体" w:hAnsi="宋体" w:cs="宋体"/>
                <w:color w:val="000000"/>
                <w:kern w:val="0"/>
                <w:sz w:val="24"/>
                <w:szCs w:val="24"/>
                <w:highlight w:val="none"/>
                <w:lang w:val="en-US" w:eastAsia="zh-CN" w:bidi="ar"/>
              </w:rPr>
              <w:t>965m</w:t>
            </w:r>
            <w:r>
              <w:rPr>
                <w:rFonts w:hint="eastAsia" w:ascii="宋体" w:hAnsi="宋体" w:cs="宋体"/>
                <w:color w:val="000000"/>
                <w:kern w:val="0"/>
                <w:sz w:val="24"/>
                <w:szCs w:val="24"/>
                <w:highlight w:val="none"/>
                <w:lang w:bidi="ar"/>
              </w:rPr>
              <w:t>m</w:t>
            </w: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val="en-US" w:eastAsia="zh-CN" w:bidi="ar"/>
              </w:rPr>
              <w:t>可上下浮动20mm</w:t>
            </w:r>
          </w:p>
        </w:tc>
        <w:tc>
          <w:tcPr>
            <w:tcW w:w="4061" w:type="dxa"/>
            <w:tcBorders>
              <w:top w:val="single" w:color="000000" w:sz="4" w:space="0"/>
              <w:left w:val="single" w:color="000000" w:sz="4" w:space="0"/>
              <w:bottom w:val="single" w:color="000000" w:sz="4" w:space="0"/>
              <w:right w:val="single" w:color="000000" w:sz="4" w:space="0"/>
            </w:tcBorders>
            <w:noWrap/>
            <w:vAlign w:val="center"/>
          </w:tcPr>
          <w:p w14:paraId="65F40BBD">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bdr w:val="single" w:color="000000" w:sz="4" w:space="0"/>
                <w:lang w:bidi="ar"/>
              </w:rPr>
              <w:drawing>
                <wp:anchor distT="0" distB="0" distL="114300" distR="114300" simplePos="0" relativeHeight="251663360" behindDoc="0" locked="0" layoutInCell="1" allowOverlap="1">
                  <wp:simplePos x="0" y="0"/>
                  <wp:positionH relativeFrom="column">
                    <wp:posOffset>990600</wp:posOffset>
                  </wp:positionH>
                  <wp:positionV relativeFrom="paragraph">
                    <wp:posOffset>141605</wp:posOffset>
                  </wp:positionV>
                  <wp:extent cx="1039495" cy="1371600"/>
                  <wp:effectExtent l="0" t="0" r="8255" b="0"/>
                  <wp:wrapNone/>
                  <wp:docPr id="15" name="图片_21_SpCnt_1"/>
                  <wp:cNvGraphicFramePr/>
                  <a:graphic xmlns:a="http://schemas.openxmlformats.org/drawingml/2006/main">
                    <a:graphicData uri="http://schemas.openxmlformats.org/drawingml/2006/picture">
                      <pic:pic xmlns:pic="http://schemas.openxmlformats.org/drawingml/2006/picture">
                        <pic:nvPicPr>
                          <pic:cNvPr id="15" name="图片_21_SpCnt_1"/>
                          <pic:cNvPicPr/>
                        </pic:nvPicPr>
                        <pic:blipFill>
                          <a:blip r:embed="rId9"/>
                          <a:stretch>
                            <a:fillRect/>
                          </a:stretch>
                        </pic:blipFill>
                        <pic:spPr>
                          <a:xfrm>
                            <a:off x="0" y="0"/>
                            <a:ext cx="1039495" cy="1371600"/>
                          </a:xfrm>
                          <a:prstGeom prst="rect">
                            <a:avLst/>
                          </a:prstGeom>
                          <a:noFill/>
                          <a:ln>
                            <a:noFill/>
                          </a:ln>
                        </pic:spPr>
                      </pic:pic>
                    </a:graphicData>
                  </a:graphic>
                </wp:anchor>
              </w:drawing>
            </w:r>
          </w:p>
        </w:tc>
      </w:tr>
      <w:tr w14:paraId="5E1A3109">
        <w:tblPrEx>
          <w:tblCellMar>
            <w:top w:w="0" w:type="dxa"/>
            <w:left w:w="108" w:type="dxa"/>
            <w:bottom w:w="0" w:type="dxa"/>
            <w:right w:w="108" w:type="dxa"/>
          </w:tblCellMar>
        </w:tblPrEx>
        <w:trPr>
          <w:trHeight w:val="2580"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1710A181">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6</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182F61F3">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活动会议椅</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5822AC04">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30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A1C9074">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张</w:t>
            </w:r>
          </w:p>
        </w:tc>
        <w:tc>
          <w:tcPr>
            <w:tcW w:w="6413" w:type="dxa"/>
            <w:tcBorders>
              <w:top w:val="single" w:color="000000" w:sz="4" w:space="0"/>
              <w:left w:val="single" w:color="000000" w:sz="4" w:space="0"/>
              <w:bottom w:val="single" w:color="000000" w:sz="4" w:space="0"/>
              <w:right w:val="single" w:color="000000" w:sz="4" w:space="0"/>
            </w:tcBorders>
            <w:noWrap w:val="0"/>
            <w:vAlign w:val="center"/>
          </w:tcPr>
          <w:p w14:paraId="1C6946B8">
            <w:pPr>
              <w:widowControl/>
              <w:jc w:val="left"/>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1、面料：采用优质防菌网布面料，经3M处理（防油污、防水、防磨损及抗尘埃），机缝线间隙均匀，线条流畅，转角顺畅，底背饱满；                                                                       2、坐垫：采用15mm多层曲木胶合板热压成型；</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3、ABS工程塑胶靠背；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4、钢制脚架，采用优质冷轧钢折弯而成，表面静电粉末喷涂。                                        5、规格：</w:t>
            </w:r>
            <w:r>
              <w:rPr>
                <w:rFonts w:hint="eastAsia" w:ascii="宋体" w:hAnsi="宋体" w:cs="宋体"/>
                <w:color w:val="000000"/>
                <w:kern w:val="0"/>
                <w:sz w:val="24"/>
                <w:szCs w:val="24"/>
                <w:highlight w:val="none"/>
                <w:lang w:val="en-US" w:eastAsia="zh-CN" w:bidi="ar"/>
              </w:rPr>
              <w:t>580</w:t>
            </w:r>
            <w:r>
              <w:rPr>
                <w:rFonts w:hint="eastAsia" w:ascii="宋体" w:hAnsi="宋体" w:cs="宋体"/>
                <w:color w:val="000000"/>
                <w:kern w:val="0"/>
                <w:sz w:val="24"/>
                <w:szCs w:val="24"/>
                <w:highlight w:val="none"/>
                <w:lang w:bidi="ar"/>
              </w:rPr>
              <w:t>mm*</w:t>
            </w:r>
            <w:r>
              <w:rPr>
                <w:rFonts w:hint="eastAsia" w:ascii="宋体" w:hAnsi="宋体" w:cs="宋体"/>
                <w:color w:val="000000"/>
                <w:kern w:val="0"/>
                <w:sz w:val="24"/>
                <w:szCs w:val="24"/>
                <w:highlight w:val="none"/>
                <w:lang w:val="en-US" w:eastAsia="zh-CN" w:bidi="ar"/>
              </w:rPr>
              <w:t>45</w:t>
            </w:r>
            <w:r>
              <w:rPr>
                <w:rFonts w:hint="eastAsia" w:ascii="宋体" w:hAnsi="宋体" w:cs="宋体"/>
                <w:color w:val="000000"/>
                <w:kern w:val="0"/>
                <w:sz w:val="24"/>
                <w:szCs w:val="24"/>
                <w:highlight w:val="none"/>
                <w:lang w:bidi="ar"/>
              </w:rPr>
              <w:t>0mm*</w:t>
            </w:r>
            <w:r>
              <w:rPr>
                <w:rFonts w:hint="eastAsia" w:ascii="宋体" w:hAnsi="宋体" w:cs="宋体"/>
                <w:color w:val="000000"/>
                <w:kern w:val="0"/>
                <w:sz w:val="24"/>
                <w:szCs w:val="24"/>
                <w:highlight w:val="none"/>
                <w:lang w:val="en-US" w:eastAsia="zh-CN" w:bidi="ar"/>
              </w:rPr>
              <w:t>880m</w:t>
            </w:r>
            <w:r>
              <w:rPr>
                <w:rFonts w:hint="eastAsia" w:ascii="宋体" w:hAnsi="宋体" w:cs="宋体"/>
                <w:color w:val="000000"/>
                <w:kern w:val="0"/>
                <w:sz w:val="24"/>
                <w:szCs w:val="24"/>
                <w:highlight w:val="none"/>
                <w:lang w:bidi="ar"/>
              </w:rPr>
              <w:t>m</w:t>
            </w: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val="en-US" w:eastAsia="zh-CN" w:bidi="ar"/>
              </w:rPr>
              <w:t>可上下浮动20mm</w:t>
            </w:r>
            <w:r>
              <w:rPr>
                <w:rFonts w:hint="eastAsia" w:ascii="宋体" w:hAnsi="宋体" w:cs="宋体"/>
                <w:color w:val="000000"/>
                <w:kern w:val="0"/>
                <w:sz w:val="24"/>
                <w:szCs w:val="24"/>
                <w:highlight w:val="none"/>
                <w:lang w:bidi="ar"/>
              </w:rPr>
              <w:t>。</w:t>
            </w:r>
          </w:p>
        </w:tc>
        <w:tc>
          <w:tcPr>
            <w:tcW w:w="4061" w:type="dxa"/>
            <w:tcBorders>
              <w:top w:val="single" w:color="000000" w:sz="4" w:space="0"/>
              <w:left w:val="single" w:color="000000" w:sz="4" w:space="0"/>
              <w:bottom w:val="single" w:color="000000" w:sz="4" w:space="0"/>
              <w:right w:val="single" w:color="000000" w:sz="4" w:space="0"/>
            </w:tcBorders>
            <w:noWrap/>
            <w:vAlign w:val="center"/>
          </w:tcPr>
          <w:p w14:paraId="23210DAF">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bdr w:val="single" w:color="000000" w:sz="4" w:space="0"/>
                <w:lang w:bidi="ar"/>
              </w:rPr>
              <w:drawing>
                <wp:anchor distT="0" distB="0" distL="114300" distR="114300" simplePos="0" relativeHeight="251664384" behindDoc="0" locked="0" layoutInCell="1" allowOverlap="1">
                  <wp:simplePos x="0" y="0"/>
                  <wp:positionH relativeFrom="column">
                    <wp:posOffset>438785</wp:posOffset>
                  </wp:positionH>
                  <wp:positionV relativeFrom="paragraph">
                    <wp:posOffset>51435</wp:posOffset>
                  </wp:positionV>
                  <wp:extent cx="1343025" cy="1490980"/>
                  <wp:effectExtent l="0" t="0" r="9525" b="13970"/>
                  <wp:wrapNone/>
                  <wp:docPr id="13" name="图片_19"/>
                  <wp:cNvGraphicFramePr/>
                  <a:graphic xmlns:a="http://schemas.openxmlformats.org/drawingml/2006/main">
                    <a:graphicData uri="http://schemas.openxmlformats.org/drawingml/2006/picture">
                      <pic:pic xmlns:pic="http://schemas.openxmlformats.org/drawingml/2006/picture">
                        <pic:nvPicPr>
                          <pic:cNvPr id="13" name="图片_19"/>
                          <pic:cNvPicPr/>
                        </pic:nvPicPr>
                        <pic:blipFill>
                          <a:blip r:embed="rId10"/>
                          <a:stretch>
                            <a:fillRect/>
                          </a:stretch>
                        </pic:blipFill>
                        <pic:spPr>
                          <a:xfrm>
                            <a:off x="0" y="0"/>
                            <a:ext cx="1343025" cy="1490980"/>
                          </a:xfrm>
                          <a:prstGeom prst="rect">
                            <a:avLst/>
                          </a:prstGeom>
                          <a:noFill/>
                          <a:ln>
                            <a:noFill/>
                          </a:ln>
                        </pic:spPr>
                      </pic:pic>
                    </a:graphicData>
                  </a:graphic>
                </wp:anchor>
              </w:drawing>
            </w:r>
          </w:p>
        </w:tc>
      </w:tr>
      <w:tr w14:paraId="465260E9">
        <w:tblPrEx>
          <w:tblCellMar>
            <w:top w:w="0" w:type="dxa"/>
            <w:left w:w="108" w:type="dxa"/>
            <w:bottom w:w="0" w:type="dxa"/>
            <w:right w:w="108" w:type="dxa"/>
          </w:tblCellMar>
        </w:tblPrEx>
        <w:trPr>
          <w:trHeight w:val="2980"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0773290E">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7</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7FB9865F">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椅子4</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34D2BF1B">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D659C20">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张</w:t>
            </w:r>
          </w:p>
        </w:tc>
        <w:tc>
          <w:tcPr>
            <w:tcW w:w="6413" w:type="dxa"/>
            <w:tcBorders>
              <w:top w:val="single" w:color="000000" w:sz="4" w:space="0"/>
              <w:left w:val="single" w:color="000000" w:sz="4" w:space="0"/>
              <w:bottom w:val="single" w:color="000000" w:sz="4" w:space="0"/>
              <w:right w:val="single" w:color="000000" w:sz="4" w:space="0"/>
            </w:tcBorders>
            <w:noWrap w:val="0"/>
            <w:vAlign w:val="center"/>
          </w:tcPr>
          <w:p w14:paraId="4F5D2781">
            <w:pPr>
              <w:widowControl/>
              <w:numPr>
                <w:ilvl w:val="0"/>
                <w:numId w:val="15"/>
              </w:numPr>
              <w:jc w:val="left"/>
              <w:textAlignment w:val="center"/>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面材采用</w:t>
            </w:r>
            <w:r>
              <w:rPr>
                <w:rFonts w:hint="eastAsia" w:ascii="宋体" w:hAnsi="宋体" w:cs="宋体"/>
                <w:color w:val="000000"/>
                <w:kern w:val="0"/>
                <w:sz w:val="24"/>
                <w:szCs w:val="24"/>
                <w:highlight w:val="yellow"/>
                <w:lang w:eastAsia="zh-CN" w:bidi="ar"/>
              </w:rPr>
              <w:t>优质西皮</w:t>
            </w:r>
            <w:r>
              <w:rPr>
                <w:rFonts w:hint="eastAsia" w:ascii="宋体" w:hAnsi="宋体" w:cs="宋体"/>
                <w:color w:val="000000"/>
                <w:kern w:val="0"/>
                <w:sz w:val="24"/>
                <w:szCs w:val="24"/>
                <w:highlight w:val="none"/>
                <w:lang w:bidi="ar"/>
              </w:rPr>
              <w:t xml:space="preserve">，皮面光泽度好，透气性强，柔软且富于韧性，厚度适中；                                                                   2、垫内结构：一次成型多层薄木高温热压而成，双面备胶；                                            3、填充物：高密高回弹聚安脂阻燃料定型棉，表面附加丝棉，不易变形；                                   </w:t>
            </w:r>
          </w:p>
          <w:p w14:paraId="7CF7A2B2">
            <w:pPr>
              <w:widowControl/>
              <w:numPr>
                <w:ilvl w:val="0"/>
                <w:numId w:val="16"/>
              </w:numPr>
              <w:jc w:val="left"/>
              <w:textAlignment w:val="center"/>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五金配件：抛光铝合金五星脚，优质气杆，多功能机构，自动升降。                                    </w:t>
            </w:r>
          </w:p>
          <w:p w14:paraId="45DB26D0">
            <w:pPr>
              <w:widowControl/>
              <w:numPr>
                <w:ilvl w:val="0"/>
                <w:numId w:val="0"/>
              </w:numPr>
              <w:jc w:val="left"/>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5、规格：</w:t>
            </w:r>
            <w:r>
              <w:rPr>
                <w:rFonts w:hint="eastAsia" w:ascii="宋体" w:hAnsi="宋体" w:cs="宋体"/>
                <w:color w:val="000000"/>
                <w:kern w:val="0"/>
                <w:sz w:val="24"/>
                <w:szCs w:val="24"/>
                <w:highlight w:val="none"/>
                <w:lang w:val="en-US" w:eastAsia="zh-CN" w:bidi="ar"/>
              </w:rPr>
              <w:t>740</w:t>
            </w:r>
            <w:r>
              <w:rPr>
                <w:rFonts w:hint="eastAsia" w:ascii="宋体" w:hAnsi="宋体" w:cs="宋体"/>
                <w:color w:val="000000"/>
                <w:kern w:val="0"/>
                <w:sz w:val="24"/>
                <w:szCs w:val="24"/>
                <w:highlight w:val="none"/>
                <w:lang w:bidi="ar"/>
              </w:rPr>
              <w:t>mm*</w:t>
            </w:r>
            <w:r>
              <w:rPr>
                <w:rFonts w:hint="eastAsia" w:ascii="宋体" w:hAnsi="宋体" w:cs="宋体"/>
                <w:color w:val="000000"/>
                <w:kern w:val="0"/>
                <w:sz w:val="24"/>
                <w:szCs w:val="24"/>
                <w:highlight w:val="none"/>
                <w:lang w:val="en-US" w:eastAsia="zh-CN" w:bidi="ar"/>
              </w:rPr>
              <w:t>84</w:t>
            </w:r>
            <w:r>
              <w:rPr>
                <w:rFonts w:hint="eastAsia" w:ascii="宋体" w:hAnsi="宋体" w:cs="宋体"/>
                <w:color w:val="000000"/>
                <w:kern w:val="0"/>
                <w:sz w:val="24"/>
                <w:szCs w:val="24"/>
                <w:highlight w:val="none"/>
                <w:lang w:bidi="ar"/>
              </w:rPr>
              <w:t>0mm*</w:t>
            </w:r>
            <w:r>
              <w:rPr>
                <w:rFonts w:hint="eastAsia" w:ascii="宋体" w:hAnsi="宋体" w:cs="宋体"/>
                <w:color w:val="000000"/>
                <w:kern w:val="0"/>
                <w:sz w:val="24"/>
                <w:szCs w:val="24"/>
                <w:highlight w:val="none"/>
                <w:lang w:val="en-US" w:eastAsia="zh-CN" w:bidi="ar"/>
              </w:rPr>
              <w:t>1200m</w:t>
            </w:r>
            <w:r>
              <w:rPr>
                <w:rFonts w:hint="eastAsia" w:ascii="宋体" w:hAnsi="宋体" w:cs="宋体"/>
                <w:color w:val="000000"/>
                <w:kern w:val="0"/>
                <w:sz w:val="24"/>
                <w:szCs w:val="24"/>
                <w:highlight w:val="none"/>
                <w:lang w:bidi="ar"/>
              </w:rPr>
              <w:t>m</w:t>
            </w: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val="en-US" w:eastAsia="zh-CN" w:bidi="ar"/>
              </w:rPr>
              <w:t>可上下浮动20mm</w:t>
            </w:r>
            <w:r>
              <w:rPr>
                <w:rFonts w:hint="eastAsia" w:ascii="宋体" w:hAnsi="宋体" w:cs="宋体"/>
                <w:color w:val="000000"/>
                <w:kern w:val="0"/>
                <w:sz w:val="24"/>
                <w:szCs w:val="24"/>
                <w:highlight w:val="none"/>
                <w:lang w:bidi="ar"/>
              </w:rPr>
              <w:t>。</w:t>
            </w:r>
          </w:p>
        </w:tc>
        <w:tc>
          <w:tcPr>
            <w:tcW w:w="4061" w:type="dxa"/>
            <w:tcBorders>
              <w:top w:val="single" w:color="000000" w:sz="4" w:space="0"/>
              <w:left w:val="single" w:color="000000" w:sz="4" w:space="0"/>
              <w:bottom w:val="single" w:color="000000" w:sz="4" w:space="0"/>
              <w:right w:val="single" w:color="000000" w:sz="4" w:space="0"/>
            </w:tcBorders>
            <w:noWrap/>
            <w:vAlign w:val="center"/>
          </w:tcPr>
          <w:p w14:paraId="1FC3B45D">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bdr w:val="single" w:color="000000" w:sz="4" w:space="0"/>
                <w:lang w:bidi="ar"/>
              </w:rPr>
              <w:drawing>
                <wp:anchor distT="0" distB="0" distL="114300" distR="114300" simplePos="0" relativeHeight="251665408" behindDoc="0" locked="0" layoutInCell="1" allowOverlap="1">
                  <wp:simplePos x="0" y="0"/>
                  <wp:positionH relativeFrom="column">
                    <wp:posOffset>532765</wp:posOffset>
                  </wp:positionH>
                  <wp:positionV relativeFrom="paragraph">
                    <wp:posOffset>29845</wp:posOffset>
                  </wp:positionV>
                  <wp:extent cx="1268095" cy="1766570"/>
                  <wp:effectExtent l="0" t="0" r="8255" b="5080"/>
                  <wp:wrapNone/>
                  <wp:docPr id="14" name="图片_11"/>
                  <wp:cNvGraphicFramePr/>
                  <a:graphic xmlns:a="http://schemas.openxmlformats.org/drawingml/2006/main">
                    <a:graphicData uri="http://schemas.openxmlformats.org/drawingml/2006/picture">
                      <pic:pic xmlns:pic="http://schemas.openxmlformats.org/drawingml/2006/picture">
                        <pic:nvPicPr>
                          <pic:cNvPr id="14" name="图片_11"/>
                          <pic:cNvPicPr/>
                        </pic:nvPicPr>
                        <pic:blipFill>
                          <a:blip r:embed="rId11"/>
                          <a:stretch>
                            <a:fillRect/>
                          </a:stretch>
                        </pic:blipFill>
                        <pic:spPr>
                          <a:xfrm>
                            <a:off x="0" y="0"/>
                            <a:ext cx="1268095" cy="1766570"/>
                          </a:xfrm>
                          <a:prstGeom prst="rect">
                            <a:avLst/>
                          </a:prstGeom>
                          <a:noFill/>
                          <a:ln>
                            <a:noFill/>
                          </a:ln>
                        </pic:spPr>
                      </pic:pic>
                    </a:graphicData>
                  </a:graphic>
                </wp:anchor>
              </w:drawing>
            </w:r>
          </w:p>
        </w:tc>
      </w:tr>
      <w:tr w14:paraId="58EBC70B">
        <w:tblPrEx>
          <w:tblCellMar>
            <w:top w:w="0" w:type="dxa"/>
            <w:left w:w="108" w:type="dxa"/>
            <w:bottom w:w="0" w:type="dxa"/>
            <w:right w:w="108" w:type="dxa"/>
          </w:tblCellMar>
        </w:tblPrEx>
        <w:trPr>
          <w:trHeight w:val="2460"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19DD251F">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8</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74FE1C03">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小会议桌</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3084F9EE">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CD0BB5F">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套</w:t>
            </w:r>
          </w:p>
        </w:tc>
        <w:tc>
          <w:tcPr>
            <w:tcW w:w="6413" w:type="dxa"/>
            <w:tcBorders>
              <w:top w:val="single" w:color="000000" w:sz="4" w:space="0"/>
              <w:left w:val="single" w:color="000000" w:sz="4" w:space="0"/>
              <w:bottom w:val="single" w:color="000000" w:sz="4" w:space="0"/>
              <w:right w:val="single" w:color="000000" w:sz="4" w:space="0"/>
            </w:tcBorders>
            <w:noWrap w:val="0"/>
            <w:vAlign w:val="center"/>
          </w:tcPr>
          <w:p w14:paraId="11D1E82A">
            <w:pPr>
              <w:widowControl/>
              <w:jc w:val="left"/>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1、贴面用材：采用业内领先品牌的饰面，压纹采用钢板，浮雕细腻，质感明显，具有色泽鲜亮、色牢度高等特点，可保持十年以上不褪色，饰面后板材环保等级可达到E0级，燃烧性能达到GB/T8626所规定的指标；</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2、基料板材：选用业内领先品牌的E0级实木颗粒板；</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3、封边：采用优质厚PVC封边带，厚度≥2mm。                                                   4、规格型号：2400</w:t>
            </w:r>
            <w:r>
              <w:rPr>
                <w:rFonts w:hint="eastAsia" w:ascii="宋体" w:hAnsi="宋体" w:cs="宋体"/>
                <w:color w:val="000000"/>
                <w:kern w:val="0"/>
                <w:sz w:val="24"/>
                <w:szCs w:val="24"/>
                <w:highlight w:val="none"/>
                <w:lang w:val="en-US" w:eastAsia="zh-CN" w:bidi="ar"/>
              </w:rPr>
              <w:t>mm</w:t>
            </w:r>
            <w:r>
              <w:rPr>
                <w:rFonts w:hint="eastAsia" w:ascii="宋体" w:hAnsi="宋体" w:cs="宋体"/>
                <w:color w:val="000000"/>
                <w:kern w:val="0"/>
                <w:sz w:val="24"/>
                <w:szCs w:val="24"/>
                <w:highlight w:val="none"/>
                <w:lang w:bidi="ar"/>
              </w:rPr>
              <w:t>*1200</w:t>
            </w:r>
            <w:r>
              <w:rPr>
                <w:rFonts w:hint="eastAsia" w:ascii="宋体" w:hAnsi="宋体" w:cs="宋体"/>
                <w:color w:val="000000"/>
                <w:kern w:val="0"/>
                <w:sz w:val="24"/>
                <w:szCs w:val="24"/>
                <w:highlight w:val="none"/>
                <w:lang w:val="en-US" w:eastAsia="zh-CN" w:bidi="ar"/>
              </w:rPr>
              <w:t>mm</w:t>
            </w:r>
            <w:r>
              <w:rPr>
                <w:rFonts w:hint="eastAsia" w:ascii="宋体" w:hAnsi="宋体" w:cs="宋体"/>
                <w:color w:val="000000"/>
                <w:kern w:val="0"/>
                <w:sz w:val="24"/>
                <w:szCs w:val="24"/>
                <w:highlight w:val="none"/>
                <w:lang w:bidi="ar"/>
              </w:rPr>
              <w:t>*750</w:t>
            </w:r>
            <w:r>
              <w:rPr>
                <w:rFonts w:hint="eastAsia" w:ascii="宋体" w:hAnsi="宋体" w:cs="宋体"/>
                <w:color w:val="000000"/>
                <w:kern w:val="0"/>
                <w:sz w:val="24"/>
                <w:szCs w:val="24"/>
                <w:highlight w:val="none"/>
                <w:lang w:val="en-US" w:eastAsia="zh-CN" w:bidi="ar"/>
              </w:rPr>
              <w:t>mm</w:t>
            </w:r>
            <w:r>
              <w:rPr>
                <w:rFonts w:hint="eastAsia" w:ascii="宋体" w:hAnsi="宋体" w:cs="宋体"/>
                <w:color w:val="000000"/>
                <w:kern w:val="0"/>
                <w:sz w:val="24"/>
                <w:szCs w:val="24"/>
                <w:highlight w:val="none"/>
                <w:lang w:bidi="ar"/>
              </w:rPr>
              <w:t>。</w:t>
            </w:r>
          </w:p>
        </w:tc>
        <w:tc>
          <w:tcPr>
            <w:tcW w:w="4061" w:type="dxa"/>
            <w:tcBorders>
              <w:top w:val="single" w:color="000000" w:sz="4" w:space="0"/>
              <w:left w:val="single" w:color="000000" w:sz="4" w:space="0"/>
              <w:bottom w:val="single" w:color="000000" w:sz="4" w:space="0"/>
              <w:right w:val="single" w:color="000000" w:sz="4" w:space="0"/>
            </w:tcBorders>
            <w:noWrap/>
            <w:vAlign w:val="center"/>
          </w:tcPr>
          <w:p w14:paraId="5350D39E">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bdr w:val="single" w:color="000000" w:sz="4" w:space="0"/>
                <w:lang w:bidi="ar"/>
              </w:rPr>
              <w:drawing>
                <wp:anchor distT="0" distB="0" distL="114300" distR="114300" simplePos="0" relativeHeight="251666432" behindDoc="0" locked="0" layoutInCell="1" allowOverlap="1">
                  <wp:simplePos x="0" y="0"/>
                  <wp:positionH relativeFrom="column">
                    <wp:posOffset>60960</wp:posOffset>
                  </wp:positionH>
                  <wp:positionV relativeFrom="paragraph">
                    <wp:posOffset>436880</wp:posOffset>
                  </wp:positionV>
                  <wp:extent cx="2461895" cy="951230"/>
                  <wp:effectExtent l="0" t="0" r="14605" b="1270"/>
                  <wp:wrapNone/>
                  <wp:docPr id="16" name="图片_12"/>
                  <wp:cNvGraphicFramePr/>
                  <a:graphic xmlns:a="http://schemas.openxmlformats.org/drawingml/2006/main">
                    <a:graphicData uri="http://schemas.openxmlformats.org/drawingml/2006/picture">
                      <pic:pic xmlns:pic="http://schemas.openxmlformats.org/drawingml/2006/picture">
                        <pic:nvPicPr>
                          <pic:cNvPr id="16" name="图片_12"/>
                          <pic:cNvPicPr/>
                        </pic:nvPicPr>
                        <pic:blipFill>
                          <a:blip r:embed="rId12"/>
                          <a:stretch>
                            <a:fillRect/>
                          </a:stretch>
                        </pic:blipFill>
                        <pic:spPr>
                          <a:xfrm>
                            <a:off x="0" y="0"/>
                            <a:ext cx="2461895" cy="951230"/>
                          </a:xfrm>
                          <a:prstGeom prst="rect">
                            <a:avLst/>
                          </a:prstGeom>
                          <a:noFill/>
                          <a:ln>
                            <a:noFill/>
                          </a:ln>
                        </pic:spPr>
                      </pic:pic>
                    </a:graphicData>
                  </a:graphic>
                </wp:anchor>
              </w:drawing>
            </w:r>
          </w:p>
        </w:tc>
      </w:tr>
      <w:tr w14:paraId="6CA46B7F">
        <w:tblPrEx>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13C2BE20">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9</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34EF852A">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大会议桌</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12A05D73">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058B71F">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张</w:t>
            </w:r>
          </w:p>
        </w:tc>
        <w:tc>
          <w:tcPr>
            <w:tcW w:w="6413" w:type="dxa"/>
            <w:tcBorders>
              <w:top w:val="single" w:color="000000" w:sz="4" w:space="0"/>
              <w:left w:val="single" w:color="000000" w:sz="4" w:space="0"/>
              <w:bottom w:val="single" w:color="000000" w:sz="4" w:space="0"/>
              <w:right w:val="single" w:color="000000" w:sz="4" w:space="0"/>
            </w:tcBorders>
            <w:noWrap w:val="0"/>
            <w:vAlign w:val="center"/>
          </w:tcPr>
          <w:p w14:paraId="3AC27347">
            <w:pPr>
              <w:widowControl/>
              <w:jc w:val="left"/>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1、贴面材料：采用胡桃木饰面，厚度0.6mm；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2、封边用材：与贴面相同的木皮封边；</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3、基材：采用业内领先品牌的E0级高密度板，优质绿色环保产品，甲醛含量≤1.0mg/L密度≥760kg/m3，静曲张度≥ 51.2Mpa，吸水膨胀率≤8.1%.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4、油漆：面漆采用业内领先品牌得PU聚脂漆，底漆采用PE不饱和树脂漆，符合欧洲环保要求，五底三面工艺，漆膜丰满，漆膜坚硬耐磨、光泽高，油漆表面硬度≥3H；</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5、五金配件：优质五金配件。                                                                            6、规格型号：3200mm*1200mm*750mm。</w:t>
            </w:r>
          </w:p>
        </w:tc>
        <w:tc>
          <w:tcPr>
            <w:tcW w:w="4061" w:type="dxa"/>
            <w:tcBorders>
              <w:top w:val="single" w:color="000000" w:sz="4" w:space="0"/>
              <w:left w:val="single" w:color="000000" w:sz="4" w:space="0"/>
              <w:bottom w:val="single" w:color="000000" w:sz="4" w:space="0"/>
              <w:right w:val="single" w:color="000000" w:sz="4" w:space="0"/>
            </w:tcBorders>
            <w:noWrap/>
            <w:vAlign w:val="center"/>
          </w:tcPr>
          <w:p w14:paraId="6938C1D5">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bdr w:val="single" w:color="000000" w:sz="4" w:space="0"/>
                <w:lang w:bidi="ar"/>
              </w:rPr>
              <w:drawing>
                <wp:anchor distT="0" distB="0" distL="114300" distR="114300" simplePos="0" relativeHeight="251667456" behindDoc="0" locked="0" layoutInCell="1" allowOverlap="1">
                  <wp:simplePos x="0" y="0"/>
                  <wp:positionH relativeFrom="column">
                    <wp:posOffset>57785</wp:posOffset>
                  </wp:positionH>
                  <wp:positionV relativeFrom="paragraph">
                    <wp:posOffset>236220</wp:posOffset>
                  </wp:positionV>
                  <wp:extent cx="2204720" cy="1615440"/>
                  <wp:effectExtent l="0" t="0" r="5080" b="3810"/>
                  <wp:wrapNone/>
                  <wp:docPr id="17" name="图片_16"/>
                  <wp:cNvGraphicFramePr/>
                  <a:graphic xmlns:a="http://schemas.openxmlformats.org/drawingml/2006/main">
                    <a:graphicData uri="http://schemas.openxmlformats.org/drawingml/2006/picture">
                      <pic:pic xmlns:pic="http://schemas.openxmlformats.org/drawingml/2006/picture">
                        <pic:nvPicPr>
                          <pic:cNvPr id="17" name="图片_16"/>
                          <pic:cNvPicPr/>
                        </pic:nvPicPr>
                        <pic:blipFill>
                          <a:blip r:embed="rId13"/>
                          <a:stretch>
                            <a:fillRect/>
                          </a:stretch>
                        </pic:blipFill>
                        <pic:spPr>
                          <a:xfrm>
                            <a:off x="0" y="0"/>
                            <a:ext cx="2204720" cy="1615440"/>
                          </a:xfrm>
                          <a:prstGeom prst="rect">
                            <a:avLst/>
                          </a:prstGeom>
                          <a:noFill/>
                          <a:ln>
                            <a:noFill/>
                          </a:ln>
                        </pic:spPr>
                      </pic:pic>
                    </a:graphicData>
                  </a:graphic>
                </wp:anchor>
              </w:drawing>
            </w:r>
          </w:p>
        </w:tc>
      </w:tr>
      <w:tr w14:paraId="2F7F50A5">
        <w:tblPrEx>
          <w:tblCellMar>
            <w:top w:w="0" w:type="dxa"/>
            <w:left w:w="108" w:type="dxa"/>
            <w:bottom w:w="0" w:type="dxa"/>
            <w:right w:w="108" w:type="dxa"/>
          </w:tblCellMar>
        </w:tblPrEx>
        <w:trPr>
          <w:trHeight w:val="309"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45D90FCA">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10</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0018AB1A">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活动会议桌</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49542437">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C034131">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套</w:t>
            </w:r>
          </w:p>
        </w:tc>
        <w:tc>
          <w:tcPr>
            <w:tcW w:w="6413" w:type="dxa"/>
            <w:tcBorders>
              <w:top w:val="single" w:color="000000" w:sz="4" w:space="0"/>
              <w:left w:val="single" w:color="000000" w:sz="4" w:space="0"/>
              <w:bottom w:val="single" w:color="000000" w:sz="4" w:space="0"/>
              <w:right w:val="single" w:color="000000" w:sz="4" w:space="0"/>
            </w:tcBorders>
            <w:noWrap w:val="0"/>
            <w:vAlign w:val="center"/>
          </w:tcPr>
          <w:p w14:paraId="2390843F">
            <w:pPr>
              <w:widowControl/>
              <w:jc w:val="left"/>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1、采用优质E0级环保板材；</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2、饰面纸：采用</w:t>
            </w:r>
            <w:r>
              <w:rPr>
                <w:rFonts w:hint="eastAsia" w:ascii="宋体" w:hAnsi="宋体" w:cs="宋体"/>
                <w:color w:val="000000"/>
                <w:kern w:val="0"/>
                <w:sz w:val="24"/>
                <w:szCs w:val="24"/>
                <w:highlight w:val="none"/>
                <w:lang w:val="en-US" w:eastAsia="zh-CN" w:bidi="ar"/>
              </w:rPr>
              <w:t>业内领</w:t>
            </w:r>
            <w:r>
              <w:rPr>
                <w:rFonts w:hint="eastAsia" w:ascii="宋体" w:hAnsi="宋体" w:cs="宋体"/>
                <w:color w:val="000000"/>
                <w:kern w:val="0"/>
                <w:sz w:val="24"/>
                <w:szCs w:val="24"/>
                <w:highlight w:val="none"/>
                <w:lang w:bidi="ar"/>
              </w:rPr>
              <w:t>先</w:t>
            </w:r>
            <w:r>
              <w:rPr>
                <w:rFonts w:hint="eastAsia"/>
                <w:highlight w:val="none"/>
                <w:lang w:val="en-US" w:eastAsia="zh-CN"/>
              </w:rPr>
              <w:t>品牌</w:t>
            </w:r>
            <w:r>
              <w:rPr>
                <w:rFonts w:hint="eastAsia" w:ascii="宋体" w:hAnsi="宋体" w:cs="宋体"/>
                <w:color w:val="000000"/>
                <w:kern w:val="0"/>
                <w:sz w:val="24"/>
                <w:szCs w:val="24"/>
                <w:highlight w:val="none"/>
                <w:lang w:bidi="ar"/>
              </w:rPr>
              <w:t>饰面纸；压纹采用钢板，浮雕细腻，质感明显。</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3、PVC封边：采用优质厚PVC封边带，厚度≥2mm；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4、胶水：采用环保热熔胶；</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5、钢制脚架，采用优质冷轧钢折弯而成，表面静电粉末喷涂。                                                   6、规格型号：1400*500*750。</w:t>
            </w:r>
          </w:p>
        </w:tc>
        <w:tc>
          <w:tcPr>
            <w:tcW w:w="4061" w:type="dxa"/>
            <w:tcBorders>
              <w:top w:val="single" w:color="000000" w:sz="4" w:space="0"/>
              <w:left w:val="single" w:color="000000" w:sz="4" w:space="0"/>
              <w:bottom w:val="single" w:color="000000" w:sz="4" w:space="0"/>
              <w:right w:val="single" w:color="000000" w:sz="4" w:space="0"/>
            </w:tcBorders>
            <w:noWrap/>
            <w:vAlign w:val="center"/>
          </w:tcPr>
          <w:p w14:paraId="33B6390E">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bdr w:val="single" w:color="000000" w:sz="4" w:space="0"/>
                <w:lang w:bidi="ar"/>
              </w:rPr>
              <w:drawing>
                <wp:anchor distT="0" distB="0" distL="114300" distR="114300" simplePos="0" relativeHeight="251668480" behindDoc="0" locked="0" layoutInCell="1" allowOverlap="1">
                  <wp:simplePos x="0" y="0"/>
                  <wp:positionH relativeFrom="column">
                    <wp:posOffset>206375</wp:posOffset>
                  </wp:positionH>
                  <wp:positionV relativeFrom="paragraph">
                    <wp:posOffset>271780</wp:posOffset>
                  </wp:positionV>
                  <wp:extent cx="2333625" cy="1275080"/>
                  <wp:effectExtent l="0" t="0" r="9525" b="1270"/>
                  <wp:wrapNone/>
                  <wp:docPr id="18" name="图片_17"/>
                  <wp:cNvGraphicFramePr/>
                  <a:graphic xmlns:a="http://schemas.openxmlformats.org/drawingml/2006/main">
                    <a:graphicData uri="http://schemas.openxmlformats.org/drawingml/2006/picture">
                      <pic:pic xmlns:pic="http://schemas.openxmlformats.org/drawingml/2006/picture">
                        <pic:nvPicPr>
                          <pic:cNvPr id="18" name="图片_17"/>
                          <pic:cNvPicPr/>
                        </pic:nvPicPr>
                        <pic:blipFill>
                          <a:blip r:embed="rId14"/>
                          <a:stretch>
                            <a:fillRect/>
                          </a:stretch>
                        </pic:blipFill>
                        <pic:spPr>
                          <a:xfrm>
                            <a:off x="0" y="0"/>
                            <a:ext cx="2333625" cy="1275080"/>
                          </a:xfrm>
                          <a:prstGeom prst="rect">
                            <a:avLst/>
                          </a:prstGeom>
                          <a:noFill/>
                          <a:ln>
                            <a:noFill/>
                          </a:ln>
                        </pic:spPr>
                      </pic:pic>
                    </a:graphicData>
                  </a:graphic>
                </wp:anchor>
              </w:drawing>
            </w:r>
          </w:p>
        </w:tc>
      </w:tr>
      <w:tr w14:paraId="2585325E">
        <w:tblPrEx>
          <w:tblCellMar>
            <w:top w:w="0" w:type="dxa"/>
            <w:left w:w="108" w:type="dxa"/>
            <w:bottom w:w="0" w:type="dxa"/>
            <w:right w:w="108" w:type="dxa"/>
          </w:tblCellMar>
        </w:tblPrEx>
        <w:trPr>
          <w:trHeight w:val="1880"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49E3CF33">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11</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5E8EEC57">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屏风卡位</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4DE80425">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27BBAAD">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套</w:t>
            </w:r>
          </w:p>
        </w:tc>
        <w:tc>
          <w:tcPr>
            <w:tcW w:w="64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1800E4A">
            <w:pPr>
              <w:widowControl/>
              <w:numPr>
                <w:ilvl w:val="0"/>
                <w:numId w:val="17"/>
              </w:numPr>
              <w:jc w:val="left"/>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框架用材：采用业内领先品牌的优质国标6063硬质合金铝合金型材，铝材壁厚达1.5mm以上，韦氏硬度：11°-14°；局部加强壁厚2.0 mm，韦氏硬度：14°-16°,韦氏硬度及壁厚符合GB/T  3325-1995金属家具通用标准。                                                                                                                                         2、基材：优质E0级刨花板，扪布：采用业内领先品牌的布艺，表面纹理、经纬线、耐色牢度</w:t>
            </w:r>
            <w:r>
              <w:rPr>
                <w:rFonts w:hint="eastAsia" w:ascii="宋体" w:hAnsi="宋体" w:cs="宋体"/>
                <w:color w:val="000000"/>
                <w:kern w:val="0"/>
                <w:sz w:val="24"/>
                <w:szCs w:val="24"/>
                <w:highlight w:val="none"/>
                <w:lang w:val="en-US" w:eastAsia="zh-CN" w:bidi="ar"/>
              </w:rPr>
              <w:t>牢。</w:t>
            </w:r>
          </w:p>
          <w:p w14:paraId="0E0461A7">
            <w:pPr>
              <w:widowControl/>
              <w:numPr>
                <w:ilvl w:val="0"/>
                <w:numId w:val="0"/>
              </w:numPr>
              <w:jc w:val="left"/>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3、涂装：静电喷涂树脂；                                                                                                                                                                                                                                                                            4、功能：内部强弱电走线管理分区，屏风走线面板可翻开便于线路维护检修。                                    5、屏风卡位的规格型号：1400mm*1400mm*1100mm，活动柜的规格型号为标准。</w:t>
            </w:r>
          </w:p>
        </w:tc>
        <w:tc>
          <w:tcPr>
            <w:tcW w:w="4061" w:type="dxa"/>
            <w:tcBorders>
              <w:top w:val="single" w:color="000000" w:sz="4" w:space="0"/>
              <w:left w:val="single" w:color="000000" w:sz="4" w:space="0"/>
              <w:bottom w:val="single" w:color="000000" w:sz="4" w:space="0"/>
              <w:right w:val="single" w:color="000000" w:sz="4" w:space="0"/>
            </w:tcBorders>
            <w:noWrap/>
            <w:vAlign w:val="center"/>
          </w:tcPr>
          <w:p w14:paraId="19C82235">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bdr w:val="single" w:color="000000" w:sz="4" w:space="0"/>
                <w:lang w:bidi="ar"/>
              </w:rPr>
              <w:drawing>
                <wp:anchor distT="0" distB="0" distL="114300" distR="114300" simplePos="0" relativeHeight="251669504" behindDoc="0" locked="0" layoutInCell="1" allowOverlap="1">
                  <wp:simplePos x="0" y="0"/>
                  <wp:positionH relativeFrom="column">
                    <wp:posOffset>280035</wp:posOffset>
                  </wp:positionH>
                  <wp:positionV relativeFrom="paragraph">
                    <wp:posOffset>123190</wp:posOffset>
                  </wp:positionV>
                  <wp:extent cx="1939290" cy="978535"/>
                  <wp:effectExtent l="0" t="0" r="3810" b="12065"/>
                  <wp:wrapNone/>
                  <wp:docPr id="10" name="图片_14"/>
                  <wp:cNvGraphicFramePr/>
                  <a:graphic xmlns:a="http://schemas.openxmlformats.org/drawingml/2006/main">
                    <a:graphicData uri="http://schemas.openxmlformats.org/drawingml/2006/picture">
                      <pic:pic xmlns:pic="http://schemas.openxmlformats.org/drawingml/2006/picture">
                        <pic:nvPicPr>
                          <pic:cNvPr id="10" name="图片_14"/>
                          <pic:cNvPicPr/>
                        </pic:nvPicPr>
                        <pic:blipFill>
                          <a:blip r:embed="rId15"/>
                          <a:stretch>
                            <a:fillRect/>
                          </a:stretch>
                        </pic:blipFill>
                        <pic:spPr>
                          <a:xfrm>
                            <a:off x="0" y="0"/>
                            <a:ext cx="1939290" cy="978535"/>
                          </a:xfrm>
                          <a:prstGeom prst="rect">
                            <a:avLst/>
                          </a:prstGeom>
                          <a:noFill/>
                          <a:ln>
                            <a:noFill/>
                          </a:ln>
                        </pic:spPr>
                      </pic:pic>
                    </a:graphicData>
                  </a:graphic>
                </wp:anchor>
              </w:drawing>
            </w:r>
          </w:p>
        </w:tc>
      </w:tr>
      <w:tr w14:paraId="0AD31BCB">
        <w:tblPrEx>
          <w:tblCellMar>
            <w:top w:w="0" w:type="dxa"/>
            <w:left w:w="108" w:type="dxa"/>
            <w:bottom w:w="0" w:type="dxa"/>
            <w:right w:w="108" w:type="dxa"/>
          </w:tblCellMar>
        </w:tblPrEx>
        <w:trPr>
          <w:trHeight w:val="940"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6E6F0D22">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12</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1BAB6708">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活动柜</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6E96CBA2">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EB38D2F">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套</w:t>
            </w:r>
          </w:p>
        </w:tc>
        <w:tc>
          <w:tcPr>
            <w:tcW w:w="64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295042">
            <w:pPr>
              <w:jc w:val="left"/>
              <w:rPr>
                <w:rFonts w:hint="eastAsia" w:ascii="宋体" w:hAnsi="宋体" w:cs="宋体"/>
                <w:color w:val="000000"/>
                <w:sz w:val="24"/>
                <w:szCs w:val="24"/>
                <w:highlight w:val="none"/>
              </w:rPr>
            </w:pPr>
          </w:p>
        </w:tc>
        <w:tc>
          <w:tcPr>
            <w:tcW w:w="4061" w:type="dxa"/>
            <w:tcBorders>
              <w:top w:val="single" w:color="000000" w:sz="4" w:space="0"/>
              <w:left w:val="single" w:color="000000" w:sz="4" w:space="0"/>
              <w:bottom w:val="single" w:color="000000" w:sz="4" w:space="0"/>
              <w:right w:val="single" w:color="000000" w:sz="4" w:space="0"/>
            </w:tcBorders>
            <w:noWrap/>
            <w:vAlign w:val="center"/>
          </w:tcPr>
          <w:p w14:paraId="2764E551">
            <w:pPr>
              <w:jc w:val="center"/>
              <w:rPr>
                <w:rFonts w:hint="eastAsia" w:ascii="宋体" w:hAnsi="宋体" w:cs="宋体"/>
                <w:color w:val="000000"/>
                <w:sz w:val="20"/>
                <w:highlight w:val="none"/>
              </w:rPr>
            </w:pPr>
          </w:p>
        </w:tc>
      </w:tr>
      <w:tr w14:paraId="7A907BFE">
        <w:tblPrEx>
          <w:tblCellMar>
            <w:top w:w="0" w:type="dxa"/>
            <w:left w:w="108" w:type="dxa"/>
            <w:bottom w:w="0" w:type="dxa"/>
            <w:right w:w="108" w:type="dxa"/>
          </w:tblCellMar>
        </w:tblPrEx>
        <w:trPr>
          <w:trHeight w:val="3060"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43C30149">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13</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346067E9">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茶水柜1</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40203876">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658A015">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张</w:t>
            </w:r>
          </w:p>
        </w:tc>
        <w:tc>
          <w:tcPr>
            <w:tcW w:w="6413" w:type="dxa"/>
            <w:tcBorders>
              <w:top w:val="single" w:color="000000" w:sz="4" w:space="0"/>
              <w:left w:val="single" w:color="000000" w:sz="4" w:space="0"/>
              <w:bottom w:val="single" w:color="000000" w:sz="4" w:space="0"/>
              <w:right w:val="single" w:color="000000" w:sz="4" w:space="0"/>
            </w:tcBorders>
            <w:noWrap w:val="0"/>
            <w:vAlign w:val="center"/>
          </w:tcPr>
          <w:p w14:paraId="3523F32F">
            <w:pPr>
              <w:widowControl/>
              <w:jc w:val="left"/>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1、贴面材料：采用胡桃木饰面，厚度0.6mm；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2、封边用材：与贴面相同的木皮封边；</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3、基材：采用业内领先品牌的E0级高密度板，优质绿色环保产品，甲醛含量≤1.0mg/L密度≥760kg/m3，静曲张度≥ 51.2Mpa，吸水膨胀率≤8.1%.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4、油漆：面漆采用业内领先品牌的PU聚脂漆，底漆采用PE不饱和树脂漆，符合欧洲环保要求，五底三面工艺，漆膜丰满，漆膜坚硬耐磨、光泽高，油漆表面硬度≥3H；</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5、五金配件：优质五金配件。                                                                          6、规格型号：标准。</w:t>
            </w:r>
          </w:p>
        </w:tc>
        <w:tc>
          <w:tcPr>
            <w:tcW w:w="4061" w:type="dxa"/>
            <w:tcBorders>
              <w:top w:val="single" w:color="000000" w:sz="4" w:space="0"/>
              <w:left w:val="single" w:color="000000" w:sz="4" w:space="0"/>
              <w:bottom w:val="single" w:color="000000" w:sz="4" w:space="0"/>
              <w:right w:val="single" w:color="000000" w:sz="4" w:space="0"/>
            </w:tcBorders>
            <w:noWrap/>
            <w:vAlign w:val="center"/>
          </w:tcPr>
          <w:p w14:paraId="700283A7">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bdr w:val="single" w:color="000000" w:sz="4" w:space="0"/>
                <w:lang w:bidi="ar"/>
              </w:rPr>
              <w:drawing>
                <wp:anchor distT="0" distB="0" distL="114300" distR="114300" simplePos="0" relativeHeight="251670528" behindDoc="0" locked="0" layoutInCell="1" allowOverlap="1">
                  <wp:simplePos x="0" y="0"/>
                  <wp:positionH relativeFrom="column">
                    <wp:posOffset>567055</wp:posOffset>
                  </wp:positionH>
                  <wp:positionV relativeFrom="paragraph">
                    <wp:posOffset>38100</wp:posOffset>
                  </wp:positionV>
                  <wp:extent cx="1732915" cy="1806575"/>
                  <wp:effectExtent l="0" t="0" r="635" b="3175"/>
                  <wp:wrapNone/>
                  <wp:docPr id="11" name="图片_2"/>
                  <wp:cNvGraphicFramePr/>
                  <a:graphic xmlns:a="http://schemas.openxmlformats.org/drawingml/2006/main">
                    <a:graphicData uri="http://schemas.openxmlformats.org/drawingml/2006/picture">
                      <pic:pic xmlns:pic="http://schemas.openxmlformats.org/drawingml/2006/picture">
                        <pic:nvPicPr>
                          <pic:cNvPr id="11" name="图片_2"/>
                          <pic:cNvPicPr/>
                        </pic:nvPicPr>
                        <pic:blipFill>
                          <a:blip r:embed="rId16"/>
                          <a:stretch>
                            <a:fillRect/>
                          </a:stretch>
                        </pic:blipFill>
                        <pic:spPr>
                          <a:xfrm>
                            <a:off x="0" y="0"/>
                            <a:ext cx="1732915" cy="1806575"/>
                          </a:xfrm>
                          <a:prstGeom prst="rect">
                            <a:avLst/>
                          </a:prstGeom>
                          <a:noFill/>
                          <a:ln>
                            <a:noFill/>
                          </a:ln>
                        </pic:spPr>
                      </pic:pic>
                    </a:graphicData>
                  </a:graphic>
                </wp:anchor>
              </w:drawing>
            </w:r>
          </w:p>
        </w:tc>
      </w:tr>
      <w:tr w14:paraId="1D5FF5A2">
        <w:tblPrEx>
          <w:tblCellMar>
            <w:top w:w="0" w:type="dxa"/>
            <w:left w:w="108" w:type="dxa"/>
            <w:bottom w:w="0" w:type="dxa"/>
            <w:right w:w="108" w:type="dxa"/>
          </w:tblCellMar>
        </w:tblPrEx>
        <w:trPr>
          <w:trHeight w:val="2500"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3237D165">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14</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470863CF">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茶水柜2</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47AA3787">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26DE828">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张</w:t>
            </w:r>
          </w:p>
        </w:tc>
        <w:tc>
          <w:tcPr>
            <w:tcW w:w="6413" w:type="dxa"/>
            <w:tcBorders>
              <w:top w:val="single" w:color="000000" w:sz="4" w:space="0"/>
              <w:left w:val="single" w:color="000000" w:sz="4" w:space="0"/>
              <w:bottom w:val="single" w:color="000000" w:sz="4" w:space="0"/>
              <w:right w:val="single" w:color="000000" w:sz="4" w:space="0"/>
            </w:tcBorders>
            <w:noWrap w:val="0"/>
            <w:vAlign w:val="center"/>
          </w:tcPr>
          <w:p w14:paraId="2C9AED8C">
            <w:pPr>
              <w:widowControl/>
              <w:jc w:val="left"/>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1、贴面用材：采用业内领先品牌的饰面，压纹采用钢板，浮雕细腻，质感明显，具有色泽鲜亮、色牢度高等特点，可保持十年以上不褪色，饰面后板材环保等级可达到E0级，燃烧性能达到GB/T8626所规定的指标；</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2、基料板材：选用业内领先品牌的E0级实木颗粒板；</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3、封边：采用优质厚PVC封边带，厚度≥2mm。                                                   4、规格型号：1200mm*400mm*1000mm。</w:t>
            </w:r>
          </w:p>
        </w:tc>
        <w:tc>
          <w:tcPr>
            <w:tcW w:w="4061" w:type="dxa"/>
            <w:tcBorders>
              <w:top w:val="single" w:color="000000" w:sz="4" w:space="0"/>
              <w:left w:val="single" w:color="000000" w:sz="4" w:space="0"/>
              <w:bottom w:val="single" w:color="000000" w:sz="4" w:space="0"/>
              <w:right w:val="single" w:color="000000" w:sz="4" w:space="0"/>
            </w:tcBorders>
            <w:noWrap/>
            <w:vAlign w:val="center"/>
          </w:tcPr>
          <w:p w14:paraId="457C4C0D">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bdr w:val="single" w:color="000000" w:sz="4" w:space="0"/>
                <w:lang w:bidi="ar"/>
              </w:rPr>
              <w:drawing>
                <wp:anchor distT="0" distB="0" distL="114300" distR="114300" simplePos="0" relativeHeight="251671552" behindDoc="0" locked="0" layoutInCell="1" allowOverlap="1">
                  <wp:simplePos x="0" y="0"/>
                  <wp:positionH relativeFrom="column">
                    <wp:posOffset>287020</wp:posOffset>
                  </wp:positionH>
                  <wp:positionV relativeFrom="paragraph">
                    <wp:posOffset>67945</wp:posOffset>
                  </wp:positionV>
                  <wp:extent cx="2033905" cy="1445260"/>
                  <wp:effectExtent l="0" t="0" r="4445" b="2540"/>
                  <wp:wrapNone/>
                  <wp:docPr id="12" name="图片_8"/>
                  <wp:cNvGraphicFramePr/>
                  <a:graphic xmlns:a="http://schemas.openxmlformats.org/drawingml/2006/main">
                    <a:graphicData uri="http://schemas.openxmlformats.org/drawingml/2006/picture">
                      <pic:pic xmlns:pic="http://schemas.openxmlformats.org/drawingml/2006/picture">
                        <pic:nvPicPr>
                          <pic:cNvPr id="12" name="图片_8"/>
                          <pic:cNvPicPr/>
                        </pic:nvPicPr>
                        <pic:blipFill>
                          <a:blip r:embed="rId17"/>
                          <a:stretch>
                            <a:fillRect/>
                          </a:stretch>
                        </pic:blipFill>
                        <pic:spPr>
                          <a:xfrm>
                            <a:off x="0" y="0"/>
                            <a:ext cx="2033905" cy="1445260"/>
                          </a:xfrm>
                          <a:prstGeom prst="rect">
                            <a:avLst/>
                          </a:prstGeom>
                          <a:noFill/>
                          <a:ln>
                            <a:noFill/>
                          </a:ln>
                        </pic:spPr>
                      </pic:pic>
                    </a:graphicData>
                  </a:graphic>
                </wp:anchor>
              </w:drawing>
            </w:r>
          </w:p>
        </w:tc>
      </w:tr>
      <w:tr w14:paraId="28FD8298">
        <w:tblPrEx>
          <w:tblCellMar>
            <w:top w:w="0" w:type="dxa"/>
            <w:left w:w="108" w:type="dxa"/>
            <w:bottom w:w="0" w:type="dxa"/>
            <w:right w:w="108" w:type="dxa"/>
          </w:tblCellMar>
        </w:tblPrEx>
        <w:trPr>
          <w:trHeight w:val="2780"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46D76749">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15</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6072A64A">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办公桌1</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4E493BA4">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8400F81">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套</w:t>
            </w:r>
          </w:p>
        </w:tc>
        <w:tc>
          <w:tcPr>
            <w:tcW w:w="6413" w:type="dxa"/>
            <w:tcBorders>
              <w:top w:val="single" w:color="000000" w:sz="4" w:space="0"/>
              <w:left w:val="single" w:color="000000" w:sz="4" w:space="0"/>
              <w:bottom w:val="single" w:color="000000" w:sz="4" w:space="0"/>
              <w:right w:val="single" w:color="000000" w:sz="4" w:space="0"/>
            </w:tcBorders>
            <w:noWrap w:val="0"/>
            <w:vAlign w:val="center"/>
          </w:tcPr>
          <w:p w14:paraId="482907DE">
            <w:pPr>
              <w:widowControl/>
              <w:jc w:val="left"/>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1、贴面用材：采用业内领先品牌的饰面，压纹采用钢板，浮雕细腻，质感明显，具有色泽鲜亮、色牢度高等特点，可保持十年以上不褪色，饰面后板材环保等级可达到E0级，燃烧性能达到GB/T8626所规定的指标；</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2、基料板材：选用业内领先品牌的E0级实木颗粒板；</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3、封边：采用优质厚PVC封边带，厚度≥2mm。                                                       4、规格型号：1400mm*600mm*750mm。</w:t>
            </w:r>
          </w:p>
        </w:tc>
        <w:tc>
          <w:tcPr>
            <w:tcW w:w="4061" w:type="dxa"/>
            <w:tcBorders>
              <w:top w:val="single" w:color="000000" w:sz="4" w:space="0"/>
              <w:left w:val="single" w:color="000000" w:sz="4" w:space="0"/>
              <w:bottom w:val="single" w:color="000000" w:sz="4" w:space="0"/>
              <w:right w:val="single" w:color="000000" w:sz="4" w:space="0"/>
            </w:tcBorders>
            <w:noWrap/>
            <w:vAlign w:val="center"/>
          </w:tcPr>
          <w:p w14:paraId="75E7DBCE">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bdr w:val="single" w:color="000000" w:sz="4" w:space="0"/>
                <w:lang w:bidi="ar"/>
              </w:rPr>
              <w:drawing>
                <wp:anchor distT="0" distB="0" distL="114300" distR="114300" simplePos="0" relativeHeight="251672576" behindDoc="0" locked="0" layoutInCell="1" allowOverlap="1">
                  <wp:simplePos x="0" y="0"/>
                  <wp:positionH relativeFrom="column">
                    <wp:posOffset>668020</wp:posOffset>
                  </wp:positionH>
                  <wp:positionV relativeFrom="paragraph">
                    <wp:posOffset>89535</wp:posOffset>
                  </wp:positionV>
                  <wp:extent cx="1730375" cy="1586230"/>
                  <wp:effectExtent l="0" t="0" r="3175" b="13970"/>
                  <wp:wrapNone/>
                  <wp:docPr id="6" name="图片_3"/>
                  <wp:cNvGraphicFramePr/>
                  <a:graphic xmlns:a="http://schemas.openxmlformats.org/drawingml/2006/main">
                    <a:graphicData uri="http://schemas.openxmlformats.org/drawingml/2006/picture">
                      <pic:pic xmlns:pic="http://schemas.openxmlformats.org/drawingml/2006/picture">
                        <pic:nvPicPr>
                          <pic:cNvPr id="6" name="图片_3"/>
                          <pic:cNvPicPr/>
                        </pic:nvPicPr>
                        <pic:blipFill>
                          <a:blip r:embed="rId18"/>
                          <a:stretch>
                            <a:fillRect/>
                          </a:stretch>
                        </pic:blipFill>
                        <pic:spPr>
                          <a:xfrm>
                            <a:off x="0" y="0"/>
                            <a:ext cx="1730375" cy="1586230"/>
                          </a:xfrm>
                          <a:prstGeom prst="rect">
                            <a:avLst/>
                          </a:prstGeom>
                          <a:noFill/>
                          <a:ln>
                            <a:noFill/>
                          </a:ln>
                        </pic:spPr>
                      </pic:pic>
                    </a:graphicData>
                  </a:graphic>
                </wp:anchor>
              </w:drawing>
            </w:r>
          </w:p>
        </w:tc>
      </w:tr>
      <w:tr w14:paraId="2AC30D5E">
        <w:tblPrEx>
          <w:tblCellMar>
            <w:top w:w="0" w:type="dxa"/>
            <w:left w:w="108" w:type="dxa"/>
            <w:bottom w:w="0" w:type="dxa"/>
            <w:right w:w="108" w:type="dxa"/>
          </w:tblCellMar>
        </w:tblPrEx>
        <w:trPr>
          <w:trHeight w:val="2975"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61C4349A">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16</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21FF308F">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办公桌2</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1023910C">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D745FC1">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张</w:t>
            </w:r>
          </w:p>
        </w:tc>
        <w:tc>
          <w:tcPr>
            <w:tcW w:w="6413" w:type="dxa"/>
            <w:tcBorders>
              <w:top w:val="single" w:color="000000" w:sz="4" w:space="0"/>
              <w:left w:val="single" w:color="000000" w:sz="4" w:space="0"/>
              <w:bottom w:val="single" w:color="000000" w:sz="4" w:space="0"/>
              <w:right w:val="single" w:color="000000" w:sz="4" w:space="0"/>
            </w:tcBorders>
            <w:noWrap w:val="0"/>
            <w:vAlign w:val="center"/>
          </w:tcPr>
          <w:p w14:paraId="7ECAE6F4">
            <w:pPr>
              <w:widowControl/>
              <w:jc w:val="left"/>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1、采用国优质E0级环保高密度刨花板；</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2、饰面纸：采用领先品牌的饰面纸；压纹采用钢板，浮雕细腻，质感明显。</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3、PVC封边：采用优质厚PVC封边带，厚度≥2mm；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4、胶水：采用知名热熔胶品牌；</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5、五金配件：采用品牌优质五金连接件。                                                                                                                                                               6、结构：附柜采用45度拼接结构，拉米诺连接方式。                                                 7、规格型号：1600mm*1600mm*750mm。</w:t>
            </w:r>
          </w:p>
        </w:tc>
        <w:tc>
          <w:tcPr>
            <w:tcW w:w="4061" w:type="dxa"/>
            <w:tcBorders>
              <w:top w:val="single" w:color="000000" w:sz="4" w:space="0"/>
              <w:left w:val="single" w:color="000000" w:sz="4" w:space="0"/>
              <w:bottom w:val="single" w:color="000000" w:sz="4" w:space="0"/>
              <w:right w:val="single" w:color="000000" w:sz="4" w:space="0"/>
            </w:tcBorders>
            <w:noWrap/>
            <w:vAlign w:val="center"/>
          </w:tcPr>
          <w:p w14:paraId="3773D080">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bdr w:val="single" w:color="000000" w:sz="4" w:space="0"/>
                <w:lang w:bidi="ar"/>
              </w:rPr>
              <w:drawing>
                <wp:anchor distT="0" distB="0" distL="114300" distR="114300" simplePos="0" relativeHeight="251673600" behindDoc="0" locked="0" layoutInCell="1" allowOverlap="1">
                  <wp:simplePos x="0" y="0"/>
                  <wp:positionH relativeFrom="column">
                    <wp:posOffset>299085</wp:posOffset>
                  </wp:positionH>
                  <wp:positionV relativeFrom="paragraph">
                    <wp:posOffset>94615</wp:posOffset>
                  </wp:positionV>
                  <wp:extent cx="2159000" cy="1299845"/>
                  <wp:effectExtent l="0" t="0" r="12700" b="14605"/>
                  <wp:wrapNone/>
                  <wp:docPr id="8" name="图片_22"/>
                  <wp:cNvGraphicFramePr/>
                  <a:graphic xmlns:a="http://schemas.openxmlformats.org/drawingml/2006/main">
                    <a:graphicData uri="http://schemas.openxmlformats.org/drawingml/2006/picture">
                      <pic:pic xmlns:pic="http://schemas.openxmlformats.org/drawingml/2006/picture">
                        <pic:nvPicPr>
                          <pic:cNvPr id="8" name="图片_22"/>
                          <pic:cNvPicPr/>
                        </pic:nvPicPr>
                        <pic:blipFill>
                          <a:blip r:embed="rId19"/>
                          <a:stretch>
                            <a:fillRect/>
                          </a:stretch>
                        </pic:blipFill>
                        <pic:spPr>
                          <a:xfrm>
                            <a:off x="0" y="0"/>
                            <a:ext cx="2159000" cy="1299845"/>
                          </a:xfrm>
                          <a:prstGeom prst="rect">
                            <a:avLst/>
                          </a:prstGeom>
                          <a:noFill/>
                          <a:ln>
                            <a:noFill/>
                          </a:ln>
                        </pic:spPr>
                      </pic:pic>
                    </a:graphicData>
                  </a:graphic>
                </wp:anchor>
              </w:drawing>
            </w:r>
          </w:p>
        </w:tc>
      </w:tr>
      <w:tr w14:paraId="3A693052">
        <w:tblPrEx>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2AE26AC4">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17</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13F0DB1E">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沙发</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3464239B">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62CD09F">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张</w:t>
            </w:r>
          </w:p>
        </w:tc>
        <w:tc>
          <w:tcPr>
            <w:tcW w:w="6413" w:type="dxa"/>
            <w:tcBorders>
              <w:top w:val="single" w:color="000000" w:sz="4" w:space="0"/>
              <w:left w:val="single" w:color="000000" w:sz="4" w:space="0"/>
              <w:bottom w:val="single" w:color="000000" w:sz="4" w:space="0"/>
              <w:right w:val="single" w:color="000000" w:sz="4" w:space="0"/>
            </w:tcBorders>
            <w:noWrap w:val="0"/>
            <w:vAlign w:val="center"/>
          </w:tcPr>
          <w:p w14:paraId="28054DC5">
            <w:pPr>
              <w:widowControl/>
              <w:jc w:val="left"/>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1、面材：采用</w:t>
            </w:r>
            <w:r>
              <w:rPr>
                <w:rFonts w:hint="eastAsia" w:ascii="宋体" w:hAnsi="宋体" w:cs="宋体"/>
                <w:color w:val="000000"/>
                <w:kern w:val="0"/>
                <w:sz w:val="24"/>
                <w:szCs w:val="24"/>
                <w:highlight w:val="yellow"/>
                <w:lang w:eastAsia="zh-CN" w:bidi="ar"/>
              </w:rPr>
              <w:t>优质西皮</w:t>
            </w:r>
            <w:r>
              <w:rPr>
                <w:rFonts w:hint="eastAsia" w:ascii="宋体" w:hAnsi="宋体" w:cs="宋体"/>
                <w:color w:val="000000"/>
                <w:kern w:val="0"/>
                <w:sz w:val="24"/>
                <w:szCs w:val="24"/>
                <w:highlight w:val="none"/>
                <w:lang w:bidi="ar"/>
              </w:rPr>
              <w:t xml:space="preserve">，皮面厚实而且柔软，富于韧性，皮面光泽度好，透气性强，经液态浸色及防潮、防污等工艺处理。                                         2、内部材料：采用PU成型阻燃发泡高密度海绵,表面有一层保护面,可防氧化，防碎，经过HD测试不易变形，定型棉工艺结构，高强度蛇型拉力筋结构，能均匀承托负重，在长期负重状态下性能保持良好，耐久不变形，高回弹，耐冲击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3、框架：采用松木材质，材质坚硬钢性强，木材含水水率低于9%，经过高温高压、防虫防腐等处理，不易变形折断，钢制脚架。                                                                                    4、规格：</w:t>
            </w:r>
            <w:r>
              <w:rPr>
                <w:rFonts w:hint="eastAsia" w:ascii="宋体" w:hAnsi="宋体" w:cs="宋体"/>
                <w:color w:val="000000"/>
                <w:kern w:val="0"/>
                <w:sz w:val="24"/>
                <w:szCs w:val="24"/>
                <w:highlight w:val="none"/>
                <w:lang w:val="en-US" w:eastAsia="zh-CN" w:bidi="ar"/>
              </w:rPr>
              <w:t>1600</w:t>
            </w:r>
            <w:r>
              <w:rPr>
                <w:rFonts w:hint="eastAsia" w:ascii="宋体" w:hAnsi="宋体" w:cs="宋体"/>
                <w:color w:val="000000"/>
                <w:kern w:val="0"/>
                <w:sz w:val="24"/>
                <w:szCs w:val="24"/>
                <w:highlight w:val="none"/>
                <w:lang w:bidi="ar"/>
              </w:rPr>
              <w:t>mm*</w:t>
            </w:r>
            <w:r>
              <w:rPr>
                <w:rFonts w:hint="eastAsia" w:ascii="宋体" w:hAnsi="宋体" w:cs="宋体"/>
                <w:color w:val="000000"/>
                <w:kern w:val="0"/>
                <w:sz w:val="24"/>
                <w:szCs w:val="24"/>
                <w:highlight w:val="none"/>
                <w:lang w:val="en-US" w:eastAsia="zh-CN" w:bidi="ar"/>
              </w:rPr>
              <w:t>80</w:t>
            </w:r>
            <w:r>
              <w:rPr>
                <w:rFonts w:hint="eastAsia" w:ascii="宋体" w:hAnsi="宋体" w:cs="宋体"/>
                <w:color w:val="000000"/>
                <w:kern w:val="0"/>
                <w:sz w:val="24"/>
                <w:szCs w:val="24"/>
                <w:highlight w:val="none"/>
                <w:lang w:bidi="ar"/>
              </w:rPr>
              <w:t>0mm*</w:t>
            </w:r>
            <w:r>
              <w:rPr>
                <w:rFonts w:hint="eastAsia" w:ascii="宋体" w:hAnsi="宋体" w:cs="宋体"/>
                <w:color w:val="000000"/>
                <w:kern w:val="0"/>
                <w:sz w:val="24"/>
                <w:szCs w:val="24"/>
                <w:highlight w:val="none"/>
                <w:lang w:val="en-US" w:eastAsia="zh-CN" w:bidi="ar"/>
              </w:rPr>
              <w:t>820m</w:t>
            </w:r>
            <w:r>
              <w:rPr>
                <w:rFonts w:hint="eastAsia" w:ascii="宋体" w:hAnsi="宋体" w:cs="宋体"/>
                <w:color w:val="000000"/>
                <w:kern w:val="0"/>
                <w:sz w:val="24"/>
                <w:szCs w:val="24"/>
                <w:highlight w:val="none"/>
                <w:lang w:bidi="ar"/>
              </w:rPr>
              <w:t>m</w:t>
            </w: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val="en-US" w:eastAsia="zh-CN" w:bidi="ar"/>
              </w:rPr>
              <w:t>可上下浮动20mm</w:t>
            </w:r>
            <w:r>
              <w:rPr>
                <w:rFonts w:hint="eastAsia" w:ascii="宋体" w:hAnsi="宋体" w:cs="宋体"/>
                <w:color w:val="000000"/>
                <w:kern w:val="0"/>
                <w:sz w:val="24"/>
                <w:szCs w:val="24"/>
                <w:highlight w:val="none"/>
                <w:lang w:bidi="ar"/>
              </w:rPr>
              <w:t>。。</w:t>
            </w:r>
          </w:p>
        </w:tc>
        <w:tc>
          <w:tcPr>
            <w:tcW w:w="4061" w:type="dxa"/>
            <w:tcBorders>
              <w:top w:val="single" w:color="000000" w:sz="4" w:space="0"/>
              <w:left w:val="single" w:color="000000" w:sz="4" w:space="0"/>
              <w:bottom w:val="single" w:color="000000" w:sz="4" w:space="0"/>
              <w:right w:val="single" w:color="000000" w:sz="4" w:space="0"/>
            </w:tcBorders>
            <w:noWrap/>
            <w:vAlign w:val="center"/>
          </w:tcPr>
          <w:p w14:paraId="63237100">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bdr w:val="single" w:color="000000" w:sz="4" w:space="0"/>
                <w:lang w:bidi="ar"/>
              </w:rPr>
              <w:drawing>
                <wp:anchor distT="0" distB="0" distL="114300" distR="114300" simplePos="0" relativeHeight="251674624" behindDoc="0" locked="0" layoutInCell="1" allowOverlap="1">
                  <wp:simplePos x="0" y="0"/>
                  <wp:positionH relativeFrom="column">
                    <wp:posOffset>204470</wp:posOffset>
                  </wp:positionH>
                  <wp:positionV relativeFrom="paragraph">
                    <wp:posOffset>-319405</wp:posOffset>
                  </wp:positionV>
                  <wp:extent cx="1859280" cy="1338580"/>
                  <wp:effectExtent l="0" t="0" r="7620" b="13970"/>
                  <wp:wrapNone/>
                  <wp:docPr id="7" name="图片_4"/>
                  <wp:cNvGraphicFramePr/>
                  <a:graphic xmlns:a="http://schemas.openxmlformats.org/drawingml/2006/main">
                    <a:graphicData uri="http://schemas.openxmlformats.org/drawingml/2006/picture">
                      <pic:pic xmlns:pic="http://schemas.openxmlformats.org/drawingml/2006/picture">
                        <pic:nvPicPr>
                          <pic:cNvPr id="7" name="图片_4"/>
                          <pic:cNvPicPr/>
                        </pic:nvPicPr>
                        <pic:blipFill>
                          <a:blip r:embed="rId20"/>
                          <a:stretch>
                            <a:fillRect/>
                          </a:stretch>
                        </pic:blipFill>
                        <pic:spPr>
                          <a:xfrm>
                            <a:off x="0" y="0"/>
                            <a:ext cx="1859280" cy="1338580"/>
                          </a:xfrm>
                          <a:prstGeom prst="rect">
                            <a:avLst/>
                          </a:prstGeom>
                          <a:noFill/>
                          <a:ln>
                            <a:noFill/>
                          </a:ln>
                        </pic:spPr>
                      </pic:pic>
                    </a:graphicData>
                  </a:graphic>
                </wp:anchor>
              </w:drawing>
            </w:r>
          </w:p>
        </w:tc>
      </w:tr>
      <w:tr w14:paraId="56688B83">
        <w:tblPrEx>
          <w:tblCellMar>
            <w:top w:w="0" w:type="dxa"/>
            <w:left w:w="108" w:type="dxa"/>
            <w:bottom w:w="0" w:type="dxa"/>
            <w:right w:w="108" w:type="dxa"/>
          </w:tblCellMar>
        </w:tblPrEx>
        <w:trPr>
          <w:trHeight w:val="2180"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3BB9F36C">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18</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7D5A778B">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茶几</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3C57D01F">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F86C8B2">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张</w:t>
            </w:r>
          </w:p>
        </w:tc>
        <w:tc>
          <w:tcPr>
            <w:tcW w:w="6413" w:type="dxa"/>
            <w:tcBorders>
              <w:top w:val="single" w:color="000000" w:sz="4" w:space="0"/>
              <w:left w:val="single" w:color="000000" w:sz="4" w:space="0"/>
              <w:bottom w:val="single" w:color="000000" w:sz="4" w:space="0"/>
              <w:right w:val="single" w:color="000000" w:sz="4" w:space="0"/>
            </w:tcBorders>
            <w:noWrap w:val="0"/>
            <w:vAlign w:val="center"/>
          </w:tcPr>
          <w:p w14:paraId="6B395254">
            <w:pPr>
              <w:widowControl/>
              <w:jc w:val="left"/>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1、采用国优质E0级环保高密度刨花板；</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2、饰面纸：采用领先品牌的饰面纸；压纹采用钢板，浮雕细腻，质感明显。</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3、PVC封边：采用优质厚PVC封边带，厚度≥2mm；</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4、胶水：采用知名热熔胶品牌；</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5、五金配件：采用品牌优质五金连接件。                                                         6、规格：</w:t>
            </w:r>
            <w:r>
              <w:rPr>
                <w:rFonts w:hint="eastAsia" w:ascii="宋体" w:hAnsi="宋体" w:cs="宋体"/>
                <w:color w:val="000000"/>
                <w:kern w:val="0"/>
                <w:sz w:val="24"/>
                <w:szCs w:val="24"/>
                <w:highlight w:val="none"/>
                <w:lang w:val="en-US" w:eastAsia="zh-CN" w:bidi="ar"/>
              </w:rPr>
              <w:t>1200</w:t>
            </w:r>
            <w:r>
              <w:rPr>
                <w:rFonts w:hint="eastAsia" w:ascii="宋体" w:hAnsi="宋体" w:cs="宋体"/>
                <w:color w:val="000000"/>
                <w:kern w:val="0"/>
                <w:sz w:val="24"/>
                <w:szCs w:val="24"/>
                <w:highlight w:val="none"/>
                <w:lang w:bidi="ar"/>
              </w:rPr>
              <w:t>mm*</w:t>
            </w:r>
            <w:r>
              <w:rPr>
                <w:rFonts w:hint="eastAsia" w:ascii="宋体" w:hAnsi="宋体" w:cs="宋体"/>
                <w:color w:val="000000"/>
                <w:kern w:val="0"/>
                <w:sz w:val="24"/>
                <w:szCs w:val="24"/>
                <w:highlight w:val="none"/>
                <w:lang w:val="en-US" w:eastAsia="zh-CN" w:bidi="ar"/>
              </w:rPr>
              <w:t>60</w:t>
            </w:r>
            <w:r>
              <w:rPr>
                <w:rFonts w:hint="eastAsia" w:ascii="宋体" w:hAnsi="宋体" w:cs="宋体"/>
                <w:color w:val="000000"/>
                <w:kern w:val="0"/>
                <w:sz w:val="24"/>
                <w:szCs w:val="24"/>
                <w:highlight w:val="none"/>
                <w:lang w:bidi="ar"/>
              </w:rPr>
              <w:t>0mm*</w:t>
            </w:r>
            <w:r>
              <w:rPr>
                <w:rFonts w:hint="eastAsia" w:ascii="宋体" w:hAnsi="宋体" w:cs="宋体"/>
                <w:color w:val="000000"/>
                <w:kern w:val="0"/>
                <w:sz w:val="24"/>
                <w:szCs w:val="24"/>
                <w:highlight w:val="none"/>
                <w:lang w:val="en-US" w:eastAsia="zh-CN" w:bidi="ar"/>
              </w:rPr>
              <w:t>420m</w:t>
            </w:r>
            <w:r>
              <w:rPr>
                <w:rFonts w:hint="eastAsia" w:ascii="宋体" w:hAnsi="宋体" w:cs="宋体"/>
                <w:color w:val="000000"/>
                <w:kern w:val="0"/>
                <w:sz w:val="24"/>
                <w:szCs w:val="24"/>
                <w:highlight w:val="none"/>
                <w:lang w:bidi="ar"/>
              </w:rPr>
              <w:t>m</w:t>
            </w: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val="en-US" w:eastAsia="zh-CN" w:bidi="ar"/>
              </w:rPr>
              <w:t>可上下浮动20mm</w:t>
            </w:r>
            <w:r>
              <w:rPr>
                <w:rFonts w:hint="eastAsia" w:ascii="宋体" w:hAnsi="宋体" w:cs="宋体"/>
                <w:color w:val="000000"/>
                <w:kern w:val="0"/>
                <w:sz w:val="24"/>
                <w:szCs w:val="24"/>
                <w:highlight w:val="none"/>
                <w:lang w:bidi="ar"/>
              </w:rPr>
              <w:t>。</w:t>
            </w:r>
          </w:p>
        </w:tc>
        <w:tc>
          <w:tcPr>
            <w:tcW w:w="4061" w:type="dxa"/>
            <w:tcBorders>
              <w:top w:val="single" w:color="000000" w:sz="4" w:space="0"/>
              <w:left w:val="single" w:color="000000" w:sz="4" w:space="0"/>
              <w:bottom w:val="single" w:color="000000" w:sz="4" w:space="0"/>
              <w:right w:val="single" w:color="000000" w:sz="4" w:space="0"/>
            </w:tcBorders>
            <w:noWrap/>
            <w:vAlign w:val="center"/>
          </w:tcPr>
          <w:p w14:paraId="7E647674">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bdr w:val="single" w:color="000000" w:sz="4" w:space="0"/>
                <w:lang w:bidi="ar"/>
              </w:rPr>
              <w:drawing>
                <wp:anchor distT="0" distB="0" distL="114300" distR="114300" simplePos="0" relativeHeight="251675648" behindDoc="0" locked="0" layoutInCell="1" allowOverlap="1">
                  <wp:simplePos x="0" y="0"/>
                  <wp:positionH relativeFrom="column">
                    <wp:posOffset>208280</wp:posOffset>
                  </wp:positionH>
                  <wp:positionV relativeFrom="paragraph">
                    <wp:posOffset>50165</wp:posOffset>
                  </wp:positionV>
                  <wp:extent cx="2204085" cy="1216660"/>
                  <wp:effectExtent l="0" t="0" r="5715" b="2540"/>
                  <wp:wrapNone/>
                  <wp:docPr id="9" name="图片_23"/>
                  <wp:cNvGraphicFramePr/>
                  <a:graphic xmlns:a="http://schemas.openxmlformats.org/drawingml/2006/main">
                    <a:graphicData uri="http://schemas.openxmlformats.org/drawingml/2006/picture">
                      <pic:pic xmlns:pic="http://schemas.openxmlformats.org/drawingml/2006/picture">
                        <pic:nvPicPr>
                          <pic:cNvPr id="9" name="图片_23"/>
                          <pic:cNvPicPr/>
                        </pic:nvPicPr>
                        <pic:blipFill>
                          <a:blip r:embed="rId21"/>
                          <a:stretch>
                            <a:fillRect/>
                          </a:stretch>
                        </pic:blipFill>
                        <pic:spPr>
                          <a:xfrm>
                            <a:off x="0" y="0"/>
                            <a:ext cx="2204085" cy="1216660"/>
                          </a:xfrm>
                          <a:prstGeom prst="rect">
                            <a:avLst/>
                          </a:prstGeom>
                          <a:noFill/>
                          <a:ln>
                            <a:noFill/>
                          </a:ln>
                        </pic:spPr>
                      </pic:pic>
                    </a:graphicData>
                  </a:graphic>
                </wp:anchor>
              </w:drawing>
            </w:r>
          </w:p>
        </w:tc>
      </w:tr>
      <w:tr w14:paraId="0ED1B993">
        <w:tblPrEx>
          <w:tblCellMar>
            <w:top w:w="0" w:type="dxa"/>
            <w:left w:w="108" w:type="dxa"/>
            <w:bottom w:w="0" w:type="dxa"/>
            <w:right w:w="108" w:type="dxa"/>
          </w:tblCellMar>
        </w:tblPrEx>
        <w:trPr>
          <w:trHeight w:val="2880"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044BA54C">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19</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16DA7CD4">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文件柜</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53606DD0">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30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FF0460A">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个</w:t>
            </w:r>
          </w:p>
        </w:tc>
        <w:tc>
          <w:tcPr>
            <w:tcW w:w="6413" w:type="dxa"/>
            <w:tcBorders>
              <w:top w:val="single" w:color="000000" w:sz="4" w:space="0"/>
              <w:left w:val="single" w:color="000000" w:sz="4" w:space="0"/>
              <w:bottom w:val="single" w:color="000000" w:sz="4" w:space="0"/>
              <w:right w:val="single" w:color="000000" w:sz="4" w:space="0"/>
            </w:tcBorders>
            <w:noWrap w:val="0"/>
            <w:vAlign w:val="center"/>
          </w:tcPr>
          <w:p w14:paraId="6C1030D4">
            <w:pPr>
              <w:widowControl/>
              <w:jc w:val="left"/>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采用0.8mm钢板制作，经酸洗后静电烤漆；  规格型号：900mm*400mm*1850mm。</w:t>
            </w:r>
          </w:p>
        </w:tc>
        <w:tc>
          <w:tcPr>
            <w:tcW w:w="4061" w:type="dxa"/>
            <w:tcBorders>
              <w:top w:val="single" w:color="000000" w:sz="4" w:space="0"/>
              <w:left w:val="single" w:color="000000" w:sz="4" w:space="0"/>
              <w:bottom w:val="single" w:color="000000" w:sz="4" w:space="0"/>
              <w:right w:val="single" w:color="000000" w:sz="4" w:space="0"/>
            </w:tcBorders>
            <w:noWrap w:val="0"/>
            <w:vAlign w:val="center"/>
          </w:tcPr>
          <w:p w14:paraId="109EF784">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bdr w:val="single" w:color="000000" w:sz="4" w:space="0"/>
                <w:lang w:bidi="ar"/>
              </w:rPr>
              <w:drawing>
                <wp:anchor distT="0" distB="0" distL="114300" distR="114300" simplePos="0" relativeHeight="251676672" behindDoc="0" locked="0" layoutInCell="1" allowOverlap="1">
                  <wp:simplePos x="0" y="0"/>
                  <wp:positionH relativeFrom="column">
                    <wp:posOffset>1336040</wp:posOffset>
                  </wp:positionH>
                  <wp:positionV relativeFrom="paragraph">
                    <wp:posOffset>78740</wp:posOffset>
                  </wp:positionV>
                  <wp:extent cx="1029970" cy="1692910"/>
                  <wp:effectExtent l="0" t="0" r="17780" b="2540"/>
                  <wp:wrapNone/>
                  <wp:docPr id="5" name="图片_10"/>
                  <wp:cNvGraphicFramePr/>
                  <a:graphic xmlns:a="http://schemas.openxmlformats.org/drawingml/2006/main">
                    <a:graphicData uri="http://schemas.openxmlformats.org/drawingml/2006/picture">
                      <pic:pic xmlns:pic="http://schemas.openxmlformats.org/drawingml/2006/picture">
                        <pic:nvPicPr>
                          <pic:cNvPr id="5" name="图片_10"/>
                          <pic:cNvPicPr/>
                        </pic:nvPicPr>
                        <pic:blipFill>
                          <a:blip r:embed="rId22"/>
                          <a:stretch>
                            <a:fillRect/>
                          </a:stretch>
                        </pic:blipFill>
                        <pic:spPr>
                          <a:xfrm>
                            <a:off x="0" y="0"/>
                            <a:ext cx="1029970" cy="1692910"/>
                          </a:xfrm>
                          <a:prstGeom prst="rect">
                            <a:avLst/>
                          </a:prstGeom>
                          <a:noFill/>
                          <a:ln>
                            <a:noFill/>
                          </a:ln>
                        </pic:spPr>
                      </pic:pic>
                    </a:graphicData>
                  </a:graphic>
                </wp:anchor>
              </w:drawing>
            </w:r>
            <w:r>
              <w:rPr>
                <w:rFonts w:hint="eastAsia" w:ascii="宋体" w:hAnsi="宋体" w:cs="宋体"/>
                <w:color w:val="000000"/>
                <w:kern w:val="0"/>
                <w:sz w:val="22"/>
                <w:szCs w:val="22"/>
                <w:highlight w:val="none"/>
                <w:bdr w:val="single" w:color="000000" w:sz="4" w:space="0"/>
                <w:lang w:bidi="ar"/>
              </w:rPr>
              <w:drawing>
                <wp:anchor distT="0" distB="0" distL="114300" distR="114300" simplePos="0" relativeHeight="251677696" behindDoc="0" locked="0" layoutInCell="1" allowOverlap="1">
                  <wp:simplePos x="0" y="0"/>
                  <wp:positionH relativeFrom="column">
                    <wp:posOffset>8890</wp:posOffset>
                  </wp:positionH>
                  <wp:positionV relativeFrom="paragraph">
                    <wp:posOffset>28575</wp:posOffset>
                  </wp:positionV>
                  <wp:extent cx="1132840" cy="1729105"/>
                  <wp:effectExtent l="0" t="0" r="10160" b="4445"/>
                  <wp:wrapNone/>
                  <wp:docPr id="25" name="图片_9"/>
                  <wp:cNvGraphicFramePr/>
                  <a:graphic xmlns:a="http://schemas.openxmlformats.org/drawingml/2006/main">
                    <a:graphicData uri="http://schemas.openxmlformats.org/drawingml/2006/picture">
                      <pic:pic xmlns:pic="http://schemas.openxmlformats.org/drawingml/2006/picture">
                        <pic:nvPicPr>
                          <pic:cNvPr id="25" name="图片_9"/>
                          <pic:cNvPicPr/>
                        </pic:nvPicPr>
                        <pic:blipFill>
                          <a:blip r:embed="rId23"/>
                          <a:stretch>
                            <a:fillRect/>
                          </a:stretch>
                        </pic:blipFill>
                        <pic:spPr>
                          <a:xfrm>
                            <a:off x="0" y="0"/>
                            <a:ext cx="1132840" cy="1729105"/>
                          </a:xfrm>
                          <a:prstGeom prst="rect">
                            <a:avLst/>
                          </a:prstGeom>
                          <a:noFill/>
                          <a:ln>
                            <a:noFill/>
                          </a:ln>
                        </pic:spPr>
                      </pic:pic>
                    </a:graphicData>
                  </a:graphic>
                </wp:anchor>
              </w:drawing>
            </w:r>
          </w:p>
        </w:tc>
      </w:tr>
      <w:tr w14:paraId="5854F631">
        <w:tblPrEx>
          <w:tblCellMar>
            <w:top w:w="0" w:type="dxa"/>
            <w:left w:w="108" w:type="dxa"/>
            <w:bottom w:w="0" w:type="dxa"/>
            <w:right w:w="108" w:type="dxa"/>
          </w:tblCellMar>
        </w:tblPrEx>
        <w:trPr>
          <w:trHeight w:val="2460"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2624F7C1">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20</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3488C848">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更衣柜1</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63A0C28A">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FC80FE2">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个</w:t>
            </w:r>
          </w:p>
        </w:tc>
        <w:tc>
          <w:tcPr>
            <w:tcW w:w="6413" w:type="dxa"/>
            <w:tcBorders>
              <w:top w:val="single" w:color="000000" w:sz="4" w:space="0"/>
              <w:left w:val="single" w:color="000000" w:sz="4" w:space="0"/>
              <w:bottom w:val="single" w:color="000000" w:sz="4" w:space="0"/>
              <w:right w:val="single" w:color="000000" w:sz="4" w:space="0"/>
            </w:tcBorders>
            <w:noWrap w:val="0"/>
            <w:vAlign w:val="center"/>
          </w:tcPr>
          <w:p w14:paraId="127FC5F5">
            <w:pPr>
              <w:widowControl/>
              <w:jc w:val="left"/>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采用0.8mm钢板制作，经酸洗后静电烤漆。规格型号：900mm*400mm*1850mm。</w:t>
            </w:r>
          </w:p>
        </w:tc>
        <w:tc>
          <w:tcPr>
            <w:tcW w:w="4061" w:type="dxa"/>
            <w:tcBorders>
              <w:top w:val="single" w:color="000000" w:sz="4" w:space="0"/>
              <w:left w:val="single" w:color="000000" w:sz="4" w:space="0"/>
              <w:bottom w:val="single" w:color="000000" w:sz="4" w:space="0"/>
              <w:right w:val="single" w:color="000000" w:sz="4" w:space="0"/>
            </w:tcBorders>
            <w:noWrap w:val="0"/>
            <w:vAlign w:val="center"/>
          </w:tcPr>
          <w:p w14:paraId="3E2B1966">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bdr w:val="single" w:color="000000" w:sz="4" w:space="0"/>
                <w:lang w:bidi="ar"/>
              </w:rPr>
              <w:drawing>
                <wp:anchor distT="0" distB="0" distL="114300" distR="114300" simplePos="0" relativeHeight="251678720" behindDoc="0" locked="0" layoutInCell="1" allowOverlap="1">
                  <wp:simplePos x="0" y="0"/>
                  <wp:positionH relativeFrom="column">
                    <wp:posOffset>1058545</wp:posOffset>
                  </wp:positionH>
                  <wp:positionV relativeFrom="paragraph">
                    <wp:posOffset>36830</wp:posOffset>
                  </wp:positionV>
                  <wp:extent cx="894080" cy="1525270"/>
                  <wp:effectExtent l="0" t="0" r="1270" b="17780"/>
                  <wp:wrapNone/>
                  <wp:docPr id="23" name="图片_6"/>
                  <wp:cNvGraphicFramePr/>
                  <a:graphic xmlns:a="http://schemas.openxmlformats.org/drawingml/2006/main">
                    <a:graphicData uri="http://schemas.openxmlformats.org/drawingml/2006/picture">
                      <pic:pic xmlns:pic="http://schemas.openxmlformats.org/drawingml/2006/picture">
                        <pic:nvPicPr>
                          <pic:cNvPr id="23" name="图片_6"/>
                          <pic:cNvPicPr/>
                        </pic:nvPicPr>
                        <pic:blipFill>
                          <a:blip r:embed="rId24"/>
                          <a:stretch>
                            <a:fillRect/>
                          </a:stretch>
                        </pic:blipFill>
                        <pic:spPr>
                          <a:xfrm>
                            <a:off x="0" y="0"/>
                            <a:ext cx="894080" cy="1525270"/>
                          </a:xfrm>
                          <a:prstGeom prst="rect">
                            <a:avLst/>
                          </a:prstGeom>
                          <a:noFill/>
                          <a:ln>
                            <a:noFill/>
                          </a:ln>
                        </pic:spPr>
                      </pic:pic>
                    </a:graphicData>
                  </a:graphic>
                </wp:anchor>
              </w:drawing>
            </w:r>
          </w:p>
        </w:tc>
      </w:tr>
      <w:tr w14:paraId="589D90BF">
        <w:tblPrEx>
          <w:tblCellMar>
            <w:top w:w="0" w:type="dxa"/>
            <w:left w:w="108" w:type="dxa"/>
            <w:bottom w:w="0" w:type="dxa"/>
            <w:right w:w="108" w:type="dxa"/>
          </w:tblCellMar>
        </w:tblPrEx>
        <w:trPr>
          <w:trHeight w:val="2710"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2D256A90">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21</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7F95D28C">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更衣柜2</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04A2380E">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106CC8B">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个</w:t>
            </w:r>
          </w:p>
        </w:tc>
        <w:tc>
          <w:tcPr>
            <w:tcW w:w="6413" w:type="dxa"/>
            <w:tcBorders>
              <w:top w:val="single" w:color="000000" w:sz="4" w:space="0"/>
              <w:left w:val="single" w:color="000000" w:sz="4" w:space="0"/>
              <w:bottom w:val="single" w:color="000000" w:sz="4" w:space="0"/>
              <w:right w:val="single" w:color="000000" w:sz="4" w:space="0"/>
            </w:tcBorders>
            <w:noWrap w:val="0"/>
            <w:vAlign w:val="center"/>
          </w:tcPr>
          <w:p w14:paraId="5A2A30BD">
            <w:pPr>
              <w:widowControl/>
              <w:jc w:val="left"/>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采用0.8mm钢板制作，经酸洗后静电烤漆。规格型号：900mm*400mm*1850mm。</w:t>
            </w:r>
          </w:p>
        </w:tc>
        <w:tc>
          <w:tcPr>
            <w:tcW w:w="4061" w:type="dxa"/>
            <w:tcBorders>
              <w:top w:val="single" w:color="000000" w:sz="4" w:space="0"/>
              <w:left w:val="single" w:color="000000" w:sz="4" w:space="0"/>
              <w:bottom w:val="single" w:color="000000" w:sz="4" w:space="0"/>
              <w:right w:val="single" w:color="000000" w:sz="4" w:space="0"/>
            </w:tcBorders>
            <w:noWrap w:val="0"/>
            <w:vAlign w:val="center"/>
          </w:tcPr>
          <w:p w14:paraId="466D8E30">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bdr w:val="single" w:color="000000" w:sz="4" w:space="0"/>
                <w:lang w:bidi="ar"/>
              </w:rPr>
              <w:drawing>
                <wp:anchor distT="0" distB="0" distL="114300" distR="114300" simplePos="0" relativeHeight="251679744" behindDoc="0" locked="0" layoutInCell="1" allowOverlap="1">
                  <wp:simplePos x="0" y="0"/>
                  <wp:positionH relativeFrom="column">
                    <wp:posOffset>990600</wp:posOffset>
                  </wp:positionH>
                  <wp:positionV relativeFrom="paragraph">
                    <wp:posOffset>59690</wp:posOffset>
                  </wp:positionV>
                  <wp:extent cx="819150" cy="1468755"/>
                  <wp:effectExtent l="0" t="0" r="0" b="17145"/>
                  <wp:wrapNone/>
                  <wp:docPr id="24" name="图片_5"/>
                  <wp:cNvGraphicFramePr/>
                  <a:graphic xmlns:a="http://schemas.openxmlformats.org/drawingml/2006/main">
                    <a:graphicData uri="http://schemas.openxmlformats.org/drawingml/2006/picture">
                      <pic:pic xmlns:pic="http://schemas.openxmlformats.org/drawingml/2006/picture">
                        <pic:nvPicPr>
                          <pic:cNvPr id="24" name="图片_5"/>
                          <pic:cNvPicPr/>
                        </pic:nvPicPr>
                        <pic:blipFill>
                          <a:blip r:embed="rId25"/>
                          <a:stretch>
                            <a:fillRect/>
                          </a:stretch>
                        </pic:blipFill>
                        <pic:spPr>
                          <a:xfrm>
                            <a:off x="0" y="0"/>
                            <a:ext cx="819150" cy="1468755"/>
                          </a:xfrm>
                          <a:prstGeom prst="rect">
                            <a:avLst/>
                          </a:prstGeom>
                          <a:noFill/>
                          <a:ln>
                            <a:noFill/>
                          </a:ln>
                        </pic:spPr>
                      </pic:pic>
                    </a:graphicData>
                  </a:graphic>
                </wp:anchor>
              </w:drawing>
            </w:r>
          </w:p>
        </w:tc>
      </w:tr>
      <w:tr w14:paraId="4C87BF11">
        <w:tblPrEx>
          <w:tblCellMar>
            <w:top w:w="0" w:type="dxa"/>
            <w:left w:w="108" w:type="dxa"/>
            <w:bottom w:w="0" w:type="dxa"/>
            <w:right w:w="108" w:type="dxa"/>
          </w:tblCellMar>
        </w:tblPrEx>
        <w:trPr>
          <w:trHeight w:val="2820"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394F20CC">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22</w:t>
            </w:r>
          </w:p>
        </w:tc>
        <w:tc>
          <w:tcPr>
            <w:tcW w:w="1438" w:type="dxa"/>
            <w:tcBorders>
              <w:top w:val="single" w:color="000000" w:sz="4" w:space="0"/>
              <w:left w:val="single" w:color="000000" w:sz="4" w:space="0"/>
              <w:bottom w:val="nil"/>
              <w:right w:val="single" w:color="000000" w:sz="4" w:space="0"/>
            </w:tcBorders>
            <w:noWrap w:val="0"/>
            <w:vAlign w:val="center"/>
          </w:tcPr>
          <w:p w14:paraId="715287A5">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密集柜</w:t>
            </w:r>
          </w:p>
        </w:tc>
        <w:tc>
          <w:tcPr>
            <w:tcW w:w="716" w:type="dxa"/>
            <w:tcBorders>
              <w:top w:val="single" w:color="000000" w:sz="4" w:space="0"/>
              <w:left w:val="single" w:color="000000" w:sz="4" w:space="0"/>
              <w:bottom w:val="nil"/>
              <w:right w:val="single" w:color="000000" w:sz="4" w:space="0"/>
            </w:tcBorders>
            <w:noWrap w:val="0"/>
            <w:vAlign w:val="center"/>
          </w:tcPr>
          <w:p w14:paraId="0219899E">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27.9258</w:t>
            </w:r>
          </w:p>
        </w:tc>
        <w:tc>
          <w:tcPr>
            <w:tcW w:w="810" w:type="dxa"/>
            <w:tcBorders>
              <w:top w:val="single" w:color="000000" w:sz="4" w:space="0"/>
              <w:left w:val="single" w:color="000000" w:sz="4" w:space="0"/>
              <w:bottom w:val="nil"/>
              <w:right w:val="single" w:color="000000" w:sz="4" w:space="0"/>
            </w:tcBorders>
            <w:noWrap w:val="0"/>
            <w:vAlign w:val="center"/>
          </w:tcPr>
          <w:p w14:paraId="37856D01">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立方</w:t>
            </w:r>
          </w:p>
        </w:tc>
        <w:tc>
          <w:tcPr>
            <w:tcW w:w="6413" w:type="dxa"/>
            <w:tcBorders>
              <w:top w:val="single" w:color="000000" w:sz="4" w:space="0"/>
              <w:left w:val="single" w:color="000000" w:sz="4" w:space="0"/>
              <w:bottom w:val="nil"/>
              <w:right w:val="single" w:color="000000" w:sz="4" w:space="0"/>
            </w:tcBorders>
            <w:noWrap w:val="0"/>
            <w:vAlign w:val="center"/>
          </w:tcPr>
          <w:p w14:paraId="28BB5973">
            <w:pPr>
              <w:widowControl/>
              <w:jc w:val="left"/>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采用一级SPCC一冷扎钢板制做，用料：底架：2.5mm,顶板：1.0mm，前面板/后面板/背板/侧板/层板：0.8mm，立柱：1.5mm，20mm*25mm实心钢材外加底座，每架联分5层,每层高约:330mm,每层承重约：45-50KG，优质中央锁具，重型滑轮，表面采用高科技防静电喷涂，经过除油，除锈，清洗，表调清洗，磷化等十多道工序完成，左右涂膜厚度约50-70vm。规格型号：6100mm*2100mm*2180mm。</w:t>
            </w:r>
          </w:p>
        </w:tc>
        <w:tc>
          <w:tcPr>
            <w:tcW w:w="4061" w:type="dxa"/>
            <w:tcBorders>
              <w:top w:val="single" w:color="000000" w:sz="4" w:space="0"/>
              <w:left w:val="single" w:color="000000" w:sz="4" w:space="0"/>
              <w:bottom w:val="nil"/>
              <w:right w:val="single" w:color="000000" w:sz="4" w:space="0"/>
            </w:tcBorders>
            <w:noWrap w:val="0"/>
            <w:vAlign w:val="center"/>
          </w:tcPr>
          <w:p w14:paraId="4FB64389">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bdr w:val="single" w:color="000000" w:sz="4" w:space="0"/>
                <w:lang w:bidi="ar"/>
              </w:rPr>
              <w:drawing>
                <wp:anchor distT="0" distB="0" distL="114300" distR="114300" simplePos="0" relativeHeight="251680768" behindDoc="0" locked="0" layoutInCell="1" allowOverlap="1">
                  <wp:simplePos x="0" y="0"/>
                  <wp:positionH relativeFrom="column">
                    <wp:posOffset>35560</wp:posOffset>
                  </wp:positionH>
                  <wp:positionV relativeFrom="paragraph">
                    <wp:posOffset>104775</wp:posOffset>
                  </wp:positionV>
                  <wp:extent cx="2430145" cy="1567180"/>
                  <wp:effectExtent l="0" t="0" r="8255" b="13970"/>
                  <wp:wrapNone/>
                  <wp:docPr id="4" name="图片_18"/>
                  <wp:cNvGraphicFramePr/>
                  <a:graphic xmlns:a="http://schemas.openxmlformats.org/drawingml/2006/main">
                    <a:graphicData uri="http://schemas.openxmlformats.org/drawingml/2006/picture">
                      <pic:pic xmlns:pic="http://schemas.openxmlformats.org/drawingml/2006/picture">
                        <pic:nvPicPr>
                          <pic:cNvPr id="4" name="图片_18"/>
                          <pic:cNvPicPr/>
                        </pic:nvPicPr>
                        <pic:blipFill>
                          <a:blip r:embed="rId26"/>
                          <a:stretch>
                            <a:fillRect/>
                          </a:stretch>
                        </pic:blipFill>
                        <pic:spPr>
                          <a:xfrm>
                            <a:off x="0" y="0"/>
                            <a:ext cx="2430145" cy="1567180"/>
                          </a:xfrm>
                          <a:prstGeom prst="rect">
                            <a:avLst/>
                          </a:prstGeom>
                          <a:noFill/>
                          <a:ln>
                            <a:noFill/>
                          </a:ln>
                        </pic:spPr>
                      </pic:pic>
                    </a:graphicData>
                  </a:graphic>
                </wp:anchor>
              </w:drawing>
            </w:r>
          </w:p>
        </w:tc>
      </w:tr>
      <w:tr w14:paraId="0F994F73">
        <w:tblPrEx>
          <w:tblCellMar>
            <w:top w:w="0" w:type="dxa"/>
            <w:left w:w="108" w:type="dxa"/>
            <w:bottom w:w="0" w:type="dxa"/>
            <w:right w:w="108" w:type="dxa"/>
          </w:tblCellMar>
        </w:tblPrEx>
        <w:trPr>
          <w:trHeight w:val="718"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215D2250">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23</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71316EDE">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台式计算机</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054B4BF4">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FB9641E">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6413" w:type="dxa"/>
            <w:tcBorders>
              <w:top w:val="single" w:color="000000" w:sz="4" w:space="0"/>
              <w:left w:val="single" w:color="000000" w:sz="4" w:space="0"/>
              <w:bottom w:val="single" w:color="000000" w:sz="4" w:space="0"/>
              <w:right w:val="single" w:color="000000" w:sz="4" w:space="0"/>
            </w:tcBorders>
            <w:noWrap w:val="0"/>
            <w:vAlign w:val="center"/>
          </w:tcPr>
          <w:p w14:paraId="63BB3E15">
            <w:pPr>
              <w:widowControl/>
              <w:jc w:val="left"/>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val="en-US" w:eastAsia="zh-CN" w:bidi="ar"/>
              </w:rPr>
              <w:t>1</w:t>
            </w:r>
            <w:r>
              <w:rPr>
                <w:rFonts w:hint="eastAsia" w:ascii="宋体" w:hAnsi="宋体" w:cs="宋体"/>
                <w:color w:val="000000"/>
                <w:kern w:val="0"/>
                <w:sz w:val="24"/>
                <w:szCs w:val="24"/>
                <w:highlight w:val="none"/>
                <w:lang w:bidi="ar"/>
              </w:rPr>
              <w:t>、处理器：配置1颗国产CPU，每颗CPU物理核心数≤4核，所有核心主频≥2.8GHz主频，具备超线程技术，TDP≤70W；</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val="en-US" w:eastAsia="zh-CN" w:bidi="ar"/>
              </w:rPr>
              <w:t>2</w:t>
            </w:r>
            <w:r>
              <w:rPr>
                <w:rFonts w:hint="eastAsia" w:ascii="宋体" w:hAnsi="宋体" w:cs="宋体"/>
                <w:color w:val="000000"/>
                <w:kern w:val="0"/>
                <w:sz w:val="24"/>
                <w:szCs w:val="24"/>
                <w:highlight w:val="none"/>
                <w:lang w:bidi="ar"/>
              </w:rPr>
              <w:t>、内存：配置≥8GB DDR4 2666MHz UDIMM内存，配置≥4个内存插槽，最大支持单条32GB内存，最大可支持128GB内存容量，支持内存Register ECC保护、内存镜像、内存热备；</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val="en-US" w:eastAsia="zh-CN" w:bidi="ar"/>
              </w:rPr>
              <w:t>3</w:t>
            </w:r>
            <w:r>
              <w:rPr>
                <w:rFonts w:hint="eastAsia" w:ascii="宋体" w:hAnsi="宋体" w:cs="宋体"/>
                <w:color w:val="000000"/>
                <w:kern w:val="0"/>
                <w:sz w:val="24"/>
                <w:szCs w:val="24"/>
                <w:highlight w:val="none"/>
                <w:lang w:bidi="ar"/>
              </w:rPr>
              <w:t>、硬盘：实际配置1块256G SSD硬盘；最大支持2个2.5寸HDD或1个2.5寸+1个3.5寸HDD，支持SAS/SATA/SSD硬盘；主板集成1个PCIe/SATA M.2接口;硬盘最大支持数量≥3个</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val="en-US" w:eastAsia="zh-CN" w:bidi="ar"/>
              </w:rPr>
              <w:t>4</w:t>
            </w:r>
            <w:r>
              <w:rPr>
                <w:rFonts w:hint="eastAsia" w:ascii="宋体" w:hAnsi="宋体" w:cs="宋体"/>
                <w:color w:val="000000"/>
                <w:kern w:val="0"/>
                <w:sz w:val="24"/>
                <w:szCs w:val="24"/>
                <w:highlight w:val="none"/>
                <w:lang w:bidi="ar"/>
              </w:rPr>
              <w:t>、PCI-E扩展：提供4个PCI-E插槽，其中2个PCI-E 3.0X16，2个PCI-E 3.08</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val="en-US" w:eastAsia="zh-CN" w:bidi="ar"/>
              </w:rPr>
              <w:t>5</w:t>
            </w:r>
            <w:r>
              <w:rPr>
                <w:rFonts w:hint="eastAsia" w:ascii="宋体" w:hAnsi="宋体" w:cs="宋体"/>
                <w:color w:val="000000"/>
                <w:kern w:val="0"/>
                <w:sz w:val="24"/>
                <w:szCs w:val="24"/>
                <w:highlight w:val="none"/>
                <w:lang w:bidi="ar"/>
              </w:rPr>
              <w:t>、显卡：配置1张独立显卡；显存≥2GB；</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val="en-US" w:eastAsia="zh-CN" w:bidi="ar"/>
              </w:rPr>
              <w:t>6</w:t>
            </w:r>
            <w:r>
              <w:rPr>
                <w:rFonts w:hint="eastAsia" w:ascii="宋体" w:hAnsi="宋体" w:cs="宋体"/>
                <w:color w:val="000000"/>
                <w:kern w:val="0"/>
                <w:sz w:val="24"/>
                <w:szCs w:val="24"/>
                <w:highlight w:val="none"/>
                <w:lang w:bidi="ar"/>
              </w:rPr>
              <w:t>、网卡：板载单口千兆网卡，支持网络唤醒，网络冗余，负载均衡等网络高级特性；</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val="en-US" w:eastAsia="zh-CN" w:bidi="ar"/>
              </w:rPr>
              <w:t>7</w:t>
            </w:r>
            <w:r>
              <w:rPr>
                <w:rFonts w:hint="eastAsia" w:ascii="宋体" w:hAnsi="宋体" w:cs="宋体"/>
                <w:color w:val="000000"/>
                <w:kern w:val="0"/>
                <w:sz w:val="24"/>
                <w:szCs w:val="24"/>
                <w:highlight w:val="none"/>
                <w:lang w:bidi="ar"/>
              </w:rPr>
              <w:t>、接口：提供8个USB接口，前置4个USB，后置4个USB，前后2组音频接口。配置1个Port80数码诊断模块，可支持故障诊断显示。可支持指纹识别模块，实现基于固件和操作系统级指纹登录，安全可靠；</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val="en-US" w:eastAsia="zh-CN" w:bidi="ar"/>
              </w:rPr>
              <w:t>8</w:t>
            </w:r>
            <w:r>
              <w:rPr>
                <w:rFonts w:hint="eastAsia" w:ascii="宋体" w:hAnsi="宋体" w:cs="宋体"/>
                <w:color w:val="000000"/>
                <w:kern w:val="0"/>
                <w:sz w:val="24"/>
                <w:szCs w:val="24"/>
                <w:highlight w:val="none"/>
                <w:lang w:bidi="ar"/>
              </w:rPr>
              <w:t xml:space="preserve">、光驱：DVDRW;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val="en-US" w:eastAsia="zh-CN" w:bidi="ar"/>
              </w:rPr>
              <w:t>9</w:t>
            </w:r>
            <w:r>
              <w:rPr>
                <w:rFonts w:hint="eastAsia" w:ascii="宋体" w:hAnsi="宋体" w:cs="宋体"/>
                <w:color w:val="000000"/>
                <w:kern w:val="0"/>
                <w:sz w:val="24"/>
                <w:szCs w:val="24"/>
                <w:highlight w:val="none"/>
                <w:lang w:bidi="ar"/>
              </w:rPr>
              <w:t>、机箱供电：主机机箱≤13升，配置≤200W静音电源；</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w:t>
            </w:r>
            <w:r>
              <w:rPr>
                <w:rFonts w:hint="eastAsia" w:ascii="宋体" w:hAnsi="宋体" w:cs="宋体"/>
                <w:color w:val="000000"/>
                <w:kern w:val="0"/>
                <w:sz w:val="24"/>
                <w:szCs w:val="24"/>
                <w:highlight w:val="none"/>
                <w:lang w:val="en-US" w:eastAsia="zh-CN" w:bidi="ar"/>
              </w:rPr>
              <w:t>0</w:t>
            </w:r>
            <w:r>
              <w:rPr>
                <w:rFonts w:hint="eastAsia" w:ascii="宋体" w:hAnsi="宋体" w:cs="宋体"/>
                <w:color w:val="000000"/>
                <w:kern w:val="0"/>
                <w:sz w:val="24"/>
                <w:szCs w:val="24"/>
                <w:highlight w:val="none"/>
                <w:lang w:bidi="ar"/>
              </w:rPr>
              <w:t>、显示器：23.8寸1920*1080分辨率全高清显示屏</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w:t>
            </w:r>
            <w:r>
              <w:rPr>
                <w:rFonts w:hint="eastAsia" w:ascii="宋体" w:hAnsi="宋体" w:cs="宋体"/>
                <w:color w:val="000000"/>
                <w:kern w:val="0"/>
                <w:sz w:val="24"/>
                <w:szCs w:val="24"/>
                <w:highlight w:val="none"/>
                <w:lang w:val="en-US" w:eastAsia="zh-CN" w:bidi="ar"/>
              </w:rPr>
              <w:t>1</w:t>
            </w:r>
            <w:r>
              <w:rPr>
                <w:rFonts w:hint="eastAsia" w:ascii="宋体" w:hAnsi="宋体" w:cs="宋体"/>
                <w:color w:val="000000"/>
                <w:kern w:val="0"/>
                <w:sz w:val="24"/>
                <w:szCs w:val="24"/>
                <w:highlight w:val="none"/>
                <w:lang w:bidi="ar"/>
              </w:rPr>
              <w:t>、操作系统：支持银河麒麟、统信、中科方德等国产桌面操作系统，支持单盘安装双系统。</w:t>
            </w:r>
          </w:p>
        </w:tc>
        <w:tc>
          <w:tcPr>
            <w:tcW w:w="4061" w:type="dxa"/>
            <w:tcBorders>
              <w:top w:val="single" w:color="000000" w:sz="4" w:space="0"/>
              <w:left w:val="single" w:color="000000" w:sz="4" w:space="0"/>
              <w:bottom w:val="single" w:color="000000" w:sz="4" w:space="0"/>
              <w:right w:val="single" w:color="000000" w:sz="4" w:space="0"/>
            </w:tcBorders>
            <w:noWrap w:val="0"/>
            <w:vAlign w:val="center"/>
          </w:tcPr>
          <w:p w14:paraId="7C26EB5B">
            <w:pPr>
              <w:rPr>
                <w:rFonts w:hint="eastAsia" w:ascii="宋体" w:hAnsi="宋体" w:cs="宋体"/>
                <w:color w:val="000000"/>
                <w:sz w:val="20"/>
                <w:highlight w:val="none"/>
              </w:rPr>
            </w:pPr>
          </w:p>
        </w:tc>
      </w:tr>
      <w:tr w14:paraId="1303DB37">
        <w:tblPrEx>
          <w:tblCellMar>
            <w:top w:w="0" w:type="dxa"/>
            <w:left w:w="108" w:type="dxa"/>
            <w:bottom w:w="0" w:type="dxa"/>
            <w:right w:w="108" w:type="dxa"/>
          </w:tblCellMar>
        </w:tblPrEx>
        <w:trPr>
          <w:trHeight w:val="820"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65E21741">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24</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33A7CFD2">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打印机</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75422C24">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8799C5A">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6413" w:type="dxa"/>
            <w:tcBorders>
              <w:top w:val="single" w:color="000000" w:sz="4" w:space="0"/>
              <w:left w:val="single" w:color="000000" w:sz="4" w:space="0"/>
              <w:bottom w:val="single" w:color="000000" w:sz="4" w:space="0"/>
              <w:right w:val="single" w:color="000000" w:sz="4" w:space="0"/>
            </w:tcBorders>
            <w:noWrap w:val="0"/>
            <w:vAlign w:val="center"/>
          </w:tcPr>
          <w:p w14:paraId="3E7CEED3">
            <w:pPr>
              <w:widowControl/>
              <w:jc w:val="left"/>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1.打印速度：≥26页/min（A4幅面）</w:t>
            </w:r>
          </w:p>
          <w:p w14:paraId="1B348F2E">
            <w:pPr>
              <w:widowControl/>
              <w:jc w:val="left"/>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2.分辦率：≥1200*1200dpi</w:t>
            </w:r>
          </w:p>
          <w:p w14:paraId="1624E5E2">
            <w:pPr>
              <w:widowControl/>
              <w:jc w:val="left"/>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3.扫描≥600*600dpi</w:t>
            </w:r>
          </w:p>
          <w:p w14:paraId="6389F2A6">
            <w:pPr>
              <w:widowControl/>
              <w:jc w:val="left"/>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4.首页输出时间：≤9s（黑白）</w:t>
            </w:r>
          </w:p>
          <w:p w14:paraId="16DC0AF5">
            <w:pPr>
              <w:widowControl/>
              <w:jc w:val="left"/>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5.月负荷量：≥8000页</w:t>
            </w:r>
          </w:p>
          <w:p w14:paraId="5C99C43F">
            <w:pPr>
              <w:widowControl/>
              <w:jc w:val="left"/>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6.支持自动双面、彩色打印、A3纸打印</w:t>
            </w:r>
          </w:p>
        </w:tc>
        <w:tc>
          <w:tcPr>
            <w:tcW w:w="4061" w:type="dxa"/>
            <w:tcBorders>
              <w:top w:val="single" w:color="000000" w:sz="4" w:space="0"/>
              <w:left w:val="single" w:color="000000" w:sz="4" w:space="0"/>
              <w:bottom w:val="single" w:color="000000" w:sz="4" w:space="0"/>
              <w:right w:val="single" w:color="000000" w:sz="4" w:space="0"/>
            </w:tcBorders>
            <w:noWrap w:val="0"/>
            <w:vAlign w:val="center"/>
          </w:tcPr>
          <w:p w14:paraId="348D6654">
            <w:pPr>
              <w:rPr>
                <w:rFonts w:hint="eastAsia" w:ascii="宋体" w:hAnsi="宋体" w:cs="宋体"/>
                <w:color w:val="000000"/>
                <w:sz w:val="20"/>
                <w:highlight w:val="none"/>
              </w:rPr>
            </w:pPr>
          </w:p>
        </w:tc>
      </w:tr>
      <w:tr w14:paraId="3A048240">
        <w:tblPrEx>
          <w:tblCellMar>
            <w:top w:w="0" w:type="dxa"/>
            <w:left w:w="108" w:type="dxa"/>
            <w:bottom w:w="0" w:type="dxa"/>
            <w:right w:w="108" w:type="dxa"/>
          </w:tblCellMar>
        </w:tblPrEx>
        <w:trPr>
          <w:trHeight w:val="745"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2C846B5F">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25</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22D815BE">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打印机</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35C88DE8">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492D5AF">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6413" w:type="dxa"/>
            <w:tcBorders>
              <w:top w:val="single" w:color="000000" w:sz="4" w:space="0"/>
              <w:left w:val="single" w:color="000000" w:sz="4" w:space="0"/>
              <w:bottom w:val="single" w:color="000000" w:sz="4" w:space="0"/>
              <w:right w:val="single" w:color="000000" w:sz="4" w:space="0"/>
            </w:tcBorders>
            <w:noWrap w:val="0"/>
            <w:vAlign w:val="center"/>
          </w:tcPr>
          <w:p w14:paraId="002AE3EB">
            <w:pPr>
              <w:widowControl/>
              <w:jc w:val="left"/>
              <w:textAlignment w:val="center"/>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1.打速度：≥23页/min（A4幅</w:t>
            </w:r>
          </w:p>
          <w:p w14:paraId="19E676E9">
            <w:pPr>
              <w:widowControl/>
              <w:jc w:val="left"/>
              <w:textAlignment w:val="center"/>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面）</w:t>
            </w:r>
          </w:p>
          <w:p w14:paraId="13C0AF5B">
            <w:pPr>
              <w:widowControl/>
              <w:jc w:val="left"/>
              <w:textAlignment w:val="center"/>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2.分辨率：≥1200*1200dpi</w:t>
            </w:r>
          </w:p>
          <w:p w14:paraId="2DB9ABD8">
            <w:pPr>
              <w:widowControl/>
              <w:jc w:val="left"/>
              <w:textAlignment w:val="center"/>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3.首页输出时间：≤9s</w:t>
            </w:r>
          </w:p>
          <w:p w14:paraId="778B001E">
            <w:pPr>
              <w:widowControl/>
              <w:jc w:val="left"/>
              <w:textAlignment w:val="center"/>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5.月负荷量：≥5000页</w:t>
            </w:r>
          </w:p>
          <w:p w14:paraId="30AB901E">
            <w:pPr>
              <w:widowControl/>
              <w:jc w:val="left"/>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6.支持自动双面、无线打印</w:t>
            </w:r>
          </w:p>
        </w:tc>
        <w:tc>
          <w:tcPr>
            <w:tcW w:w="4061" w:type="dxa"/>
            <w:tcBorders>
              <w:top w:val="single" w:color="000000" w:sz="4" w:space="0"/>
              <w:left w:val="single" w:color="000000" w:sz="4" w:space="0"/>
              <w:bottom w:val="single" w:color="000000" w:sz="4" w:space="0"/>
              <w:right w:val="single" w:color="000000" w:sz="4" w:space="0"/>
            </w:tcBorders>
            <w:noWrap w:val="0"/>
            <w:vAlign w:val="center"/>
          </w:tcPr>
          <w:p w14:paraId="0D2C1162">
            <w:pPr>
              <w:rPr>
                <w:rFonts w:hint="eastAsia" w:ascii="宋体" w:hAnsi="宋体" w:cs="宋体"/>
                <w:color w:val="000000"/>
                <w:sz w:val="20"/>
                <w:highlight w:val="none"/>
              </w:rPr>
            </w:pPr>
          </w:p>
        </w:tc>
      </w:tr>
      <w:tr w14:paraId="5C6E968B">
        <w:tblPrEx>
          <w:tblCellMar>
            <w:top w:w="0" w:type="dxa"/>
            <w:left w:w="108" w:type="dxa"/>
            <w:bottom w:w="0" w:type="dxa"/>
            <w:right w:w="108" w:type="dxa"/>
          </w:tblCellMar>
        </w:tblPrEx>
        <w:trPr>
          <w:trHeight w:val="600"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0E706516">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26</w:t>
            </w:r>
          </w:p>
        </w:tc>
        <w:tc>
          <w:tcPr>
            <w:tcW w:w="1438" w:type="dxa"/>
            <w:tcBorders>
              <w:top w:val="single" w:color="000000" w:sz="4" w:space="0"/>
              <w:left w:val="single" w:color="000000" w:sz="4" w:space="0"/>
              <w:bottom w:val="single" w:color="000000" w:sz="4" w:space="0"/>
              <w:right w:val="single" w:color="000000" w:sz="4" w:space="0"/>
            </w:tcBorders>
            <w:noWrap/>
            <w:vAlign w:val="center"/>
          </w:tcPr>
          <w:p w14:paraId="46646C04">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饮水机</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0B46F19">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26ABDDBB">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台</w:t>
            </w:r>
          </w:p>
        </w:tc>
        <w:tc>
          <w:tcPr>
            <w:tcW w:w="6413" w:type="dxa"/>
            <w:tcBorders>
              <w:top w:val="single" w:color="000000" w:sz="4" w:space="0"/>
              <w:left w:val="single" w:color="000000" w:sz="4" w:space="0"/>
              <w:bottom w:val="single" w:color="000000" w:sz="4" w:space="0"/>
              <w:right w:val="single" w:color="000000" w:sz="4" w:space="0"/>
            </w:tcBorders>
            <w:noWrap w:val="0"/>
            <w:vAlign w:val="center"/>
          </w:tcPr>
          <w:p w14:paraId="71619398">
            <w:pPr>
              <w:widowControl/>
              <w:jc w:val="left"/>
              <w:textAlignment w:val="center"/>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1.立式直饮一体机，</w:t>
            </w:r>
          </w:p>
          <w:p w14:paraId="5AF361C9">
            <w:pPr>
              <w:widowControl/>
              <w:jc w:val="left"/>
              <w:textAlignment w:val="center"/>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2.≥6档精准控制水温调节</w:t>
            </w:r>
          </w:p>
          <w:p w14:paraId="3D07837A">
            <w:pPr>
              <w:widowControl/>
              <w:jc w:val="left"/>
              <w:textAlignment w:val="center"/>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3.RO反渗透膜装置，四级过滤</w:t>
            </w:r>
          </w:p>
          <w:p w14:paraId="34CE94E8">
            <w:pPr>
              <w:widowControl/>
              <w:jc w:val="left"/>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4.水箱容量≥3L</w:t>
            </w:r>
          </w:p>
        </w:tc>
        <w:tc>
          <w:tcPr>
            <w:tcW w:w="4061" w:type="dxa"/>
            <w:tcBorders>
              <w:top w:val="single" w:color="000000" w:sz="4" w:space="0"/>
              <w:left w:val="single" w:color="000000" w:sz="4" w:space="0"/>
              <w:bottom w:val="single" w:color="000000" w:sz="4" w:space="0"/>
              <w:right w:val="single" w:color="000000" w:sz="4" w:space="0"/>
            </w:tcBorders>
            <w:noWrap w:val="0"/>
            <w:vAlign w:val="center"/>
          </w:tcPr>
          <w:p w14:paraId="5AD7C6F0">
            <w:pPr>
              <w:rPr>
                <w:rFonts w:hint="eastAsia" w:ascii="宋体" w:hAnsi="宋体" w:cs="宋体"/>
                <w:color w:val="000000"/>
                <w:sz w:val="20"/>
                <w:highlight w:val="none"/>
              </w:rPr>
            </w:pPr>
          </w:p>
        </w:tc>
      </w:tr>
    </w:tbl>
    <w:p w14:paraId="6E654805">
      <w:pPr>
        <w:snapToGrid w:val="0"/>
        <w:spacing w:line="336" w:lineRule="auto"/>
        <w:ind w:right="519" w:rightChars="247"/>
        <w:rPr>
          <w:rFonts w:ascii="宋体" w:hAnsi="宋体"/>
          <w:b/>
          <w:color w:val="auto"/>
          <w:sz w:val="32"/>
          <w:szCs w:val="32"/>
          <w:highlight w:val="none"/>
        </w:rPr>
      </w:pPr>
      <w:r>
        <w:rPr>
          <w:rFonts w:hint="eastAsia" w:ascii="宋体" w:hAnsi="宋体"/>
          <w:b/>
          <w:color w:val="auto"/>
          <w:sz w:val="32"/>
          <w:szCs w:val="32"/>
          <w:highlight w:val="none"/>
        </w:rPr>
        <w:t>二</w:t>
      </w:r>
      <w:r>
        <w:rPr>
          <w:rFonts w:hint="eastAsia" w:ascii="宋体" w:hAnsi="宋体"/>
          <w:b/>
          <w:color w:val="auto"/>
          <w:sz w:val="32"/>
          <w:szCs w:val="32"/>
          <w:highlight w:val="none"/>
        </w:rPr>
        <w:tab/>
      </w:r>
      <w:r>
        <w:rPr>
          <w:rFonts w:hint="eastAsia" w:ascii="宋体" w:hAnsi="宋体"/>
          <w:b/>
          <w:color w:val="auto"/>
          <w:sz w:val="32"/>
          <w:szCs w:val="32"/>
          <w:highlight w:val="none"/>
        </w:rPr>
        <w:t>、商务条款</w:t>
      </w:r>
    </w:p>
    <w:p w14:paraId="093B8785">
      <w:pPr>
        <w:widowControl/>
        <w:spacing w:line="360" w:lineRule="auto"/>
        <w:jc w:val="left"/>
        <w:rPr>
          <w:rFonts w:hint="eastAsia" w:ascii="宋体" w:hAnsi="宋体" w:cs="宋体"/>
          <w:highlight w:val="none"/>
        </w:rPr>
      </w:pPr>
      <w:r>
        <w:rPr>
          <w:rFonts w:hint="eastAsia" w:ascii="宋体" w:hAnsi="宋体" w:cs="宋体"/>
          <w:b/>
          <w:bCs/>
          <w:color w:val="000000"/>
          <w:kern w:val="0"/>
          <w:sz w:val="24"/>
          <w:szCs w:val="24"/>
          <w:highlight w:val="none"/>
          <w:lang w:bidi="ar"/>
        </w:rPr>
        <w:t>1、交货时间：</w:t>
      </w:r>
      <w:r>
        <w:rPr>
          <w:rFonts w:hint="eastAsia" w:ascii="宋体" w:hAnsi="宋体" w:cs="宋体"/>
          <w:color w:val="000000"/>
          <w:kern w:val="0"/>
          <w:sz w:val="24"/>
          <w:szCs w:val="24"/>
          <w:highlight w:val="none"/>
          <w:lang w:bidi="ar"/>
        </w:rPr>
        <w:t>中标人应于交货周期内交付项目的全部货物，交货期为自合同签订之日起, 交货时间不超过</w:t>
      </w:r>
      <w:r>
        <w:rPr>
          <w:rFonts w:hint="eastAsia" w:ascii="宋体" w:hAnsi="宋体" w:cs="宋体"/>
          <w:color w:val="000000"/>
          <w:kern w:val="0"/>
          <w:sz w:val="24"/>
          <w:szCs w:val="24"/>
          <w:highlight w:val="none"/>
          <w:lang w:val="en-US" w:eastAsia="zh-CN" w:bidi="ar"/>
        </w:rPr>
        <w:t>45</w:t>
      </w:r>
      <w:r>
        <w:rPr>
          <w:rFonts w:hint="eastAsia" w:ascii="宋体" w:hAnsi="宋体" w:cs="宋体"/>
          <w:color w:val="000000"/>
          <w:kern w:val="0"/>
          <w:sz w:val="24"/>
          <w:szCs w:val="24"/>
          <w:highlight w:val="none"/>
          <w:lang w:bidi="ar"/>
        </w:rPr>
        <w:t xml:space="preserve">个自然日，具体时间以中标人投标文件承诺的交货周期为准。 </w:t>
      </w:r>
    </w:p>
    <w:p w14:paraId="463C36E4">
      <w:pPr>
        <w:widowControl/>
        <w:spacing w:line="360" w:lineRule="auto"/>
        <w:jc w:val="left"/>
        <w:rPr>
          <w:rFonts w:hint="eastAsia" w:ascii="宋体" w:hAnsi="宋体" w:cs="宋体"/>
          <w:highlight w:val="none"/>
        </w:rPr>
      </w:pPr>
      <w:r>
        <w:rPr>
          <w:rFonts w:hint="eastAsia" w:ascii="宋体" w:hAnsi="宋体" w:cs="宋体"/>
          <w:b/>
          <w:bCs/>
          <w:color w:val="000000"/>
          <w:kern w:val="0"/>
          <w:sz w:val="24"/>
          <w:szCs w:val="24"/>
          <w:highlight w:val="none"/>
          <w:lang w:bidi="ar"/>
        </w:rPr>
        <w:t>2、交货地点：上饶经济技术开发区青网科创园A区4号楼</w:t>
      </w:r>
      <w:r>
        <w:rPr>
          <w:rFonts w:hint="eastAsia" w:ascii="宋体" w:hAnsi="宋体" w:cs="宋体"/>
          <w:color w:val="000000"/>
          <w:kern w:val="0"/>
          <w:sz w:val="24"/>
          <w:szCs w:val="24"/>
          <w:highlight w:val="none"/>
          <w:lang w:bidi="ar"/>
        </w:rPr>
        <w:t xml:space="preserve"> </w:t>
      </w:r>
    </w:p>
    <w:p w14:paraId="10650528">
      <w:pPr>
        <w:widowControl/>
        <w:spacing w:line="360" w:lineRule="auto"/>
        <w:jc w:val="left"/>
        <w:rPr>
          <w:rFonts w:hint="eastAsia" w:ascii="宋体" w:hAnsi="宋体" w:cs="宋体"/>
          <w:b/>
          <w:bCs/>
          <w:color w:val="000000"/>
          <w:kern w:val="0"/>
          <w:sz w:val="24"/>
          <w:szCs w:val="24"/>
          <w:highlight w:val="none"/>
          <w:lang w:bidi="ar"/>
        </w:rPr>
      </w:pPr>
      <w:r>
        <w:rPr>
          <w:rFonts w:hint="eastAsia" w:ascii="宋体" w:hAnsi="宋体" w:cs="宋体"/>
          <w:b/>
          <w:bCs/>
          <w:color w:val="000000"/>
          <w:kern w:val="0"/>
          <w:sz w:val="24"/>
          <w:szCs w:val="24"/>
          <w:highlight w:val="none"/>
          <w:lang w:bidi="ar"/>
        </w:rPr>
        <w:t>3、付款方式：</w:t>
      </w:r>
      <w:r>
        <w:rPr>
          <w:rFonts w:hint="eastAsia" w:ascii="宋体" w:hAnsi="宋体" w:cs="宋体"/>
          <w:b/>
          <w:bCs/>
          <w:color w:val="000000"/>
          <w:kern w:val="0"/>
          <w:sz w:val="24"/>
          <w:szCs w:val="24"/>
          <w:highlight w:val="none"/>
          <w:lang w:eastAsia="zh-CN" w:bidi="ar"/>
        </w:rPr>
        <w:t>（</w:t>
      </w:r>
      <w:r>
        <w:rPr>
          <w:rFonts w:hint="eastAsia" w:ascii="宋体" w:hAnsi="宋体" w:cs="宋体"/>
          <w:b/>
          <w:bCs/>
          <w:color w:val="000000"/>
          <w:kern w:val="0"/>
          <w:sz w:val="24"/>
          <w:szCs w:val="24"/>
          <w:highlight w:val="none"/>
          <w:lang w:val="en-US" w:eastAsia="zh-CN" w:bidi="ar"/>
        </w:rPr>
        <w:t>1</w:t>
      </w:r>
      <w:r>
        <w:rPr>
          <w:rFonts w:hint="eastAsia" w:ascii="宋体" w:hAnsi="宋体" w:cs="宋体"/>
          <w:b/>
          <w:bCs/>
          <w:color w:val="000000"/>
          <w:kern w:val="0"/>
          <w:sz w:val="24"/>
          <w:szCs w:val="24"/>
          <w:highlight w:val="none"/>
          <w:lang w:eastAsia="zh-CN" w:bidi="ar"/>
        </w:rPr>
        <w:t>）</w:t>
      </w:r>
      <w:r>
        <w:rPr>
          <w:rFonts w:hint="eastAsia" w:ascii="宋体" w:hAnsi="宋体" w:cs="宋体"/>
          <w:b/>
          <w:bCs/>
          <w:color w:val="000000"/>
          <w:kern w:val="0"/>
          <w:sz w:val="24"/>
          <w:szCs w:val="24"/>
          <w:highlight w:val="none"/>
          <w:lang w:bidi="ar"/>
        </w:rPr>
        <w:t>完工验收前，支付货款不超过实际供货金额的70%，(本项目已委托跟踪审计单位，以跟踪审计单位出具的产值报告为准）；</w:t>
      </w:r>
    </w:p>
    <w:p w14:paraId="1922BDE8">
      <w:pPr>
        <w:widowControl/>
        <w:spacing w:line="360" w:lineRule="auto"/>
        <w:jc w:val="left"/>
        <w:rPr>
          <w:rFonts w:hint="eastAsia" w:ascii="宋体" w:hAnsi="宋体" w:cs="宋体"/>
          <w:b/>
          <w:bCs/>
          <w:color w:val="000000"/>
          <w:kern w:val="0"/>
          <w:sz w:val="24"/>
          <w:szCs w:val="24"/>
          <w:highlight w:val="none"/>
          <w:lang w:bidi="ar"/>
        </w:rPr>
      </w:pPr>
      <w:r>
        <w:rPr>
          <w:rFonts w:hint="eastAsia" w:ascii="宋体" w:hAnsi="宋体" w:cs="宋体"/>
          <w:b/>
          <w:bCs/>
          <w:color w:val="000000"/>
          <w:kern w:val="0"/>
          <w:sz w:val="24"/>
          <w:szCs w:val="24"/>
          <w:highlight w:val="none"/>
          <w:lang w:eastAsia="zh-CN" w:bidi="ar"/>
        </w:rPr>
        <w:t>（</w:t>
      </w:r>
      <w:r>
        <w:rPr>
          <w:rFonts w:hint="eastAsia" w:ascii="宋体" w:hAnsi="宋体" w:cs="宋体"/>
          <w:b/>
          <w:bCs/>
          <w:color w:val="000000"/>
          <w:kern w:val="0"/>
          <w:sz w:val="24"/>
          <w:szCs w:val="24"/>
          <w:highlight w:val="none"/>
          <w:lang w:val="en-US" w:eastAsia="zh-CN" w:bidi="ar"/>
        </w:rPr>
        <w:t>2</w:t>
      </w:r>
      <w:r>
        <w:rPr>
          <w:rFonts w:hint="eastAsia" w:ascii="宋体" w:hAnsi="宋体" w:cs="宋体"/>
          <w:b/>
          <w:bCs/>
          <w:color w:val="000000"/>
          <w:kern w:val="0"/>
          <w:sz w:val="24"/>
          <w:szCs w:val="24"/>
          <w:highlight w:val="none"/>
          <w:lang w:eastAsia="zh-CN" w:bidi="ar"/>
        </w:rPr>
        <w:t>）</w:t>
      </w:r>
      <w:r>
        <w:rPr>
          <w:rFonts w:hint="eastAsia" w:ascii="宋体" w:hAnsi="宋体" w:cs="宋体"/>
          <w:b/>
          <w:bCs/>
          <w:color w:val="000000"/>
          <w:kern w:val="0"/>
          <w:sz w:val="24"/>
          <w:szCs w:val="24"/>
          <w:highlight w:val="none"/>
          <w:lang w:bidi="ar"/>
        </w:rPr>
        <w:t>完工验收报告出具后，支付货款不得超过合同金额的80%；</w:t>
      </w:r>
    </w:p>
    <w:p w14:paraId="11087987">
      <w:pPr>
        <w:widowControl/>
        <w:spacing w:line="360" w:lineRule="auto"/>
        <w:jc w:val="left"/>
        <w:rPr>
          <w:rFonts w:hint="eastAsia" w:ascii="宋体" w:hAnsi="宋体" w:cs="宋体"/>
          <w:b/>
          <w:bCs/>
          <w:color w:val="000000"/>
          <w:kern w:val="0"/>
          <w:sz w:val="24"/>
          <w:szCs w:val="24"/>
          <w:highlight w:val="none"/>
          <w:lang w:bidi="ar"/>
        </w:rPr>
      </w:pPr>
      <w:r>
        <w:rPr>
          <w:rFonts w:hint="eastAsia" w:ascii="宋体" w:hAnsi="宋体" w:cs="宋体"/>
          <w:b/>
          <w:bCs/>
          <w:color w:val="000000"/>
          <w:kern w:val="0"/>
          <w:sz w:val="24"/>
          <w:szCs w:val="24"/>
          <w:highlight w:val="none"/>
          <w:lang w:eastAsia="zh-CN" w:bidi="ar"/>
        </w:rPr>
        <w:t>（</w:t>
      </w:r>
      <w:r>
        <w:rPr>
          <w:rFonts w:hint="eastAsia" w:ascii="宋体" w:hAnsi="宋体" w:cs="宋体"/>
          <w:b/>
          <w:bCs/>
          <w:color w:val="000000"/>
          <w:kern w:val="0"/>
          <w:sz w:val="24"/>
          <w:szCs w:val="24"/>
          <w:highlight w:val="none"/>
          <w:lang w:val="en-US" w:eastAsia="zh-CN" w:bidi="ar"/>
        </w:rPr>
        <w:t>3</w:t>
      </w:r>
      <w:r>
        <w:rPr>
          <w:rFonts w:hint="eastAsia" w:ascii="宋体" w:hAnsi="宋体" w:cs="宋体"/>
          <w:b/>
          <w:bCs/>
          <w:color w:val="000000"/>
          <w:kern w:val="0"/>
          <w:sz w:val="24"/>
          <w:szCs w:val="24"/>
          <w:highlight w:val="none"/>
          <w:lang w:eastAsia="zh-CN" w:bidi="ar"/>
        </w:rPr>
        <w:t>）</w:t>
      </w:r>
      <w:r>
        <w:rPr>
          <w:rFonts w:hint="eastAsia" w:ascii="宋体" w:hAnsi="宋体" w:cs="宋体"/>
          <w:b/>
          <w:bCs/>
          <w:color w:val="000000"/>
          <w:kern w:val="0"/>
          <w:sz w:val="24"/>
          <w:szCs w:val="24"/>
          <w:highlight w:val="none"/>
          <w:lang w:bidi="ar"/>
        </w:rPr>
        <w:t>结算审计报告出具之日起六个月内支付至结算审计金额的97%；</w:t>
      </w:r>
    </w:p>
    <w:p w14:paraId="3EF4665D">
      <w:pPr>
        <w:widowControl/>
        <w:spacing w:line="360" w:lineRule="auto"/>
        <w:jc w:val="left"/>
        <w:rPr>
          <w:rFonts w:hint="eastAsia" w:ascii="宋体" w:hAnsi="宋体" w:cs="宋体"/>
          <w:b/>
          <w:bCs/>
          <w:color w:val="000000"/>
          <w:kern w:val="0"/>
          <w:sz w:val="24"/>
          <w:szCs w:val="24"/>
          <w:highlight w:val="none"/>
          <w:lang w:bidi="ar"/>
        </w:rPr>
      </w:pPr>
      <w:r>
        <w:rPr>
          <w:rFonts w:hint="eastAsia" w:ascii="宋体" w:hAnsi="宋体" w:cs="宋体"/>
          <w:b/>
          <w:bCs/>
          <w:color w:val="000000"/>
          <w:kern w:val="0"/>
          <w:sz w:val="24"/>
          <w:szCs w:val="24"/>
          <w:highlight w:val="none"/>
          <w:lang w:eastAsia="zh-CN" w:bidi="ar"/>
        </w:rPr>
        <w:t>（</w:t>
      </w:r>
      <w:r>
        <w:rPr>
          <w:rFonts w:hint="eastAsia" w:ascii="宋体" w:hAnsi="宋体" w:cs="宋体"/>
          <w:b/>
          <w:bCs/>
          <w:color w:val="000000"/>
          <w:kern w:val="0"/>
          <w:sz w:val="24"/>
          <w:szCs w:val="24"/>
          <w:highlight w:val="none"/>
          <w:lang w:val="en-US" w:eastAsia="zh-CN" w:bidi="ar"/>
        </w:rPr>
        <w:t>4</w:t>
      </w:r>
      <w:r>
        <w:rPr>
          <w:rFonts w:hint="eastAsia" w:ascii="宋体" w:hAnsi="宋体" w:cs="宋体"/>
          <w:b/>
          <w:bCs/>
          <w:color w:val="000000"/>
          <w:kern w:val="0"/>
          <w:sz w:val="24"/>
          <w:szCs w:val="24"/>
          <w:highlight w:val="none"/>
          <w:lang w:eastAsia="zh-CN" w:bidi="ar"/>
        </w:rPr>
        <w:t>）</w:t>
      </w:r>
      <w:r>
        <w:rPr>
          <w:rFonts w:hint="eastAsia" w:ascii="宋体" w:hAnsi="宋体" w:cs="宋体"/>
          <w:b/>
          <w:bCs/>
          <w:color w:val="000000"/>
          <w:kern w:val="0"/>
          <w:sz w:val="24"/>
          <w:szCs w:val="24"/>
          <w:highlight w:val="none"/>
          <w:lang w:bidi="ar"/>
        </w:rPr>
        <w:t>余款在质保期期满六个月内付清。</w:t>
      </w:r>
    </w:p>
    <w:p w14:paraId="445F6B9A">
      <w:pPr>
        <w:widowControl/>
        <w:spacing w:line="360" w:lineRule="auto"/>
        <w:jc w:val="left"/>
        <w:rPr>
          <w:rFonts w:hint="eastAsia" w:ascii="宋体" w:hAnsi="宋体" w:cs="宋体"/>
          <w:highlight w:val="none"/>
        </w:rPr>
      </w:pPr>
      <w:r>
        <w:rPr>
          <w:rFonts w:hint="eastAsia" w:ascii="宋体" w:hAnsi="宋体" w:cs="宋体"/>
          <w:b/>
          <w:bCs/>
          <w:color w:val="000000"/>
          <w:kern w:val="0"/>
          <w:sz w:val="24"/>
          <w:szCs w:val="24"/>
          <w:highlight w:val="none"/>
          <w:lang w:bidi="ar"/>
        </w:rPr>
        <w:t xml:space="preserve">4、质量保证 </w:t>
      </w:r>
    </w:p>
    <w:p w14:paraId="43C945E8">
      <w:pPr>
        <w:widowControl/>
        <w:spacing w:line="360" w:lineRule="auto"/>
        <w:jc w:val="left"/>
        <w:rPr>
          <w:rFonts w:hint="eastAsia" w:ascii="宋体" w:hAnsi="宋体" w:cs="宋体"/>
          <w:highlight w:val="none"/>
        </w:rPr>
      </w:pPr>
      <w:r>
        <w:rPr>
          <w:rFonts w:hint="eastAsia" w:ascii="宋体" w:hAnsi="宋体" w:cs="宋体"/>
          <w:color w:val="000000"/>
          <w:kern w:val="0"/>
          <w:sz w:val="24"/>
          <w:szCs w:val="24"/>
          <w:highlight w:val="none"/>
          <w:lang w:bidi="ar"/>
        </w:rPr>
        <w:t>4.1质保期：所投本项目重要设备</w:t>
      </w:r>
      <w:r>
        <w:rPr>
          <w:rFonts w:hint="eastAsia" w:ascii="宋体" w:hAnsi="宋体" w:cs="宋体"/>
          <w:b/>
          <w:bCs/>
          <w:color w:val="000000"/>
          <w:kern w:val="0"/>
          <w:sz w:val="24"/>
          <w:szCs w:val="24"/>
          <w:highlight w:val="none"/>
          <w:lang w:bidi="ar"/>
        </w:rPr>
        <w:t>（烟气烟尘测试仪、便携式多气体检测仪、紫外烟气测试仪、原子吸收分光光度计、全自动紫外测油仪、全自动红外测油仪、原子荧光分光光度计、气相分子吸收光谱仪、气相色谱仪、气相色谱质谱仪、全自动总氮总磷分析仪、多通道流动注射分析仪（配阴离子和挥发酚模块）、全自动氰化物分析仪、全自动化学需氧量分析仪、全自动高锰酸盐指数分析仪、离子色谱仪、全自动固相萃取仪、全自动氮吹定量浓缩仪、微波消解仪、微波萃取仪、液相色谱仪、便携式水质重金属检测仪、便携式全自动测油仪、便携式X荧光重金属检测仪、低浓度自动烟尘烟气综合测试仪、电感耦合等离子体质谱仪（ICP-MS)、便携式测汞仪、便携式傅立叶红外分析仪）</w:t>
      </w:r>
      <w:r>
        <w:rPr>
          <w:rFonts w:hint="eastAsia" w:ascii="宋体" w:hAnsi="宋体" w:cs="宋体"/>
          <w:color w:val="000000"/>
          <w:kern w:val="0"/>
          <w:sz w:val="24"/>
          <w:szCs w:val="24"/>
          <w:highlight w:val="none"/>
          <w:lang w:bidi="ar"/>
        </w:rPr>
        <w:t>自最终验收合格之日起原厂免费质保</w:t>
      </w:r>
      <w:r>
        <w:rPr>
          <w:rFonts w:hint="eastAsia" w:ascii="宋体" w:hAnsi="宋体" w:cs="宋体"/>
          <w:b/>
          <w:bCs/>
          <w:color w:val="000000"/>
          <w:kern w:val="0"/>
          <w:sz w:val="24"/>
          <w:szCs w:val="24"/>
          <w:highlight w:val="none"/>
          <w:lang w:bidi="ar"/>
        </w:rPr>
        <w:t>3年</w:t>
      </w:r>
      <w:r>
        <w:rPr>
          <w:rFonts w:hint="eastAsia" w:ascii="宋体" w:hAnsi="宋体" w:cs="宋体"/>
          <w:color w:val="000000"/>
          <w:kern w:val="0"/>
          <w:sz w:val="24"/>
          <w:szCs w:val="24"/>
          <w:highlight w:val="none"/>
          <w:lang w:bidi="ar"/>
        </w:rPr>
        <w:t>。本项目其余设备（除以上重要设备）自最终验收合格之日起原厂免费质保1年，质保期内免费提供维修服务和配件更换、设备制造商技术人员上门售后服务每年至少1次（设备安装除外） (若中标人有优于此要求内容进行承诺的，以优于内容为准)</w:t>
      </w:r>
    </w:p>
    <w:p w14:paraId="745BD56B">
      <w:pPr>
        <w:widowControl/>
        <w:spacing w:line="360" w:lineRule="auto"/>
        <w:jc w:val="left"/>
        <w:rPr>
          <w:rFonts w:hint="eastAsia" w:ascii="宋体" w:hAnsi="宋体" w:cs="宋体"/>
          <w:b/>
          <w:bCs/>
          <w:highlight w:val="none"/>
        </w:rPr>
      </w:pPr>
      <w:r>
        <w:rPr>
          <w:rFonts w:hint="eastAsia" w:ascii="宋体" w:hAnsi="宋体" w:cs="宋体"/>
          <w:b/>
          <w:bCs/>
          <w:color w:val="000000"/>
          <w:kern w:val="0"/>
          <w:sz w:val="24"/>
          <w:szCs w:val="24"/>
          <w:highlight w:val="none"/>
          <w:lang w:bidi="ar"/>
        </w:rPr>
        <w:t xml:space="preserve">4.2仪器溯源：本项目涉及检定或需要溯源的设备，中标人应按采购人要求完成本项目对应仪器设备的检定或校准的溯源服务。 </w:t>
      </w:r>
    </w:p>
    <w:p w14:paraId="270F6A96">
      <w:pPr>
        <w:widowControl/>
        <w:spacing w:line="360" w:lineRule="auto"/>
        <w:jc w:val="left"/>
        <w:rPr>
          <w:rFonts w:hint="eastAsia" w:ascii="宋体" w:hAnsi="宋体" w:cs="宋体"/>
          <w:highlight w:val="none"/>
        </w:rPr>
      </w:pPr>
      <w:r>
        <w:rPr>
          <w:rFonts w:hint="eastAsia" w:ascii="宋体" w:hAnsi="宋体" w:cs="宋体"/>
          <w:color w:val="000000"/>
          <w:kern w:val="0"/>
          <w:sz w:val="24"/>
          <w:szCs w:val="24"/>
          <w:highlight w:val="none"/>
          <w:lang w:bidi="ar"/>
        </w:rPr>
        <w:t xml:space="preserve">4.3货物质量缺陷响应时间：提供7x24小时售后服务热线(电话或网络远程支持服务、现场支持服务)，产品在安装调试及质保期内如发现质量问题，中标人收到采购人的维修通知后2小时内响应，若运用通讯工具不能解决问题，须在48小时内到达现场提供免费上门维修服务，72小时内排除故障或提供备用机更换。相关人员食宿及相关费用由中标人负责。 </w:t>
      </w:r>
    </w:p>
    <w:p w14:paraId="5D7971FC">
      <w:pPr>
        <w:widowControl/>
        <w:spacing w:line="360" w:lineRule="auto"/>
        <w:jc w:val="left"/>
        <w:rPr>
          <w:rFonts w:hint="eastAsia" w:ascii="宋体" w:hAnsi="宋体" w:cs="宋体"/>
          <w:highlight w:val="none"/>
        </w:rPr>
      </w:pPr>
      <w:r>
        <w:rPr>
          <w:rFonts w:hint="eastAsia" w:ascii="宋体" w:hAnsi="宋体" w:cs="宋体"/>
          <w:color w:val="000000"/>
          <w:kern w:val="0"/>
          <w:sz w:val="24"/>
          <w:szCs w:val="24"/>
          <w:highlight w:val="none"/>
          <w:lang w:bidi="ar"/>
        </w:rPr>
        <w:t xml:space="preserve">4.4质量保证期内中标人应对由于设计、工艺或材料的缺陷而发生的任何不足和故障负责，质量保证期内应及时提供免费升级服务。 </w:t>
      </w:r>
    </w:p>
    <w:p w14:paraId="50CE1D6B">
      <w:pPr>
        <w:widowControl/>
        <w:spacing w:line="360" w:lineRule="auto"/>
        <w:jc w:val="left"/>
        <w:rPr>
          <w:rFonts w:hint="eastAsia" w:ascii="宋体" w:hAnsi="宋体" w:cs="宋体"/>
          <w:highlight w:val="none"/>
        </w:rPr>
      </w:pPr>
      <w:r>
        <w:rPr>
          <w:rFonts w:hint="eastAsia" w:ascii="宋体" w:hAnsi="宋体" w:cs="宋体"/>
          <w:color w:val="000000"/>
          <w:kern w:val="0"/>
          <w:sz w:val="24"/>
          <w:szCs w:val="24"/>
          <w:highlight w:val="none"/>
          <w:lang w:bidi="ar"/>
        </w:rPr>
        <w:t xml:space="preserve">4.5中标人所提供的货物必须是全新的、未使用过的制造商正宗原装合格货物，并附有合法、合格、齐全的手续以及厂家随商品附带的说明书等资料及物品，质量必须达到各项设备的出厂质量标准和国家标准。 </w:t>
      </w:r>
    </w:p>
    <w:p w14:paraId="72B22708">
      <w:pPr>
        <w:widowControl/>
        <w:spacing w:line="360" w:lineRule="auto"/>
        <w:jc w:val="left"/>
        <w:rPr>
          <w:rFonts w:hint="eastAsia" w:ascii="宋体" w:hAnsi="宋体" w:cs="宋体"/>
          <w:highlight w:val="none"/>
        </w:rPr>
      </w:pPr>
      <w:r>
        <w:rPr>
          <w:rFonts w:hint="eastAsia" w:ascii="宋体" w:hAnsi="宋体" w:cs="宋体"/>
          <w:color w:val="000000"/>
          <w:kern w:val="0"/>
          <w:sz w:val="24"/>
          <w:szCs w:val="24"/>
          <w:highlight w:val="none"/>
          <w:lang w:bidi="ar"/>
        </w:rPr>
        <w:t xml:space="preserve">4.6中标人应保证所提供的产品完全符合招标文件和投标文件的要求。 </w:t>
      </w:r>
    </w:p>
    <w:p w14:paraId="073C7BA7">
      <w:pPr>
        <w:widowControl/>
        <w:spacing w:line="360" w:lineRule="auto"/>
        <w:jc w:val="left"/>
        <w:rPr>
          <w:rFonts w:hint="eastAsia" w:ascii="宋体" w:hAnsi="宋体" w:cs="宋体"/>
          <w:highlight w:val="none"/>
        </w:rPr>
      </w:pPr>
      <w:r>
        <w:rPr>
          <w:rFonts w:hint="eastAsia" w:ascii="宋体" w:hAnsi="宋体" w:cs="宋体"/>
          <w:color w:val="000000"/>
          <w:kern w:val="0"/>
          <w:sz w:val="24"/>
          <w:szCs w:val="24"/>
          <w:highlight w:val="none"/>
          <w:lang w:bidi="ar"/>
        </w:rPr>
        <w:t xml:space="preserve">4.7采购人在使用过程中，一旦发现中标人所提供的货物不符合国家有关规定或质量有缺陷或与招标文件不符，采购人有权拒收或无条件退货，中标人无条件接受采购人退货，并按原价退还货款，同时，按违约条款处理，给采购人造成损失的，中标人应予赔偿。由此产生的一切责任和后果由中标人承担。 </w:t>
      </w:r>
    </w:p>
    <w:p w14:paraId="46776B76">
      <w:pPr>
        <w:widowControl/>
        <w:spacing w:line="360" w:lineRule="auto"/>
        <w:jc w:val="left"/>
        <w:rPr>
          <w:rFonts w:hint="eastAsia" w:ascii="宋体" w:hAnsi="宋体" w:cs="宋体"/>
          <w:highlight w:val="none"/>
        </w:rPr>
      </w:pPr>
      <w:r>
        <w:rPr>
          <w:rFonts w:hint="eastAsia" w:ascii="宋体" w:hAnsi="宋体" w:cs="宋体"/>
          <w:color w:val="000000"/>
          <w:kern w:val="0"/>
          <w:sz w:val="24"/>
          <w:szCs w:val="24"/>
          <w:highlight w:val="none"/>
          <w:lang w:bidi="ar"/>
        </w:rPr>
        <w:t xml:space="preserve">4.8质保期内非人为因素而出现的质量问题，由中标人负责三包（包修、包退、包换），并承担其费用。质保期满后，中标人有义务继续向采购人提供本项目的维修、技术支持等服务。 </w:t>
      </w:r>
    </w:p>
    <w:p w14:paraId="435DFECC">
      <w:pPr>
        <w:widowControl/>
        <w:spacing w:line="360" w:lineRule="auto"/>
        <w:jc w:val="left"/>
        <w:rPr>
          <w:rFonts w:hint="eastAsia" w:ascii="宋体" w:hAnsi="宋体" w:cs="宋体"/>
          <w:highlight w:val="none"/>
        </w:rPr>
      </w:pPr>
      <w:r>
        <w:rPr>
          <w:rFonts w:hint="eastAsia" w:ascii="宋体" w:hAnsi="宋体" w:cs="宋体"/>
          <w:b/>
          <w:bCs/>
          <w:color w:val="000000"/>
          <w:kern w:val="0"/>
          <w:sz w:val="24"/>
          <w:szCs w:val="24"/>
          <w:highlight w:val="none"/>
          <w:lang w:bidi="ar"/>
        </w:rPr>
        <w:t xml:space="preserve">5、货物包装、发运及运输 </w:t>
      </w:r>
    </w:p>
    <w:p w14:paraId="2305AC58">
      <w:pPr>
        <w:widowControl/>
        <w:spacing w:line="360" w:lineRule="auto"/>
        <w:jc w:val="left"/>
        <w:rPr>
          <w:rFonts w:hint="eastAsia" w:ascii="宋体" w:hAnsi="宋体" w:cs="宋体"/>
          <w:highlight w:val="none"/>
        </w:rPr>
      </w:pPr>
      <w:r>
        <w:rPr>
          <w:rFonts w:hint="eastAsia" w:ascii="宋体" w:hAnsi="宋体" w:cs="宋体"/>
          <w:color w:val="000000"/>
          <w:kern w:val="0"/>
          <w:sz w:val="24"/>
          <w:szCs w:val="24"/>
          <w:highlight w:val="none"/>
          <w:lang w:bidi="ar"/>
        </w:rPr>
        <w:t xml:space="preserve">5.1符合国家标准、行业规范和采购文件的要求。 </w:t>
      </w:r>
    </w:p>
    <w:p w14:paraId="0ED39C1E">
      <w:pPr>
        <w:widowControl/>
        <w:spacing w:line="360" w:lineRule="auto"/>
        <w:jc w:val="left"/>
        <w:rPr>
          <w:rFonts w:hint="eastAsia" w:ascii="宋体" w:hAnsi="宋体" w:cs="宋体"/>
          <w:highlight w:val="none"/>
        </w:rPr>
      </w:pPr>
      <w:r>
        <w:rPr>
          <w:rFonts w:hint="eastAsia" w:ascii="宋体" w:hAnsi="宋体" w:cs="宋体"/>
          <w:color w:val="000000"/>
          <w:kern w:val="0"/>
          <w:sz w:val="24"/>
          <w:szCs w:val="24"/>
          <w:highlight w:val="none"/>
          <w:lang w:bidi="ar"/>
        </w:rPr>
        <w:t xml:space="preserve">5.2除合同另有规定外，中标人提供的全部货物，应采用国家或专业标准保护措施进行包装，包装应适应于海运或空运或陆上长距离运输，并有良好的防潮、防震、防锈和防粗暴装卸等保护措施，确保货物安全无损运抵现场。由于包装不善所引起的货物锈蚀、损坏和损失造成的后果均由中标人承担。 </w:t>
      </w:r>
    </w:p>
    <w:p w14:paraId="57BD0ABC">
      <w:pPr>
        <w:widowControl/>
        <w:spacing w:line="360" w:lineRule="auto"/>
        <w:jc w:val="left"/>
        <w:rPr>
          <w:rFonts w:hint="eastAsia" w:ascii="宋体" w:hAnsi="宋体" w:cs="宋体"/>
          <w:highlight w:val="none"/>
        </w:rPr>
      </w:pPr>
      <w:r>
        <w:rPr>
          <w:rFonts w:hint="eastAsia" w:ascii="宋体" w:hAnsi="宋体" w:cs="宋体"/>
          <w:color w:val="000000"/>
          <w:kern w:val="0"/>
          <w:sz w:val="24"/>
          <w:szCs w:val="24"/>
          <w:highlight w:val="none"/>
          <w:lang w:bidi="ar"/>
        </w:rPr>
        <w:t xml:space="preserve">5.3每件包装箱内应附一份详细装箱单和质量合格证。 </w:t>
      </w:r>
    </w:p>
    <w:p w14:paraId="0C5E15BC">
      <w:pPr>
        <w:widowControl/>
        <w:spacing w:line="360" w:lineRule="auto"/>
        <w:jc w:val="left"/>
        <w:rPr>
          <w:rFonts w:hint="eastAsia" w:ascii="宋体" w:hAnsi="宋体" w:cs="宋体"/>
          <w:highlight w:val="none"/>
        </w:rPr>
      </w:pPr>
      <w:r>
        <w:rPr>
          <w:rFonts w:hint="eastAsia" w:ascii="宋体" w:hAnsi="宋体" w:cs="宋体"/>
          <w:color w:val="000000"/>
          <w:kern w:val="0"/>
          <w:sz w:val="24"/>
          <w:szCs w:val="24"/>
          <w:highlight w:val="none"/>
          <w:lang w:bidi="ar"/>
        </w:rPr>
        <w:t xml:space="preserve">5.4除合同另有规定外，装运标志均应采用国家或专业标准进行标志。由于标志不妥所造成货物损坏和损失的后果均由中标人承担。 </w:t>
      </w:r>
    </w:p>
    <w:p w14:paraId="23DB3334">
      <w:pPr>
        <w:widowControl/>
        <w:spacing w:line="360" w:lineRule="auto"/>
        <w:jc w:val="left"/>
        <w:rPr>
          <w:rFonts w:hint="eastAsia" w:ascii="宋体" w:hAnsi="宋体" w:cs="宋体"/>
          <w:highlight w:val="none"/>
        </w:rPr>
      </w:pPr>
      <w:r>
        <w:rPr>
          <w:rFonts w:hint="eastAsia" w:ascii="宋体" w:hAnsi="宋体" w:cs="宋体"/>
          <w:b/>
          <w:bCs/>
          <w:color w:val="000000"/>
          <w:kern w:val="0"/>
          <w:sz w:val="24"/>
          <w:szCs w:val="24"/>
          <w:highlight w:val="none"/>
          <w:lang w:bidi="ar"/>
        </w:rPr>
        <w:t xml:space="preserve">6、项目验收 </w:t>
      </w:r>
    </w:p>
    <w:p w14:paraId="072EA30F">
      <w:pPr>
        <w:widowControl/>
        <w:spacing w:line="360" w:lineRule="auto"/>
        <w:jc w:val="left"/>
        <w:rPr>
          <w:rFonts w:hint="eastAsia" w:ascii="宋体" w:hAnsi="宋体" w:cs="宋体"/>
          <w:highlight w:val="none"/>
        </w:rPr>
      </w:pPr>
      <w:r>
        <w:rPr>
          <w:rFonts w:hint="eastAsia" w:ascii="宋体" w:hAnsi="宋体" w:cs="宋体"/>
          <w:color w:val="000000"/>
          <w:kern w:val="0"/>
          <w:sz w:val="24"/>
          <w:szCs w:val="24"/>
          <w:highlight w:val="none"/>
          <w:lang w:bidi="ar"/>
        </w:rPr>
        <w:t xml:space="preserve">6.1 验收组织方式：采购人自行组织。 </w:t>
      </w:r>
    </w:p>
    <w:p w14:paraId="07306CA9">
      <w:pPr>
        <w:widowControl/>
        <w:spacing w:line="360" w:lineRule="auto"/>
        <w:jc w:val="left"/>
        <w:rPr>
          <w:rFonts w:hint="eastAsia" w:ascii="宋体" w:hAnsi="宋体" w:cs="宋体"/>
          <w:highlight w:val="none"/>
        </w:rPr>
      </w:pPr>
      <w:r>
        <w:rPr>
          <w:rFonts w:hint="eastAsia" w:ascii="宋体" w:hAnsi="宋体" w:cs="宋体"/>
          <w:color w:val="000000"/>
          <w:kern w:val="0"/>
          <w:sz w:val="24"/>
          <w:szCs w:val="24"/>
          <w:highlight w:val="none"/>
          <w:lang w:bidi="ar"/>
        </w:rPr>
        <w:t xml:space="preserve">验收主体：采购人及使用单位。 </w:t>
      </w:r>
    </w:p>
    <w:p w14:paraId="5AFC7621">
      <w:pPr>
        <w:widowControl/>
        <w:spacing w:line="360" w:lineRule="auto"/>
        <w:jc w:val="left"/>
        <w:rPr>
          <w:rFonts w:hint="eastAsia" w:ascii="宋体" w:hAnsi="宋体" w:cs="宋体"/>
          <w:highlight w:val="none"/>
        </w:rPr>
      </w:pPr>
      <w:r>
        <w:rPr>
          <w:rFonts w:hint="eastAsia" w:ascii="宋体" w:hAnsi="宋体" w:cs="宋体"/>
          <w:color w:val="000000"/>
          <w:kern w:val="0"/>
          <w:sz w:val="24"/>
          <w:szCs w:val="24"/>
          <w:highlight w:val="none"/>
          <w:lang w:bidi="ar"/>
        </w:rPr>
        <w:t xml:space="preserve">是否邀请本项目的其他人员参加验收：视实际情况邀请其他人员参加验收。 </w:t>
      </w:r>
    </w:p>
    <w:p w14:paraId="5ABF42BC">
      <w:pPr>
        <w:widowControl/>
        <w:spacing w:line="360" w:lineRule="auto"/>
        <w:jc w:val="left"/>
        <w:rPr>
          <w:rFonts w:hint="eastAsia" w:ascii="宋体" w:hAnsi="宋体" w:cs="宋体"/>
          <w:highlight w:val="none"/>
        </w:rPr>
      </w:pPr>
      <w:r>
        <w:rPr>
          <w:rFonts w:hint="eastAsia" w:ascii="宋体" w:hAnsi="宋体" w:cs="宋体"/>
          <w:color w:val="000000"/>
          <w:kern w:val="0"/>
          <w:sz w:val="24"/>
          <w:szCs w:val="24"/>
          <w:highlight w:val="none"/>
          <w:lang w:bidi="ar"/>
        </w:rPr>
        <w:t xml:space="preserve">验收组织的其他事项：现场验收。 </w:t>
      </w:r>
    </w:p>
    <w:p w14:paraId="769EE1F4">
      <w:pPr>
        <w:widowControl/>
        <w:spacing w:line="360" w:lineRule="auto"/>
        <w:jc w:val="left"/>
        <w:rPr>
          <w:rFonts w:hint="eastAsia" w:ascii="宋体" w:hAnsi="宋体" w:cs="宋体"/>
          <w:highlight w:val="none"/>
        </w:rPr>
      </w:pPr>
      <w:r>
        <w:rPr>
          <w:rFonts w:hint="eastAsia" w:ascii="宋体" w:hAnsi="宋体" w:cs="宋体"/>
          <w:color w:val="000000"/>
          <w:kern w:val="0"/>
          <w:sz w:val="24"/>
          <w:szCs w:val="24"/>
          <w:highlight w:val="none"/>
          <w:lang w:bidi="ar"/>
        </w:rPr>
        <w:t xml:space="preserve">中标人无条件配合采购人在验收过程中的需求，包括但不限于要求中标人安排专业人员到场协助验收，解答技术问题或操作演示，配合采购人进行抽样检测、功能测试、安装调试等，否则视为中标人不配合验收，采购人可以直接认定验收不合格。 </w:t>
      </w:r>
    </w:p>
    <w:p w14:paraId="0845D3E0">
      <w:pPr>
        <w:widowControl/>
        <w:spacing w:line="360" w:lineRule="auto"/>
        <w:jc w:val="left"/>
        <w:rPr>
          <w:rFonts w:hint="eastAsia" w:ascii="宋体" w:hAnsi="宋体" w:cs="宋体"/>
          <w:highlight w:val="none"/>
        </w:rPr>
      </w:pPr>
      <w:r>
        <w:rPr>
          <w:rFonts w:hint="eastAsia" w:ascii="宋体" w:hAnsi="宋体" w:cs="宋体"/>
          <w:color w:val="000000"/>
          <w:kern w:val="0"/>
          <w:sz w:val="24"/>
          <w:szCs w:val="24"/>
          <w:highlight w:val="none"/>
          <w:lang w:bidi="ar"/>
        </w:rPr>
        <w:t xml:space="preserve">6.2 履约验收时间： </w:t>
      </w:r>
    </w:p>
    <w:p w14:paraId="1CA59688">
      <w:pPr>
        <w:widowControl/>
        <w:spacing w:line="360" w:lineRule="auto"/>
        <w:jc w:val="left"/>
        <w:rPr>
          <w:rFonts w:hint="eastAsia" w:ascii="宋体" w:hAnsi="宋体" w:cs="宋体"/>
          <w:highlight w:val="none"/>
        </w:rPr>
      </w:pPr>
      <w:r>
        <w:rPr>
          <w:rFonts w:hint="eastAsia" w:ascii="宋体" w:hAnsi="宋体" w:cs="宋体"/>
          <w:color w:val="000000"/>
          <w:kern w:val="0"/>
          <w:sz w:val="24"/>
          <w:szCs w:val="24"/>
          <w:highlight w:val="none"/>
          <w:lang w:bidi="ar"/>
        </w:rPr>
        <w:t>①交货周期：中标人应于交货周期内交付项目的全部货物，交货期为自合同签订之日起, 交货日期不超过</w:t>
      </w:r>
      <w:r>
        <w:rPr>
          <w:rFonts w:hint="eastAsia" w:ascii="宋体" w:hAnsi="宋体" w:cs="宋体"/>
          <w:color w:val="000000"/>
          <w:kern w:val="0"/>
          <w:sz w:val="24"/>
          <w:szCs w:val="24"/>
          <w:highlight w:val="none"/>
          <w:lang w:val="en-US" w:eastAsia="zh-CN" w:bidi="ar"/>
        </w:rPr>
        <w:t>45</w:t>
      </w:r>
      <w:r>
        <w:rPr>
          <w:rFonts w:hint="eastAsia" w:ascii="宋体" w:hAnsi="宋体" w:cs="宋体"/>
          <w:color w:val="000000"/>
          <w:kern w:val="0"/>
          <w:sz w:val="24"/>
          <w:szCs w:val="24"/>
          <w:highlight w:val="none"/>
          <w:lang w:bidi="ar"/>
        </w:rPr>
        <w:t xml:space="preserve">个自然日，具体时间以中标人投标文件承诺的交货周期为准。 </w:t>
      </w:r>
    </w:p>
    <w:p w14:paraId="041FA9A6">
      <w:pPr>
        <w:widowControl/>
        <w:spacing w:line="360" w:lineRule="auto"/>
        <w:jc w:val="left"/>
        <w:rPr>
          <w:rFonts w:hint="eastAsia" w:ascii="宋体" w:hAnsi="宋体" w:cs="宋体"/>
          <w:highlight w:val="none"/>
        </w:rPr>
      </w:pPr>
      <w:r>
        <w:rPr>
          <w:rFonts w:hint="eastAsia" w:ascii="宋体" w:hAnsi="宋体" w:cs="宋体"/>
          <w:color w:val="000000"/>
          <w:kern w:val="0"/>
          <w:sz w:val="24"/>
          <w:szCs w:val="24"/>
          <w:highlight w:val="none"/>
          <w:lang w:bidi="ar"/>
        </w:rPr>
        <w:t xml:space="preserve">因自然灾害等不可抗力因素造成项目货物不能完整交付的，中标人应提前书面通知采购 人并提供证明材料，经采购人审核同意后，另行确定交货时间和违约补偿方式。 </w:t>
      </w:r>
    </w:p>
    <w:p w14:paraId="59BD6204">
      <w:pPr>
        <w:widowControl/>
        <w:spacing w:line="360" w:lineRule="auto"/>
        <w:jc w:val="left"/>
        <w:rPr>
          <w:rFonts w:hint="eastAsia" w:ascii="宋体" w:hAnsi="宋体" w:cs="宋体"/>
          <w:highlight w:val="none"/>
        </w:rPr>
      </w:pPr>
      <w:r>
        <w:rPr>
          <w:rFonts w:hint="eastAsia" w:ascii="宋体" w:hAnsi="宋体" w:cs="宋体"/>
          <w:color w:val="000000"/>
          <w:kern w:val="0"/>
          <w:sz w:val="24"/>
          <w:szCs w:val="24"/>
          <w:highlight w:val="none"/>
          <w:lang w:bidi="ar"/>
        </w:rPr>
        <w:t xml:space="preserve">②项目产品验收时间：中标人应在15个工作日内完成项目验收的前期准备并提出项目产品验收申请，原则上项目产品整体验收时间不超过30个工作日（时间以中标人投标文件承诺的“全部到货最终截止日”之日起算）。 </w:t>
      </w:r>
    </w:p>
    <w:p w14:paraId="355891C4">
      <w:pPr>
        <w:widowControl/>
        <w:spacing w:line="360" w:lineRule="auto"/>
        <w:jc w:val="left"/>
        <w:rPr>
          <w:rFonts w:hint="eastAsia" w:ascii="宋体" w:hAnsi="宋体" w:cs="宋体"/>
          <w:highlight w:val="none"/>
        </w:rPr>
      </w:pPr>
      <w:r>
        <w:rPr>
          <w:rFonts w:hint="eastAsia" w:ascii="宋体" w:hAnsi="宋体" w:cs="宋体"/>
          <w:color w:val="000000"/>
          <w:kern w:val="0"/>
          <w:sz w:val="24"/>
          <w:szCs w:val="24"/>
          <w:highlight w:val="none"/>
          <w:lang w:bidi="ar"/>
        </w:rPr>
        <w:t>③试运行验收时间：项目产品验收通过后，采购人或使用单位对检测类仪器设备开展试运行，时间不超过</w:t>
      </w:r>
      <w:r>
        <w:rPr>
          <w:rFonts w:hint="eastAsia" w:ascii="宋体" w:hAnsi="宋体" w:cs="宋体"/>
          <w:color w:val="000000"/>
          <w:kern w:val="0"/>
          <w:sz w:val="24"/>
          <w:szCs w:val="24"/>
          <w:highlight w:val="none"/>
          <w:lang w:val="en-US" w:eastAsia="zh-CN" w:bidi="ar"/>
        </w:rPr>
        <w:t>90</w:t>
      </w:r>
      <w:r>
        <w:rPr>
          <w:rFonts w:hint="eastAsia" w:ascii="宋体" w:hAnsi="宋体" w:cs="宋体"/>
          <w:color w:val="000000"/>
          <w:kern w:val="0"/>
          <w:sz w:val="24"/>
          <w:szCs w:val="24"/>
          <w:highlight w:val="none"/>
          <w:lang w:bidi="ar"/>
        </w:rPr>
        <w:t xml:space="preserve">个自然日。 </w:t>
      </w:r>
    </w:p>
    <w:p w14:paraId="02E14C90">
      <w:pPr>
        <w:widowControl/>
        <w:spacing w:line="360" w:lineRule="auto"/>
        <w:jc w:val="left"/>
        <w:rPr>
          <w:rFonts w:hint="eastAsia" w:ascii="宋体" w:hAnsi="宋体" w:cs="宋体"/>
          <w:highlight w:val="none"/>
        </w:rPr>
      </w:pPr>
      <w:r>
        <w:rPr>
          <w:rFonts w:hint="eastAsia" w:ascii="宋体" w:hAnsi="宋体" w:cs="宋体"/>
          <w:color w:val="000000"/>
          <w:kern w:val="0"/>
          <w:sz w:val="24"/>
          <w:szCs w:val="24"/>
          <w:highlight w:val="none"/>
          <w:lang w:bidi="ar"/>
        </w:rPr>
        <w:t xml:space="preserve">6.3履约验收方式：分期验收，包括项目产品验收和试运行验收。 </w:t>
      </w:r>
    </w:p>
    <w:p w14:paraId="26A161D8">
      <w:pPr>
        <w:widowControl/>
        <w:spacing w:line="360" w:lineRule="auto"/>
        <w:jc w:val="left"/>
        <w:rPr>
          <w:rFonts w:hint="eastAsia" w:ascii="宋体" w:hAnsi="宋体" w:cs="宋体"/>
          <w:highlight w:val="none"/>
        </w:rPr>
      </w:pPr>
      <w:r>
        <w:rPr>
          <w:rFonts w:hint="eastAsia" w:ascii="宋体" w:hAnsi="宋体" w:cs="宋体"/>
          <w:color w:val="000000"/>
          <w:kern w:val="0"/>
          <w:sz w:val="24"/>
          <w:szCs w:val="24"/>
          <w:highlight w:val="none"/>
          <w:lang w:bidi="ar"/>
        </w:rPr>
        <w:t xml:space="preserve">6.4履约验收程序： </w:t>
      </w:r>
    </w:p>
    <w:p w14:paraId="41D1424D">
      <w:pPr>
        <w:widowControl/>
        <w:spacing w:line="360" w:lineRule="auto"/>
        <w:jc w:val="left"/>
        <w:rPr>
          <w:rFonts w:hint="eastAsia" w:ascii="宋体" w:hAnsi="宋体" w:cs="宋体"/>
          <w:highlight w:val="none"/>
        </w:rPr>
      </w:pPr>
      <w:r>
        <w:rPr>
          <w:rFonts w:hint="eastAsia" w:ascii="宋体" w:hAnsi="宋体" w:cs="宋体"/>
          <w:color w:val="000000"/>
          <w:kern w:val="0"/>
          <w:sz w:val="24"/>
          <w:szCs w:val="24"/>
          <w:highlight w:val="none"/>
          <w:lang w:bidi="ar"/>
        </w:rPr>
        <w:t xml:space="preserve">①验收前准备：中标人应按投标文件中承诺的时间要求，将货物送达采购人指定的安装地点，并完成仪器设备的安装调试等前期准备工作； </w:t>
      </w:r>
    </w:p>
    <w:p w14:paraId="46039DA4">
      <w:pPr>
        <w:widowControl/>
        <w:spacing w:line="360" w:lineRule="auto"/>
        <w:jc w:val="left"/>
        <w:rPr>
          <w:rFonts w:hint="eastAsia" w:ascii="宋体" w:hAnsi="宋体" w:cs="宋体"/>
          <w:highlight w:val="none"/>
        </w:rPr>
      </w:pPr>
      <w:r>
        <w:rPr>
          <w:rFonts w:hint="eastAsia" w:ascii="宋体" w:hAnsi="宋体" w:cs="宋体"/>
          <w:color w:val="000000"/>
          <w:kern w:val="0"/>
          <w:sz w:val="24"/>
          <w:szCs w:val="24"/>
          <w:highlight w:val="none"/>
          <w:lang w:bidi="ar"/>
        </w:rPr>
        <w:t xml:space="preserve">②申请验收：中标人待确认本项目全部的货物数量、质量、规格、型号等符合招投标文件要求，且仪器调试无问题后，向采购人或使用单位提出项目产品验收申请； </w:t>
      </w:r>
    </w:p>
    <w:p w14:paraId="4DAF7CED">
      <w:pPr>
        <w:widowControl/>
        <w:spacing w:line="360" w:lineRule="auto"/>
        <w:jc w:val="left"/>
        <w:rPr>
          <w:rFonts w:hint="eastAsia" w:ascii="宋体" w:hAnsi="宋体" w:cs="宋体"/>
          <w:highlight w:val="none"/>
        </w:rPr>
      </w:pPr>
      <w:r>
        <w:rPr>
          <w:rFonts w:hint="eastAsia" w:ascii="宋体" w:hAnsi="宋体" w:cs="宋体"/>
          <w:color w:val="000000"/>
          <w:kern w:val="0"/>
          <w:sz w:val="24"/>
          <w:szCs w:val="24"/>
          <w:highlight w:val="none"/>
          <w:lang w:bidi="ar"/>
        </w:rPr>
        <w:t xml:space="preserve">③项目产品验收：采购人收到中标人项目产品验收申请后，对照项目招投标文件技术参数、主要配置、验收指标、评审因素加分项等内容，开展整个项目的产品验收； </w:t>
      </w:r>
    </w:p>
    <w:p w14:paraId="139472CA">
      <w:pPr>
        <w:widowControl/>
        <w:spacing w:line="360" w:lineRule="auto"/>
        <w:jc w:val="left"/>
        <w:rPr>
          <w:rFonts w:hint="eastAsia" w:ascii="宋体" w:hAnsi="宋体" w:cs="宋体"/>
          <w:highlight w:val="none"/>
        </w:rPr>
      </w:pPr>
      <w:r>
        <w:rPr>
          <w:rFonts w:hint="eastAsia" w:ascii="宋体" w:hAnsi="宋体" w:cs="宋体"/>
          <w:color w:val="000000"/>
          <w:kern w:val="0"/>
          <w:sz w:val="24"/>
          <w:szCs w:val="24"/>
          <w:highlight w:val="none"/>
          <w:lang w:bidi="ar"/>
        </w:rPr>
        <w:t xml:space="preserve">④试运行验收：项目产品验收通过后，采购人或使用单位在试运行期间对检测类仪器设备运行情况及出具的实际样品检测数据质量进行验收； </w:t>
      </w:r>
    </w:p>
    <w:p w14:paraId="70AB65AE">
      <w:pPr>
        <w:widowControl/>
        <w:spacing w:line="360" w:lineRule="auto"/>
        <w:jc w:val="left"/>
        <w:rPr>
          <w:rFonts w:hint="eastAsia" w:ascii="宋体" w:hAnsi="宋体" w:cs="宋体"/>
          <w:highlight w:val="none"/>
        </w:rPr>
      </w:pPr>
      <w:r>
        <w:rPr>
          <w:rFonts w:hint="eastAsia" w:ascii="宋体" w:hAnsi="宋体" w:cs="宋体"/>
          <w:color w:val="000000"/>
          <w:kern w:val="0"/>
          <w:sz w:val="24"/>
          <w:szCs w:val="24"/>
          <w:highlight w:val="none"/>
          <w:lang w:bidi="ar"/>
        </w:rPr>
        <w:t xml:space="preserve">⑤归档：项目产品验收和试运行验收通过后，中标人应负责将全部有关技术文件、资料、验收报告等文档，以及试运行的相关测试数据和仪器无故障证明材料，汇集成册并胶印3份交付给采购人，试运行结束后项目仪器进入质保服务期。 </w:t>
      </w:r>
    </w:p>
    <w:p w14:paraId="30247AF5">
      <w:pPr>
        <w:widowControl/>
        <w:spacing w:line="360" w:lineRule="auto"/>
        <w:jc w:val="left"/>
        <w:rPr>
          <w:rFonts w:hint="eastAsia" w:ascii="宋体" w:hAnsi="宋体" w:cs="宋体"/>
          <w:highlight w:val="none"/>
        </w:rPr>
      </w:pPr>
      <w:r>
        <w:rPr>
          <w:rFonts w:hint="eastAsia" w:ascii="宋体" w:hAnsi="宋体" w:cs="宋体"/>
          <w:color w:val="000000"/>
          <w:kern w:val="0"/>
          <w:sz w:val="24"/>
          <w:szCs w:val="24"/>
          <w:highlight w:val="none"/>
          <w:lang w:bidi="ar"/>
        </w:rPr>
        <w:t xml:space="preserve">6.5履约验收的内容：项目全部货物的数量、型号、性能指标、商务要求等内容。 </w:t>
      </w:r>
    </w:p>
    <w:p w14:paraId="704433E8">
      <w:pPr>
        <w:widowControl/>
        <w:spacing w:line="360" w:lineRule="auto"/>
        <w:jc w:val="left"/>
        <w:rPr>
          <w:rFonts w:ascii="宋体" w:hAnsi="宋体" w:cs="宋体"/>
          <w:b w:val="0"/>
          <w:bCs w:val="0"/>
          <w:highlight w:val="none"/>
        </w:rPr>
      </w:pPr>
      <w:r>
        <w:rPr>
          <w:rFonts w:hint="eastAsia" w:ascii="宋体" w:hAnsi="宋体" w:cs="宋体"/>
          <w:b w:val="0"/>
          <w:bCs w:val="0"/>
          <w:color w:val="000000"/>
          <w:kern w:val="0"/>
          <w:sz w:val="24"/>
          <w:szCs w:val="24"/>
          <w:highlight w:val="none"/>
          <w:lang w:bidi="ar"/>
        </w:rPr>
        <w:t>6.6履约验收标准及要求：</w:t>
      </w:r>
      <w:r>
        <w:rPr>
          <w:rFonts w:hint="default" w:ascii="Calibri" w:hAnsi="Calibri" w:cs="Calibri"/>
          <w:b w:val="0"/>
          <w:bCs w:val="0"/>
          <w:color w:val="000000"/>
          <w:kern w:val="0"/>
          <w:sz w:val="24"/>
          <w:szCs w:val="24"/>
          <w:highlight w:val="none"/>
          <w:lang w:bidi="ar"/>
        </w:rPr>
        <w:t>①</w:t>
      </w:r>
      <w:r>
        <w:rPr>
          <w:rFonts w:hint="eastAsia" w:ascii="宋体" w:hAnsi="宋体" w:cs="宋体"/>
          <w:b w:val="0"/>
          <w:bCs w:val="0"/>
          <w:color w:val="000000"/>
          <w:kern w:val="0"/>
          <w:sz w:val="24"/>
          <w:szCs w:val="24"/>
          <w:highlight w:val="none"/>
          <w:lang w:val="en-US" w:eastAsia="zh-CN" w:bidi="ar"/>
        </w:rPr>
        <w:t>按照相关国家、行业、地方相关标准执行；</w:t>
      </w:r>
      <w:r>
        <w:rPr>
          <w:rFonts w:hint="default" w:ascii="Calibri" w:hAnsi="Calibri" w:cs="Calibri"/>
          <w:b w:val="0"/>
          <w:bCs w:val="0"/>
          <w:color w:val="000000"/>
          <w:kern w:val="0"/>
          <w:sz w:val="24"/>
          <w:szCs w:val="24"/>
          <w:highlight w:val="none"/>
          <w:lang w:val="en-US" w:eastAsia="zh-CN" w:bidi="ar"/>
        </w:rPr>
        <w:t>②</w:t>
      </w:r>
      <w:r>
        <w:rPr>
          <w:rFonts w:hint="eastAsia" w:ascii="宋体" w:hAnsi="宋体" w:cs="宋体"/>
          <w:b w:val="0"/>
          <w:bCs w:val="0"/>
          <w:color w:val="000000"/>
          <w:kern w:val="0"/>
          <w:sz w:val="24"/>
          <w:szCs w:val="24"/>
          <w:highlight w:val="none"/>
          <w:lang w:val="en-US" w:eastAsia="zh-CN" w:bidi="ar"/>
        </w:rPr>
        <w:t>对照招标文件、中标人投标文件、采购合同；</w:t>
      </w:r>
      <w:r>
        <w:rPr>
          <w:rFonts w:hint="default" w:ascii="Calibri" w:hAnsi="Calibri" w:cs="Calibri"/>
          <w:b w:val="0"/>
          <w:bCs w:val="0"/>
          <w:color w:val="000000"/>
          <w:kern w:val="0"/>
          <w:sz w:val="24"/>
          <w:szCs w:val="24"/>
          <w:highlight w:val="none"/>
          <w:lang w:val="en-US" w:eastAsia="zh-CN" w:bidi="ar"/>
        </w:rPr>
        <w:t>③</w:t>
      </w:r>
      <w:r>
        <w:rPr>
          <w:rFonts w:hint="eastAsia" w:ascii="宋体" w:hAnsi="宋体" w:cs="宋体"/>
          <w:b w:val="0"/>
          <w:bCs w:val="0"/>
          <w:color w:val="000000"/>
          <w:kern w:val="0"/>
          <w:sz w:val="24"/>
          <w:szCs w:val="24"/>
          <w:highlight w:val="none"/>
          <w:lang w:val="en-US" w:eastAsia="zh-CN" w:bidi="ar"/>
        </w:rPr>
        <w:t>根据</w:t>
      </w:r>
      <w:r>
        <w:rPr>
          <w:rFonts w:hint="eastAsia" w:ascii="宋体" w:hAnsi="宋体" w:cs="宋体"/>
          <w:b w:val="0"/>
          <w:bCs w:val="0"/>
          <w:color w:val="000000"/>
          <w:kern w:val="0"/>
          <w:sz w:val="24"/>
          <w:szCs w:val="24"/>
          <w:highlight w:val="none"/>
          <w:lang w:bidi="ar"/>
        </w:rPr>
        <w:t>《江西省生态环境厅关于印发江西省市县生态环境监管能力提升项目验收复核办法的通知》（赣环科财字〔2025〕89 号）和《&lt;江西省生态环境监测中心监测能力提升三年行动实施方案&gt;监测能力建设项目（仪器设备类）专项验收工作规程》</w:t>
      </w:r>
      <w:r>
        <w:rPr>
          <w:rFonts w:hint="eastAsia" w:ascii="宋体" w:hAnsi="宋体" w:cs="宋体"/>
          <w:b w:val="0"/>
          <w:bCs w:val="0"/>
          <w:color w:val="000000"/>
          <w:kern w:val="0"/>
          <w:sz w:val="24"/>
          <w:szCs w:val="24"/>
          <w:highlight w:val="none"/>
          <w:lang w:val="en-US" w:eastAsia="zh-CN" w:bidi="ar"/>
        </w:rPr>
        <w:t>开展验收</w:t>
      </w:r>
      <w:r>
        <w:rPr>
          <w:rFonts w:hint="eastAsia" w:ascii="宋体" w:hAnsi="宋体" w:cs="宋体"/>
          <w:b w:val="0"/>
          <w:bCs w:val="0"/>
          <w:color w:val="000000"/>
          <w:kern w:val="0"/>
          <w:sz w:val="24"/>
          <w:szCs w:val="24"/>
          <w:highlight w:val="none"/>
          <w:lang w:eastAsia="zh-CN" w:bidi="ar"/>
        </w:rPr>
        <w:t>；</w:t>
      </w:r>
      <w:r>
        <w:rPr>
          <w:rFonts w:hint="eastAsia" w:ascii="楷体" w:hAnsi="楷体" w:eastAsia="楷体" w:cs="楷体"/>
          <w:b w:val="0"/>
          <w:bCs w:val="0"/>
          <w:color w:val="000000"/>
          <w:kern w:val="0"/>
          <w:sz w:val="24"/>
          <w:szCs w:val="24"/>
          <w:highlight w:val="none"/>
          <w:lang w:eastAsia="zh-CN" w:bidi="ar"/>
        </w:rPr>
        <w:t>④</w:t>
      </w:r>
      <w:r>
        <w:rPr>
          <w:rFonts w:hint="eastAsia" w:ascii="宋体" w:hAnsi="宋体" w:cs="宋体"/>
          <w:b w:val="0"/>
          <w:bCs w:val="0"/>
          <w:color w:val="000000"/>
          <w:kern w:val="0"/>
          <w:sz w:val="24"/>
          <w:szCs w:val="24"/>
          <w:highlight w:val="none"/>
          <w:lang w:bidi="ar"/>
        </w:rPr>
        <w:t>满足其它相关要求，中标人提供的仪器设备须满足按照国家相关标准方法进行样品测试的方法检出限、精密度、正确度和空白加标回收率等质控要求。</w:t>
      </w:r>
    </w:p>
    <w:p w14:paraId="46325925">
      <w:pPr>
        <w:widowControl/>
        <w:spacing w:line="360" w:lineRule="auto"/>
        <w:jc w:val="left"/>
        <w:rPr>
          <w:rFonts w:hint="eastAsia" w:ascii="宋体" w:hAnsi="宋体" w:cs="宋体"/>
          <w:highlight w:val="none"/>
        </w:rPr>
      </w:pPr>
      <w:r>
        <w:rPr>
          <w:rFonts w:hint="eastAsia" w:ascii="宋体" w:hAnsi="宋体" w:cs="宋体"/>
          <w:color w:val="000000"/>
          <w:kern w:val="0"/>
          <w:sz w:val="24"/>
          <w:szCs w:val="24"/>
          <w:highlight w:val="none"/>
          <w:lang w:bidi="ar"/>
        </w:rPr>
        <w:t xml:space="preserve">6.7 履约验收其他事项：本项目产品或产品部件（部件属于强制检定的），必须符合国家或行业相关质量标准，必须符合招投标文件的约定，需提供产品或产品部件的相关证明材料，并依据招标文件要求、中标人投标文件和服务承诺、采购合同和国家或行业分析技术规范开展性能验收。 </w:t>
      </w:r>
    </w:p>
    <w:p w14:paraId="6AF44EAE">
      <w:pPr>
        <w:widowControl/>
        <w:spacing w:line="360" w:lineRule="auto"/>
        <w:jc w:val="left"/>
        <w:rPr>
          <w:rFonts w:hint="eastAsia" w:ascii="宋体" w:hAnsi="宋体" w:cs="宋体"/>
          <w:highlight w:val="none"/>
        </w:rPr>
      </w:pPr>
      <w:r>
        <w:rPr>
          <w:rFonts w:hint="eastAsia" w:ascii="宋体" w:hAnsi="宋体" w:cs="宋体"/>
          <w:b/>
          <w:bCs/>
          <w:color w:val="000000"/>
          <w:kern w:val="0"/>
          <w:sz w:val="24"/>
          <w:szCs w:val="24"/>
          <w:highlight w:val="none"/>
          <w:lang w:bidi="ar"/>
        </w:rPr>
        <w:t xml:space="preserve">7、售后服务 </w:t>
      </w:r>
    </w:p>
    <w:p w14:paraId="01C58E08">
      <w:pPr>
        <w:widowControl/>
        <w:spacing w:line="360" w:lineRule="auto"/>
        <w:jc w:val="left"/>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7.1免费培训：中标人须提供所有仪器设备现场培训（包括仪器基本原理、操作使用及日常保养维护等，不限人次）。中标人须为本项目</w:t>
      </w:r>
      <w:r>
        <w:rPr>
          <w:rFonts w:hint="eastAsia" w:ascii="宋体" w:hAnsi="宋体" w:cs="宋体"/>
          <w:b/>
          <w:bCs/>
          <w:color w:val="000000"/>
          <w:kern w:val="0"/>
          <w:sz w:val="24"/>
          <w:szCs w:val="24"/>
          <w:highlight w:val="none"/>
          <w:lang w:bidi="ar"/>
        </w:rPr>
        <w:t>电感耦合等离子体质谱仪、气相色谱质谱仪（自动吹扫捕集）、气相色谱仪、液相色谱仪、原子吸收分光光度计、原子荧光分光光度计、离子色谱仪、多通道流动注射分析仪（配阴离子和挥发酚模块）</w:t>
      </w:r>
      <w:r>
        <w:rPr>
          <w:rFonts w:hint="eastAsia" w:ascii="宋体" w:hAnsi="宋体" w:cs="宋体"/>
          <w:b/>
          <w:bCs/>
          <w:color w:val="000000"/>
          <w:kern w:val="0"/>
          <w:sz w:val="24"/>
          <w:szCs w:val="24"/>
          <w:highlight w:val="none"/>
          <w:lang w:eastAsia="zh-CN" w:bidi="ar"/>
        </w:rPr>
        <w:t>、</w:t>
      </w:r>
      <w:r>
        <w:rPr>
          <w:rFonts w:hint="eastAsia" w:ascii="宋体" w:hAnsi="宋体" w:cs="宋体"/>
          <w:b/>
          <w:bCs/>
          <w:color w:val="000000"/>
          <w:kern w:val="0"/>
          <w:sz w:val="24"/>
          <w:szCs w:val="24"/>
          <w:highlight w:val="none"/>
          <w:lang w:val="en-US" w:eastAsia="zh-CN" w:bidi="ar"/>
        </w:rPr>
        <w:t>便携式傅立叶红外分析仪</w:t>
      </w:r>
      <w:r>
        <w:rPr>
          <w:rFonts w:hint="eastAsia" w:ascii="宋体" w:hAnsi="宋体" w:cs="宋体"/>
          <w:color w:val="000000"/>
          <w:kern w:val="0"/>
          <w:sz w:val="24"/>
          <w:szCs w:val="24"/>
          <w:highlight w:val="none"/>
          <w:lang w:bidi="ar"/>
        </w:rPr>
        <w:t>提供赴产品制造商技术培训名额至少1人/台，所需费用（含授课、场地</w:t>
      </w: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bidi="ar"/>
        </w:rPr>
        <w:t>交通、食宿等）均计入投标报价中，采购人不再另行支付费用。(若投标人有优于此要求内容进行承诺的，以优于内容为准)。</w:t>
      </w:r>
    </w:p>
    <w:p w14:paraId="3A5CBAD7">
      <w:pPr>
        <w:widowControl/>
        <w:spacing w:line="360" w:lineRule="auto"/>
        <w:jc w:val="left"/>
        <w:rPr>
          <w:rFonts w:hint="eastAsia" w:ascii="宋体" w:hAnsi="宋体" w:cs="宋体"/>
          <w:highlight w:val="none"/>
        </w:rPr>
      </w:pPr>
      <w:r>
        <w:rPr>
          <w:rFonts w:hint="eastAsia" w:ascii="宋体" w:hAnsi="宋体" w:cs="宋体"/>
          <w:b/>
          <w:bCs/>
          <w:color w:val="000000"/>
          <w:kern w:val="0"/>
          <w:sz w:val="24"/>
          <w:szCs w:val="24"/>
          <w:highlight w:val="none"/>
          <w:lang w:bidi="ar"/>
        </w:rPr>
        <w:t>7.2 中标人须提供2名化学或仪器分析专业技术人员3年时长的驻场服务。</w:t>
      </w:r>
      <w:r>
        <w:rPr>
          <w:rFonts w:hint="eastAsia" w:ascii="宋体" w:hAnsi="宋体" w:cs="宋体"/>
          <w:color w:val="000000"/>
          <w:kern w:val="0"/>
          <w:sz w:val="24"/>
          <w:szCs w:val="24"/>
          <w:highlight w:val="none"/>
          <w:lang w:bidi="ar"/>
        </w:rPr>
        <w:t>(若投标人有优于此要求内容进行承诺的，以优于内容为准)</w:t>
      </w:r>
    </w:p>
    <w:p w14:paraId="2FDF550A">
      <w:pPr>
        <w:widowControl/>
        <w:spacing w:line="360" w:lineRule="auto"/>
        <w:jc w:val="left"/>
        <w:rPr>
          <w:rFonts w:hint="eastAsia" w:ascii="宋体" w:hAnsi="宋体" w:cs="宋体"/>
          <w:b/>
          <w:bCs/>
          <w:color w:val="000000"/>
          <w:kern w:val="0"/>
          <w:sz w:val="24"/>
          <w:szCs w:val="24"/>
          <w:highlight w:val="none"/>
          <w:lang w:bidi="ar"/>
        </w:rPr>
      </w:pPr>
      <w:r>
        <w:rPr>
          <w:rFonts w:hint="eastAsia" w:ascii="宋体" w:hAnsi="宋体" w:cs="宋体"/>
          <w:b/>
          <w:bCs/>
          <w:color w:val="000000"/>
          <w:kern w:val="0"/>
          <w:sz w:val="24"/>
          <w:szCs w:val="24"/>
          <w:highlight w:val="none"/>
          <w:lang w:bidi="ar"/>
        </w:rPr>
        <w:t>8、迟延交货</w:t>
      </w:r>
    </w:p>
    <w:p w14:paraId="6DE1E020">
      <w:pPr>
        <w:widowControl/>
        <w:spacing w:line="360" w:lineRule="auto"/>
        <w:jc w:val="left"/>
        <w:rPr>
          <w:rFonts w:hint="eastAsia" w:ascii="宋体" w:hAnsi="宋体" w:cs="宋体"/>
          <w:highlight w:val="none"/>
        </w:rPr>
      </w:pPr>
      <w:r>
        <w:rPr>
          <w:rFonts w:hint="eastAsia" w:ascii="宋体" w:hAnsi="宋体" w:cs="宋体"/>
          <w:color w:val="000000"/>
          <w:kern w:val="0"/>
          <w:sz w:val="24"/>
          <w:szCs w:val="24"/>
          <w:highlight w:val="none"/>
          <w:lang w:bidi="ar"/>
        </w:rPr>
        <w:t>如中标人没有按照合同规定时间交货(不可抗力除外)，应承担违约责任并支付赔偿，赔偿按每延期一周（每周按7天算，不足7天按1周计算），按合同总价的1%扣除（从履约保证金中扣除），履约保证金不足以弥补采购人所受全部损失的，采购人有权终止合同，中标人必须承担由此产生的相应法律责任。</w:t>
      </w:r>
    </w:p>
    <w:p w14:paraId="692615C9">
      <w:pPr>
        <w:widowControl/>
        <w:spacing w:line="360" w:lineRule="auto"/>
        <w:jc w:val="left"/>
        <w:rPr>
          <w:rFonts w:hint="eastAsia" w:ascii="宋体" w:hAnsi="宋体" w:cs="宋体"/>
          <w:highlight w:val="none"/>
        </w:rPr>
      </w:pPr>
      <w:r>
        <w:rPr>
          <w:rFonts w:hint="eastAsia" w:ascii="宋体" w:hAnsi="宋体" w:cs="宋体"/>
          <w:b/>
          <w:bCs/>
          <w:color w:val="000000"/>
          <w:kern w:val="0"/>
          <w:sz w:val="24"/>
          <w:szCs w:val="24"/>
          <w:highlight w:val="none"/>
          <w:lang w:bidi="ar"/>
        </w:rPr>
        <w:t xml:space="preserve">9、违约责任 </w:t>
      </w:r>
    </w:p>
    <w:p w14:paraId="6451BA04">
      <w:pPr>
        <w:widowControl/>
        <w:spacing w:line="360" w:lineRule="auto"/>
        <w:jc w:val="left"/>
        <w:rPr>
          <w:rFonts w:hint="eastAsia" w:ascii="宋体" w:hAnsi="宋体" w:cs="宋体"/>
          <w:highlight w:val="none"/>
        </w:rPr>
      </w:pPr>
      <w:r>
        <w:rPr>
          <w:rFonts w:hint="eastAsia" w:ascii="宋体" w:hAnsi="宋体" w:cs="宋体"/>
          <w:color w:val="000000"/>
          <w:kern w:val="0"/>
          <w:sz w:val="24"/>
          <w:szCs w:val="24"/>
          <w:highlight w:val="none"/>
          <w:lang w:bidi="ar"/>
        </w:rPr>
        <w:t xml:space="preserve">9.1项目货物验收不合格的，中标方递交的履约保证金不予返还，中标人承担由此产生的相应法律责任。 </w:t>
      </w:r>
    </w:p>
    <w:p w14:paraId="40140DC7">
      <w:pPr>
        <w:widowControl/>
        <w:spacing w:line="360" w:lineRule="auto"/>
        <w:jc w:val="left"/>
        <w:rPr>
          <w:rFonts w:hint="eastAsia" w:ascii="宋体" w:hAnsi="宋体" w:cs="宋体"/>
          <w:highlight w:val="none"/>
        </w:rPr>
      </w:pPr>
      <w:r>
        <w:rPr>
          <w:rFonts w:hint="eastAsia" w:ascii="宋体" w:hAnsi="宋体" w:cs="宋体"/>
          <w:color w:val="000000"/>
          <w:kern w:val="0"/>
          <w:sz w:val="24"/>
          <w:szCs w:val="24"/>
          <w:highlight w:val="none"/>
          <w:lang w:bidi="ar"/>
        </w:rPr>
        <w:t xml:space="preserve">9.2中标方合同未完全履行并存在违约行为，需要其继续履行合同内容和义务的，将向具有管辖权的法院申请强制违约方继续履行合同。 </w:t>
      </w:r>
    </w:p>
    <w:p w14:paraId="6A425579">
      <w:pPr>
        <w:widowControl/>
        <w:spacing w:line="360" w:lineRule="auto"/>
        <w:jc w:val="left"/>
        <w:rPr>
          <w:rFonts w:hint="eastAsia" w:ascii="宋体" w:hAnsi="宋体" w:cs="宋体"/>
          <w:highlight w:val="none"/>
        </w:rPr>
      </w:pPr>
      <w:r>
        <w:rPr>
          <w:rFonts w:hint="eastAsia" w:ascii="宋体" w:hAnsi="宋体" w:cs="宋体"/>
          <w:color w:val="000000"/>
          <w:kern w:val="0"/>
          <w:sz w:val="24"/>
          <w:szCs w:val="24"/>
          <w:highlight w:val="none"/>
          <w:lang w:bidi="ar"/>
        </w:rPr>
        <w:t xml:space="preserve">9.3一方违约应当赔偿给守约方造成的损失，包括但不限于直接和间接损失、律师费、诉讼费、差旅费等合理损失。 </w:t>
      </w:r>
    </w:p>
    <w:p w14:paraId="4ABF3348">
      <w:pPr>
        <w:widowControl/>
        <w:spacing w:line="360" w:lineRule="auto"/>
        <w:jc w:val="left"/>
        <w:rPr>
          <w:rFonts w:hint="eastAsia" w:ascii="宋体" w:hAnsi="宋体" w:cs="宋体"/>
          <w:highlight w:val="none"/>
        </w:rPr>
      </w:pPr>
      <w:r>
        <w:rPr>
          <w:rFonts w:hint="eastAsia" w:ascii="宋体" w:hAnsi="宋体" w:cs="宋体"/>
          <w:color w:val="000000"/>
          <w:kern w:val="0"/>
          <w:sz w:val="24"/>
          <w:szCs w:val="24"/>
          <w:highlight w:val="none"/>
          <w:lang w:bidi="ar"/>
        </w:rPr>
        <w:t xml:space="preserve">9.4其他未尽事宜，双方按《中华人民共和国民法典》另行议定。 </w:t>
      </w:r>
    </w:p>
    <w:p w14:paraId="5FEEC89C">
      <w:pPr>
        <w:bidi w:val="0"/>
        <w:rPr>
          <w:rFonts w:hint="eastAsia"/>
          <w:b/>
          <w:bCs/>
          <w:sz w:val="28"/>
          <w:szCs w:val="36"/>
          <w:highlight w:val="none"/>
          <w:lang w:val="en-US" w:eastAsia="zh-CN"/>
        </w:rPr>
      </w:pPr>
    </w:p>
    <w:p w14:paraId="4B693CEB">
      <w:pPr>
        <w:pStyle w:val="2"/>
        <w:rPr>
          <w:rFonts w:hint="eastAsia"/>
          <w:b/>
          <w:bCs/>
          <w:sz w:val="28"/>
          <w:szCs w:val="36"/>
          <w:highlight w:val="none"/>
          <w:lang w:val="en-US" w:eastAsia="zh-CN"/>
        </w:rPr>
      </w:pPr>
    </w:p>
    <w:p w14:paraId="6C35B594">
      <w:pPr>
        <w:rPr>
          <w:rFonts w:hint="eastAsia"/>
          <w:b/>
          <w:bCs/>
          <w:sz w:val="28"/>
          <w:szCs w:val="36"/>
          <w:highlight w:val="none"/>
          <w:lang w:val="en-US" w:eastAsia="zh-CN"/>
        </w:rPr>
      </w:pPr>
    </w:p>
    <w:p w14:paraId="356380A4">
      <w:pPr>
        <w:pStyle w:val="2"/>
        <w:rPr>
          <w:rFonts w:hint="eastAsia"/>
          <w:b/>
          <w:bCs/>
          <w:sz w:val="28"/>
          <w:szCs w:val="36"/>
          <w:highlight w:val="none"/>
          <w:lang w:val="en-US" w:eastAsia="zh-CN"/>
        </w:rPr>
        <w:sectPr>
          <w:footerReference r:id="rId3" w:type="default"/>
          <w:pgSz w:w="16839" w:h="11907" w:orient="landscape"/>
          <w:pgMar w:top="1080" w:right="1440" w:bottom="1080" w:left="1440" w:header="851" w:footer="992" w:gutter="0"/>
          <w:pgNumType w:fmt="decimal"/>
          <w:cols w:space="0" w:num="1"/>
          <w:rtlGutter w:val="0"/>
          <w:docGrid w:type="lines" w:linePitch="336" w:charSpace="0"/>
        </w:sectPr>
      </w:pPr>
    </w:p>
    <w:p w14:paraId="0FD540DC">
      <w:pPr>
        <w:numPr>
          <w:ilvl w:val="0"/>
          <w:numId w:val="0"/>
        </w:numPr>
        <w:ind w:left="0" w:leftChars="0" w:firstLine="0" w:firstLineChars="0"/>
        <w:rPr>
          <w:rFonts w:hint="default"/>
          <w:b/>
          <w:bCs/>
          <w:sz w:val="28"/>
          <w:szCs w:val="36"/>
          <w:lang w:val="en-US" w:eastAsia="zh-CN"/>
        </w:rPr>
      </w:pPr>
      <w:r>
        <w:rPr>
          <w:rFonts w:hint="eastAsia" w:cstheme="minorBidi"/>
          <w:b/>
          <w:bCs/>
          <w:kern w:val="2"/>
          <w:sz w:val="28"/>
          <w:szCs w:val="36"/>
          <w:lang w:val="en-US" w:eastAsia="zh-CN" w:bidi="ar-SA"/>
        </w:rPr>
        <w:t>三</w:t>
      </w:r>
      <w:r>
        <w:rPr>
          <w:rFonts w:hint="eastAsia" w:asciiTheme="minorHAnsi" w:hAnsiTheme="minorHAnsi" w:eastAsiaTheme="minorEastAsia" w:cstheme="minorBidi"/>
          <w:b/>
          <w:bCs/>
          <w:kern w:val="2"/>
          <w:sz w:val="28"/>
          <w:szCs w:val="36"/>
          <w:lang w:val="en-US" w:eastAsia="zh-CN" w:bidi="ar-SA"/>
        </w:rPr>
        <w:t>、</w:t>
      </w:r>
      <w:r>
        <w:rPr>
          <w:rFonts w:hint="eastAsia"/>
          <w:b/>
          <w:bCs/>
          <w:sz w:val="28"/>
          <w:szCs w:val="36"/>
          <w:lang w:val="en-US" w:eastAsia="zh-CN"/>
        </w:rPr>
        <w:t>评分细则</w:t>
      </w:r>
    </w:p>
    <w:p w14:paraId="5D32D0F0">
      <w:pPr>
        <w:pStyle w:val="9"/>
        <w:snapToGrid w:val="0"/>
        <w:spacing w:line="336" w:lineRule="auto"/>
        <w:jc w:val="left"/>
        <w:rPr>
          <w:rFonts w:hAnsi="宋体"/>
          <w:b/>
          <w:sz w:val="24"/>
        </w:rPr>
      </w:pPr>
      <w:r>
        <w:rPr>
          <w:rFonts w:hint="eastAsia" w:hAnsi="宋体"/>
          <w:sz w:val="24"/>
        </w:rPr>
        <w:t>评分方法:综合评分法（总分30分），评分细则（计分办法保留两位小数，四舍五入）</w:t>
      </w:r>
    </w:p>
    <w:p w14:paraId="7528BD36">
      <w:pPr>
        <w:widowControl/>
        <w:snapToGrid w:val="0"/>
        <w:spacing w:line="336" w:lineRule="auto"/>
        <w:rPr>
          <w:rFonts w:ascii="宋体" w:hAnsi="宋体" w:cs="Arial"/>
          <w:spacing w:val="6"/>
          <w:sz w:val="24"/>
        </w:rPr>
      </w:pPr>
      <w:r>
        <w:rPr>
          <w:rFonts w:hint="eastAsia" w:ascii="宋体" w:hAnsi="宋体" w:cs="Arial"/>
          <w:spacing w:val="6"/>
          <w:sz w:val="24"/>
        </w:rPr>
        <w:t>计分细则如下：</w:t>
      </w:r>
    </w:p>
    <w:p w14:paraId="2FD29443">
      <w:pPr>
        <w:spacing w:line="560" w:lineRule="exact"/>
        <w:ind w:firstLine="480" w:firstLineChars="200"/>
        <w:textAlignment w:val="center"/>
        <w:rPr>
          <w:rFonts w:ascii="宋体" w:hAnsi="宋体" w:cs="宋体"/>
          <w:kern w:val="0"/>
          <w:sz w:val="24"/>
          <w:szCs w:val="24"/>
          <w:lang w:bidi="ar"/>
        </w:rPr>
      </w:pPr>
      <w:r>
        <w:rPr>
          <w:rFonts w:hint="eastAsia" w:ascii="宋体" w:hAnsi="宋体" w:cs="宋体"/>
          <w:sz w:val="24"/>
          <w:szCs w:val="24"/>
        </w:rPr>
        <w:t>评标委员会应当按照招标文件中规定的评标方法和标准，对符合性审查合格的投标文件进行商务和技术评估，综合比较与评价。</w:t>
      </w:r>
      <w:r>
        <w:rPr>
          <w:rFonts w:hint="eastAsia" w:ascii="宋体" w:hAnsi="宋体" w:cs="宋体"/>
          <w:kern w:val="0"/>
          <w:sz w:val="24"/>
          <w:szCs w:val="24"/>
          <w:lang w:bidi="ar"/>
        </w:rPr>
        <w:t>投标文件满足招标文件全部实质性要求，且按照评审因素的量化指标评审得分最高的投标人为中标候选人。</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836"/>
        <w:gridCol w:w="6654"/>
        <w:gridCol w:w="814"/>
      </w:tblGrid>
      <w:tr w14:paraId="4F45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955" w:type="dxa"/>
            <w:noWrap w:val="0"/>
            <w:vAlign w:val="top"/>
          </w:tcPr>
          <w:p w14:paraId="6B7E7144">
            <w:pPr>
              <w:autoSpaceDE w:val="0"/>
              <w:jc w:val="center"/>
              <w:rPr>
                <w:rFonts w:hint="eastAsia" w:ascii="宋体" w:hAnsi="宋体" w:cs="宋体"/>
                <w:b/>
                <w:sz w:val="22"/>
                <w:szCs w:val="22"/>
                <w:lang w:bidi="ar"/>
              </w:rPr>
            </w:pPr>
            <w:r>
              <w:rPr>
                <w:rFonts w:hint="eastAsia" w:ascii="宋体" w:hAnsi="宋体" w:cs="宋体"/>
                <w:b/>
                <w:sz w:val="22"/>
                <w:szCs w:val="22"/>
                <w:lang w:bidi="ar"/>
              </w:rPr>
              <w:t>评分因素</w:t>
            </w:r>
          </w:p>
        </w:tc>
        <w:tc>
          <w:tcPr>
            <w:tcW w:w="7490" w:type="dxa"/>
            <w:gridSpan w:val="2"/>
            <w:noWrap w:val="0"/>
            <w:vAlign w:val="top"/>
          </w:tcPr>
          <w:p w14:paraId="067BF554">
            <w:pPr>
              <w:autoSpaceDE w:val="0"/>
              <w:jc w:val="center"/>
              <w:rPr>
                <w:rFonts w:hint="eastAsia" w:ascii="宋体" w:hAnsi="宋体" w:cs="宋体"/>
                <w:b/>
                <w:sz w:val="22"/>
                <w:szCs w:val="22"/>
                <w:lang w:bidi="ar"/>
              </w:rPr>
            </w:pPr>
            <w:r>
              <w:rPr>
                <w:rFonts w:hint="eastAsia" w:ascii="宋体" w:hAnsi="宋体" w:cs="宋体"/>
                <w:b/>
                <w:sz w:val="22"/>
                <w:szCs w:val="22"/>
                <w:lang w:bidi="ar"/>
              </w:rPr>
              <w:t>评审标准</w:t>
            </w:r>
          </w:p>
        </w:tc>
        <w:tc>
          <w:tcPr>
            <w:tcW w:w="814" w:type="dxa"/>
            <w:noWrap w:val="0"/>
            <w:vAlign w:val="top"/>
          </w:tcPr>
          <w:p w14:paraId="494E1624">
            <w:pPr>
              <w:autoSpaceDE w:val="0"/>
              <w:jc w:val="center"/>
              <w:rPr>
                <w:rFonts w:hint="eastAsia" w:ascii="宋体" w:hAnsi="宋体" w:cs="宋体"/>
                <w:b/>
                <w:sz w:val="22"/>
                <w:szCs w:val="22"/>
                <w:lang w:bidi="ar"/>
              </w:rPr>
            </w:pPr>
            <w:r>
              <w:rPr>
                <w:rFonts w:hint="eastAsia" w:ascii="宋体" w:hAnsi="宋体" w:cs="宋体"/>
                <w:b/>
                <w:sz w:val="22"/>
                <w:szCs w:val="22"/>
                <w:lang w:bidi="ar"/>
              </w:rPr>
              <w:t>分值</w:t>
            </w:r>
          </w:p>
        </w:tc>
      </w:tr>
      <w:tr w14:paraId="60C5A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4" w:hRule="atLeast"/>
        </w:trPr>
        <w:tc>
          <w:tcPr>
            <w:tcW w:w="955" w:type="dxa"/>
            <w:noWrap w:val="0"/>
            <w:vAlign w:val="center"/>
          </w:tcPr>
          <w:p w14:paraId="6EB395C4">
            <w:pPr>
              <w:autoSpaceDE w:val="0"/>
              <w:jc w:val="center"/>
              <w:rPr>
                <w:rFonts w:hint="eastAsia" w:ascii="宋体" w:hAnsi="宋体" w:cs="宋体"/>
                <w:b/>
                <w:sz w:val="22"/>
                <w:szCs w:val="22"/>
                <w:lang w:bidi="ar"/>
              </w:rPr>
            </w:pPr>
            <w:r>
              <w:rPr>
                <w:rFonts w:hint="eastAsia" w:ascii="宋体" w:hAnsi="宋体" w:cs="宋体"/>
                <w:b/>
                <w:sz w:val="22"/>
                <w:szCs w:val="22"/>
                <w:lang w:bidi="ar"/>
              </w:rPr>
              <w:t>价格部分（9 分）</w:t>
            </w:r>
          </w:p>
        </w:tc>
        <w:tc>
          <w:tcPr>
            <w:tcW w:w="7490" w:type="dxa"/>
            <w:gridSpan w:val="2"/>
            <w:noWrap w:val="0"/>
            <w:vAlign w:val="center"/>
          </w:tcPr>
          <w:p w14:paraId="7FE3E6BB">
            <w:pPr>
              <w:autoSpaceDE w:val="0"/>
              <w:jc w:val="left"/>
              <w:rPr>
                <w:rFonts w:hint="eastAsia" w:ascii="宋体" w:hAnsi="宋体" w:cs="宋体"/>
                <w:bCs/>
                <w:sz w:val="22"/>
                <w:szCs w:val="22"/>
                <w:lang w:bidi="ar"/>
              </w:rPr>
            </w:pPr>
            <w:r>
              <w:rPr>
                <w:rFonts w:hint="eastAsia" w:ascii="宋体" w:hAnsi="宋体" w:cs="宋体"/>
                <w:bCs/>
                <w:sz w:val="22"/>
                <w:szCs w:val="22"/>
                <w:lang w:bidi="ar"/>
              </w:rPr>
              <w:t>价格分采用低价优先法计算，即满足招标文件要求且投标价格最低的投标报价为评标基准价，其价格分为满分。其他投标人的价格分统一按下列公式计算：</w:t>
            </w:r>
          </w:p>
          <w:p w14:paraId="5F1712A6">
            <w:pPr>
              <w:autoSpaceDE w:val="0"/>
              <w:jc w:val="left"/>
              <w:rPr>
                <w:rFonts w:hint="eastAsia" w:ascii="宋体" w:hAnsi="宋体" w:cs="宋体"/>
                <w:bCs/>
                <w:sz w:val="22"/>
                <w:szCs w:val="22"/>
                <w:lang w:bidi="ar"/>
              </w:rPr>
            </w:pPr>
            <w:r>
              <w:rPr>
                <w:rFonts w:hint="eastAsia" w:ascii="宋体" w:hAnsi="宋体" w:cs="宋体"/>
                <w:bCs/>
                <w:sz w:val="22"/>
                <w:szCs w:val="22"/>
                <w:lang w:bidi="ar"/>
              </w:rPr>
              <w:t>投标报价得分=（评标基准价/投标报价）×9%×100。</w:t>
            </w:r>
          </w:p>
          <w:p w14:paraId="58426BB7">
            <w:pPr>
              <w:autoSpaceDE w:val="0"/>
              <w:jc w:val="left"/>
              <w:rPr>
                <w:rFonts w:hint="eastAsia" w:ascii="宋体" w:hAnsi="宋体" w:cs="宋体"/>
                <w:bCs/>
                <w:sz w:val="22"/>
                <w:szCs w:val="22"/>
                <w:lang w:bidi="ar"/>
              </w:rPr>
            </w:pPr>
            <w:r>
              <w:rPr>
                <w:rFonts w:hint="eastAsia" w:ascii="宋体" w:hAnsi="宋体" w:cs="宋体"/>
                <w:bCs/>
                <w:sz w:val="22"/>
                <w:szCs w:val="22"/>
                <w:lang w:bidi="ar"/>
              </w:rPr>
              <w:t>注：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c>
          <w:tcPr>
            <w:tcW w:w="814" w:type="dxa"/>
            <w:noWrap w:val="0"/>
            <w:vAlign w:val="center"/>
          </w:tcPr>
          <w:p w14:paraId="66208805">
            <w:pPr>
              <w:autoSpaceDE w:val="0"/>
              <w:jc w:val="center"/>
              <w:rPr>
                <w:rFonts w:hint="eastAsia" w:ascii="宋体" w:hAnsi="宋体" w:cs="宋体"/>
                <w:b/>
                <w:sz w:val="22"/>
                <w:szCs w:val="22"/>
                <w:lang w:bidi="ar"/>
              </w:rPr>
            </w:pPr>
            <w:r>
              <w:rPr>
                <w:rFonts w:hint="eastAsia" w:ascii="宋体" w:hAnsi="宋体" w:cs="宋体"/>
                <w:b/>
                <w:sz w:val="22"/>
                <w:szCs w:val="22"/>
                <w:lang w:bidi="ar"/>
              </w:rPr>
              <w:t>9分</w:t>
            </w:r>
          </w:p>
        </w:tc>
      </w:tr>
      <w:tr w14:paraId="4282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955" w:type="dxa"/>
            <w:vMerge w:val="restart"/>
            <w:noWrap w:val="0"/>
            <w:vAlign w:val="top"/>
          </w:tcPr>
          <w:p w14:paraId="08A23702">
            <w:pPr>
              <w:autoSpaceDE w:val="0"/>
              <w:jc w:val="center"/>
              <w:rPr>
                <w:rFonts w:hint="eastAsia" w:ascii="宋体" w:hAnsi="宋体" w:cs="宋体"/>
                <w:b/>
                <w:sz w:val="22"/>
                <w:szCs w:val="22"/>
                <w:lang w:bidi="ar"/>
              </w:rPr>
            </w:pPr>
            <w:r>
              <w:rPr>
                <w:rFonts w:hint="eastAsia" w:ascii="宋体" w:hAnsi="宋体" w:cs="宋体"/>
                <w:b/>
                <w:sz w:val="22"/>
                <w:szCs w:val="22"/>
                <w:lang w:bidi="ar"/>
              </w:rPr>
              <w:t>技术部分（18分）</w:t>
            </w:r>
          </w:p>
        </w:tc>
        <w:tc>
          <w:tcPr>
            <w:tcW w:w="836" w:type="dxa"/>
            <w:noWrap w:val="0"/>
            <w:vAlign w:val="top"/>
          </w:tcPr>
          <w:p w14:paraId="6A5E9E90">
            <w:pPr>
              <w:autoSpaceDE w:val="0"/>
              <w:jc w:val="center"/>
              <w:rPr>
                <w:rFonts w:hint="eastAsia" w:ascii="宋体" w:hAnsi="宋体" w:cs="宋体"/>
                <w:bCs/>
                <w:sz w:val="22"/>
                <w:szCs w:val="22"/>
                <w:lang w:bidi="ar"/>
              </w:rPr>
            </w:pPr>
            <w:r>
              <w:rPr>
                <w:rFonts w:hint="eastAsia" w:ascii="宋体" w:hAnsi="宋体" w:cs="宋体"/>
                <w:b/>
                <w:sz w:val="22"/>
                <w:szCs w:val="22"/>
                <w:lang w:bidi="ar"/>
              </w:rPr>
              <w:t>技术要求基本项</w:t>
            </w:r>
          </w:p>
        </w:tc>
        <w:tc>
          <w:tcPr>
            <w:tcW w:w="6654" w:type="dxa"/>
            <w:noWrap w:val="0"/>
            <w:vAlign w:val="top"/>
          </w:tcPr>
          <w:p w14:paraId="5F2D1E51">
            <w:pPr>
              <w:autoSpaceDE w:val="0"/>
              <w:rPr>
                <w:rFonts w:hint="eastAsia" w:ascii="宋体" w:hAnsi="宋体" w:cs="宋体"/>
                <w:bCs/>
                <w:sz w:val="22"/>
                <w:szCs w:val="22"/>
                <w:lang w:bidi="ar"/>
              </w:rPr>
            </w:pPr>
            <w:r>
              <w:rPr>
                <w:rFonts w:hint="eastAsia" w:ascii="宋体" w:hAnsi="宋体" w:cs="宋体"/>
                <w:bCs/>
                <w:sz w:val="22"/>
                <w:szCs w:val="22"/>
                <w:lang w:bidi="ar"/>
              </w:rPr>
              <w:t>投标文件</w:t>
            </w:r>
            <w:r>
              <w:rPr>
                <w:rFonts w:hint="eastAsia" w:ascii="宋体" w:hAnsi="宋体" w:cs="宋体"/>
                <w:bCs/>
                <w:sz w:val="22"/>
                <w:szCs w:val="22"/>
                <w:lang w:val="en-US" w:eastAsia="zh-CN" w:bidi="ar"/>
              </w:rPr>
              <w:t>须全部满足</w:t>
            </w:r>
            <w:r>
              <w:rPr>
                <w:rFonts w:hint="eastAsia" w:ascii="宋体" w:hAnsi="宋体" w:cs="宋体"/>
                <w:bCs/>
                <w:sz w:val="22"/>
                <w:szCs w:val="22"/>
                <w:lang w:bidi="ar"/>
              </w:rPr>
              <w:t>招标文件第三章“</w:t>
            </w:r>
            <w:r>
              <w:rPr>
                <w:rFonts w:hint="eastAsia" w:ascii="宋体" w:hAnsi="宋体" w:cs="宋体"/>
                <w:bCs/>
                <w:sz w:val="22"/>
                <w:szCs w:val="22"/>
                <w:lang w:val="en-US" w:eastAsia="zh-CN" w:bidi="ar"/>
              </w:rPr>
              <w:t>一、</w:t>
            </w:r>
            <w:r>
              <w:rPr>
                <w:rFonts w:hint="eastAsia" w:ascii="宋体" w:hAnsi="宋体" w:cs="宋体"/>
                <w:bCs/>
                <w:sz w:val="22"/>
                <w:szCs w:val="22"/>
                <w:lang w:bidi="ar"/>
              </w:rPr>
              <w:t>项目内容、技术参数要求”，</w:t>
            </w:r>
            <w:r>
              <w:rPr>
                <w:rFonts w:hint="eastAsia" w:ascii="宋体" w:hAnsi="宋体" w:cs="宋体"/>
                <w:bCs/>
                <w:sz w:val="22"/>
                <w:szCs w:val="22"/>
                <w:lang w:val="en-US" w:eastAsia="zh-CN" w:bidi="ar"/>
              </w:rPr>
              <w:t>有</w:t>
            </w:r>
            <w:r>
              <w:rPr>
                <w:rFonts w:hint="eastAsia" w:ascii="宋体" w:hAnsi="宋体" w:cs="宋体"/>
                <w:bCs/>
                <w:sz w:val="22"/>
                <w:szCs w:val="22"/>
                <w:lang w:bidi="ar"/>
              </w:rPr>
              <w:t>任意一项不满足</w:t>
            </w:r>
            <w:r>
              <w:rPr>
                <w:rFonts w:hint="eastAsia" w:ascii="宋体" w:hAnsi="宋体" w:cs="宋体"/>
                <w:bCs/>
                <w:sz w:val="22"/>
                <w:szCs w:val="22"/>
                <w:lang w:val="en-US" w:eastAsia="zh-CN" w:bidi="ar"/>
              </w:rPr>
              <w:t>或负偏离</w:t>
            </w:r>
            <w:r>
              <w:rPr>
                <w:rFonts w:hint="eastAsia" w:ascii="宋体" w:hAnsi="宋体" w:cs="宋体"/>
                <w:bCs/>
                <w:sz w:val="22"/>
                <w:szCs w:val="22"/>
                <w:lang w:bidi="ar"/>
              </w:rPr>
              <w:t>的作无效</w:t>
            </w:r>
            <w:r>
              <w:rPr>
                <w:rFonts w:hint="eastAsia" w:ascii="宋体" w:hAnsi="宋体" w:cs="宋体"/>
                <w:bCs/>
                <w:sz w:val="22"/>
                <w:szCs w:val="22"/>
                <w:lang w:val="en-US" w:eastAsia="zh-CN" w:bidi="ar"/>
              </w:rPr>
              <w:t>投标</w:t>
            </w:r>
            <w:r>
              <w:rPr>
                <w:rFonts w:hint="eastAsia" w:ascii="宋体" w:hAnsi="宋体" w:cs="宋体"/>
                <w:bCs/>
                <w:sz w:val="22"/>
                <w:szCs w:val="22"/>
                <w:lang w:bidi="ar"/>
              </w:rPr>
              <w:t>处理。</w:t>
            </w:r>
          </w:p>
          <w:p w14:paraId="0ACC4814">
            <w:pPr>
              <w:autoSpaceDE w:val="0"/>
              <w:rPr>
                <w:rFonts w:hint="eastAsia" w:ascii="宋体" w:hAnsi="宋体" w:cs="宋体"/>
                <w:bCs/>
                <w:sz w:val="22"/>
                <w:szCs w:val="22"/>
                <w:lang w:bidi="ar"/>
              </w:rPr>
            </w:pPr>
            <w:r>
              <w:rPr>
                <w:rFonts w:hint="eastAsia" w:ascii="宋体" w:hAnsi="宋体" w:cs="宋体"/>
                <w:b/>
                <w:sz w:val="22"/>
                <w:szCs w:val="22"/>
                <w:lang w:bidi="ar"/>
              </w:rPr>
              <w:t>评审依据：</w:t>
            </w:r>
            <w:r>
              <w:rPr>
                <w:rFonts w:hint="eastAsia" w:ascii="宋体" w:hAnsi="宋体" w:cs="宋体"/>
                <w:b/>
                <w:sz w:val="22"/>
                <w:szCs w:val="22"/>
                <w:lang w:val="en-US" w:eastAsia="zh-CN" w:bidi="ar"/>
              </w:rPr>
              <w:t>开标时</w:t>
            </w:r>
            <w:r>
              <w:rPr>
                <w:rFonts w:hint="eastAsia" w:ascii="宋体" w:hAnsi="宋体" w:cs="宋体"/>
                <w:b/>
                <w:sz w:val="22"/>
                <w:szCs w:val="22"/>
                <w:lang w:bidi="ar"/>
              </w:rPr>
              <w:t>提供技术需求响应/偏离表。</w:t>
            </w:r>
          </w:p>
        </w:tc>
        <w:tc>
          <w:tcPr>
            <w:tcW w:w="814" w:type="dxa"/>
            <w:noWrap w:val="0"/>
            <w:vAlign w:val="top"/>
          </w:tcPr>
          <w:p w14:paraId="4D14DD9F">
            <w:pPr>
              <w:autoSpaceDE w:val="0"/>
              <w:jc w:val="center"/>
              <w:rPr>
                <w:rFonts w:hint="eastAsia" w:ascii="宋体" w:hAnsi="宋体" w:cs="宋体"/>
                <w:b/>
                <w:sz w:val="22"/>
                <w:szCs w:val="22"/>
                <w:lang w:bidi="ar"/>
              </w:rPr>
            </w:pPr>
            <w:r>
              <w:rPr>
                <w:rFonts w:hint="eastAsia" w:ascii="宋体" w:hAnsi="宋体" w:cs="宋体"/>
                <w:b/>
                <w:sz w:val="22"/>
                <w:szCs w:val="22"/>
                <w:lang w:bidi="ar"/>
              </w:rPr>
              <w:t>符合性</w:t>
            </w:r>
          </w:p>
          <w:p w14:paraId="7C553F79">
            <w:pPr>
              <w:autoSpaceDE w:val="0"/>
              <w:jc w:val="center"/>
              <w:rPr>
                <w:rFonts w:hint="eastAsia" w:ascii="宋体" w:hAnsi="宋体" w:cs="宋体"/>
                <w:b/>
                <w:sz w:val="22"/>
                <w:szCs w:val="22"/>
                <w:lang w:bidi="ar"/>
              </w:rPr>
            </w:pPr>
            <w:r>
              <w:rPr>
                <w:rFonts w:hint="eastAsia" w:ascii="宋体" w:hAnsi="宋体" w:cs="宋体"/>
                <w:b/>
                <w:sz w:val="22"/>
                <w:szCs w:val="22"/>
                <w:lang w:bidi="ar"/>
              </w:rPr>
              <w:t>审查</w:t>
            </w:r>
          </w:p>
        </w:tc>
      </w:tr>
      <w:tr w14:paraId="0C26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5" w:type="dxa"/>
            <w:vMerge w:val="continue"/>
            <w:noWrap w:val="0"/>
            <w:vAlign w:val="top"/>
          </w:tcPr>
          <w:p w14:paraId="0B280665">
            <w:pPr>
              <w:autoSpaceDE w:val="0"/>
              <w:rPr>
                <w:rFonts w:hint="eastAsia" w:ascii="宋体" w:hAnsi="宋体" w:cs="宋体"/>
                <w:bCs/>
                <w:sz w:val="22"/>
                <w:szCs w:val="22"/>
                <w:lang w:bidi="ar"/>
              </w:rPr>
            </w:pPr>
          </w:p>
        </w:tc>
        <w:tc>
          <w:tcPr>
            <w:tcW w:w="836" w:type="dxa"/>
            <w:vMerge w:val="restart"/>
            <w:noWrap w:val="0"/>
            <w:vAlign w:val="top"/>
          </w:tcPr>
          <w:p w14:paraId="7DC5219B">
            <w:pPr>
              <w:autoSpaceDE w:val="0"/>
              <w:jc w:val="center"/>
              <w:rPr>
                <w:rFonts w:hint="eastAsia" w:ascii="宋体" w:hAnsi="宋体" w:cs="宋体"/>
                <w:bCs/>
                <w:sz w:val="22"/>
                <w:szCs w:val="22"/>
                <w:lang w:bidi="ar"/>
              </w:rPr>
            </w:pPr>
            <w:r>
              <w:rPr>
                <w:rFonts w:hint="eastAsia" w:ascii="宋体" w:hAnsi="宋体" w:cs="宋体"/>
                <w:b/>
                <w:sz w:val="22"/>
                <w:szCs w:val="22"/>
                <w:lang w:bidi="ar"/>
              </w:rPr>
              <w:t>技术优越性部分</w:t>
            </w:r>
          </w:p>
        </w:tc>
        <w:tc>
          <w:tcPr>
            <w:tcW w:w="6654" w:type="dxa"/>
            <w:noWrap w:val="0"/>
            <w:vAlign w:val="top"/>
          </w:tcPr>
          <w:p w14:paraId="451C103B">
            <w:pPr>
              <w:autoSpaceDE w:val="0"/>
              <w:rPr>
                <w:rFonts w:hint="eastAsia" w:ascii="宋体" w:hAnsi="宋体" w:cs="宋体"/>
                <w:b/>
                <w:sz w:val="22"/>
                <w:szCs w:val="22"/>
                <w:lang w:bidi="ar"/>
              </w:rPr>
            </w:pPr>
            <w:r>
              <w:rPr>
                <w:rFonts w:hint="eastAsia" w:ascii="宋体" w:hAnsi="宋体" w:cs="宋体"/>
                <w:bCs/>
                <w:sz w:val="22"/>
                <w:szCs w:val="22"/>
                <w:lang w:bidi="ar"/>
              </w:rPr>
              <w:t>一、</w:t>
            </w:r>
            <w:r>
              <w:rPr>
                <w:rFonts w:hint="eastAsia" w:ascii="宋体" w:hAnsi="宋体" w:eastAsia="宋体" w:cs="宋体"/>
                <w:b/>
                <w:bCs/>
                <w:color w:val="000000"/>
                <w:kern w:val="0"/>
                <w:sz w:val="24"/>
                <w:szCs w:val="24"/>
                <w:lang w:bidi="ar"/>
              </w:rPr>
              <w:t>所投</w:t>
            </w:r>
            <w:r>
              <w:rPr>
                <w:rFonts w:hint="eastAsia" w:ascii="宋体" w:hAnsi="宋体" w:cs="宋体"/>
                <w:b/>
                <w:bCs/>
                <w:color w:val="000000"/>
                <w:kern w:val="0"/>
                <w:sz w:val="24"/>
                <w:szCs w:val="24"/>
                <w:lang w:bidi="ar"/>
              </w:rPr>
              <w:t>气相色谱-质谱联用仪（含自动吹扫捕集）</w:t>
            </w:r>
          </w:p>
          <w:p w14:paraId="329AA2EF">
            <w:pPr>
              <w:autoSpaceDE w:val="0"/>
              <w:rPr>
                <w:rFonts w:hint="eastAsia" w:ascii="宋体" w:hAnsi="宋体" w:cs="宋体"/>
                <w:bCs/>
                <w:sz w:val="22"/>
                <w:szCs w:val="22"/>
                <w:lang w:bidi="ar"/>
              </w:rPr>
            </w:pPr>
            <w:r>
              <w:rPr>
                <w:rFonts w:hint="eastAsia" w:ascii="宋体" w:hAnsi="宋体" w:cs="宋体"/>
                <w:bCs/>
                <w:sz w:val="22"/>
                <w:szCs w:val="22"/>
                <w:lang w:bidi="ar"/>
              </w:rPr>
              <w:t xml:space="preserve">1、在满足质谱灵敏度：EI源 信噪比S/N ≥2500:1的基础上，灵敏度：EI源 信噪比S/N ≥6400:1满足得0.5分，不满足不得分。 </w:t>
            </w:r>
          </w:p>
          <w:p w14:paraId="21DCD25C">
            <w:pPr>
              <w:autoSpaceDE w:val="0"/>
              <w:rPr>
                <w:rFonts w:hint="eastAsia" w:ascii="宋体" w:hAnsi="宋体" w:cs="宋体"/>
                <w:b/>
                <w:sz w:val="22"/>
                <w:szCs w:val="22"/>
                <w:lang w:bidi="ar"/>
              </w:rPr>
            </w:pPr>
            <w:r>
              <w:rPr>
                <w:rFonts w:hint="eastAsia" w:ascii="宋体" w:hAnsi="宋体" w:cs="宋体"/>
                <w:b/>
                <w:sz w:val="22"/>
                <w:szCs w:val="22"/>
                <w:lang w:bidi="ar"/>
              </w:rPr>
              <w:t>评审依据：</w:t>
            </w:r>
            <w:r>
              <w:rPr>
                <w:rFonts w:hint="eastAsia" w:ascii="宋体" w:hAnsi="宋体" w:cs="宋体"/>
                <w:b/>
                <w:sz w:val="22"/>
                <w:szCs w:val="22"/>
                <w:lang w:val="en-US" w:eastAsia="zh-CN" w:bidi="ar"/>
              </w:rPr>
              <w:t>开标时</w:t>
            </w:r>
            <w:r>
              <w:rPr>
                <w:rFonts w:hint="eastAsia" w:ascii="宋体" w:hAnsi="宋体" w:cs="宋体"/>
                <w:b/>
                <w:sz w:val="22"/>
                <w:szCs w:val="22"/>
                <w:lang w:bidi="ar"/>
              </w:rPr>
              <w:t>提供国家级计量检测认证机构出具的校准证书加盖制造商公章进行佐证。未提供或提供不符不得分。</w:t>
            </w:r>
          </w:p>
          <w:p w14:paraId="0170C078">
            <w:pPr>
              <w:numPr>
                <w:ilvl w:val="0"/>
                <w:numId w:val="18"/>
              </w:numPr>
              <w:autoSpaceDE w:val="0"/>
              <w:rPr>
                <w:rFonts w:hint="eastAsia" w:ascii="宋体" w:hAnsi="宋体" w:cs="宋体"/>
                <w:bCs/>
                <w:sz w:val="22"/>
                <w:szCs w:val="22"/>
                <w:lang w:bidi="ar"/>
              </w:rPr>
            </w:pPr>
            <w:r>
              <w:rPr>
                <w:rFonts w:hint="eastAsia" w:ascii="宋体" w:hAnsi="宋体" w:cs="宋体"/>
                <w:bCs/>
                <w:sz w:val="22"/>
                <w:szCs w:val="22"/>
                <w:lang w:bidi="ar"/>
              </w:rPr>
              <w:t>满足柱温箱最大加热速度：≥120℃ /min；加热速度可以以0.01℃/min调整增加的基础上，</w:t>
            </w:r>
          </w:p>
          <w:p w14:paraId="3CCAFA12">
            <w:pPr>
              <w:autoSpaceDE w:val="0"/>
              <w:rPr>
                <w:rFonts w:hint="eastAsia" w:ascii="宋体" w:hAnsi="宋体" w:cs="宋体"/>
                <w:bCs/>
                <w:sz w:val="22"/>
                <w:szCs w:val="22"/>
                <w:lang w:bidi="ar"/>
              </w:rPr>
            </w:pPr>
            <w:r>
              <w:rPr>
                <w:rFonts w:hint="eastAsia" w:ascii="宋体" w:hAnsi="宋体" w:cs="宋体"/>
                <w:bCs/>
                <w:sz w:val="22"/>
                <w:szCs w:val="22"/>
                <w:lang w:bidi="ar"/>
              </w:rPr>
              <w:t>最大加热速度（常规配置，不增加任何附件）：≥130℃ /min；加热速度可以以0.01℃/min调整增加，得0.25分；</w:t>
            </w:r>
          </w:p>
          <w:p w14:paraId="75B10B7D">
            <w:pPr>
              <w:autoSpaceDE w:val="0"/>
              <w:rPr>
                <w:rFonts w:hint="eastAsia" w:ascii="宋体" w:hAnsi="宋体" w:cs="宋体"/>
                <w:bCs/>
                <w:sz w:val="22"/>
                <w:szCs w:val="22"/>
                <w:lang w:bidi="ar"/>
              </w:rPr>
            </w:pPr>
            <w:r>
              <w:rPr>
                <w:rFonts w:hint="eastAsia" w:ascii="宋体" w:hAnsi="宋体" w:cs="宋体"/>
                <w:bCs/>
                <w:sz w:val="22"/>
                <w:szCs w:val="22"/>
                <w:lang w:bidi="ar"/>
              </w:rPr>
              <w:t>最大加热速度（常规配置，不增加任何附件）：≥160℃ /min；加热速度可以以0.01℃/min调整增加，得0.5分；</w:t>
            </w:r>
          </w:p>
          <w:p w14:paraId="53741439">
            <w:pPr>
              <w:autoSpaceDE w:val="0"/>
              <w:rPr>
                <w:rFonts w:hint="eastAsia" w:ascii="宋体" w:hAnsi="宋体" w:cs="宋体"/>
                <w:bCs/>
                <w:sz w:val="22"/>
                <w:szCs w:val="22"/>
                <w:lang w:bidi="ar"/>
              </w:rPr>
            </w:pPr>
            <w:r>
              <w:rPr>
                <w:rFonts w:hint="eastAsia" w:ascii="宋体" w:hAnsi="宋体" w:cs="宋体"/>
                <w:bCs/>
                <w:sz w:val="22"/>
                <w:szCs w:val="22"/>
                <w:lang w:bidi="ar"/>
              </w:rPr>
              <w:t>最大加热速度（常规配置，不增加任何附件）：≥250℃ /min；加热速度可以以0.01℃/min调整增加，得1分；</w:t>
            </w:r>
            <w:r>
              <w:rPr>
                <w:rFonts w:hint="eastAsia" w:ascii="宋体" w:hAnsi="宋体" w:cs="宋体"/>
                <w:b/>
                <w:bCs w:val="0"/>
                <w:sz w:val="22"/>
                <w:szCs w:val="22"/>
                <w:lang w:bidi="ar"/>
              </w:rPr>
              <w:t>本项最高得1分。</w:t>
            </w:r>
          </w:p>
          <w:p w14:paraId="0B55A730">
            <w:pPr>
              <w:autoSpaceDE w:val="0"/>
              <w:rPr>
                <w:rFonts w:hint="eastAsia" w:ascii="宋体" w:hAnsi="宋体" w:cs="宋体"/>
                <w:b/>
                <w:sz w:val="22"/>
                <w:szCs w:val="22"/>
                <w:lang w:bidi="ar"/>
              </w:rPr>
            </w:pPr>
            <w:r>
              <w:rPr>
                <w:rFonts w:hint="eastAsia" w:ascii="宋体" w:hAnsi="宋体" w:cs="宋体"/>
                <w:b/>
                <w:sz w:val="22"/>
                <w:szCs w:val="22"/>
                <w:lang w:bidi="ar"/>
              </w:rPr>
              <w:t>评审依据：</w:t>
            </w:r>
            <w:r>
              <w:rPr>
                <w:rFonts w:hint="eastAsia" w:ascii="宋体" w:hAnsi="宋体" w:cs="宋体"/>
                <w:b/>
                <w:sz w:val="22"/>
                <w:szCs w:val="22"/>
                <w:lang w:val="en-US" w:eastAsia="zh-CN" w:bidi="ar"/>
              </w:rPr>
              <w:t>开标时</w:t>
            </w:r>
            <w:r>
              <w:rPr>
                <w:rFonts w:hint="eastAsia" w:ascii="宋体" w:hAnsi="宋体" w:cs="宋体"/>
                <w:b/>
                <w:sz w:val="22"/>
                <w:szCs w:val="22"/>
                <w:lang w:bidi="ar"/>
              </w:rPr>
              <w:t>提供工作站软件截图并加盖制造商公章、所投产品制造商针对本项目出具技术参数确认函复印件。未提供或提供不符不得分。</w:t>
            </w:r>
          </w:p>
          <w:p w14:paraId="4637018C">
            <w:pPr>
              <w:autoSpaceDE w:val="0"/>
              <w:rPr>
                <w:rFonts w:hint="eastAsia" w:ascii="宋体" w:hAnsi="宋体" w:cs="宋体"/>
                <w:bCs/>
                <w:sz w:val="22"/>
                <w:szCs w:val="22"/>
                <w:lang w:bidi="ar"/>
              </w:rPr>
            </w:pPr>
            <w:r>
              <w:rPr>
                <w:rFonts w:hint="eastAsia" w:ascii="宋体" w:hAnsi="宋体" w:cs="宋体"/>
                <w:bCs/>
                <w:sz w:val="22"/>
                <w:szCs w:val="22"/>
                <w:lang w:bidi="ar"/>
              </w:rPr>
              <w:t>3、气相色谱主机能同时安装至少 2个气相检测器（非MS检测器）、至少 2个进样口基础上，仪器主机可同时安装≥3个SPL进样口，≥3个检测器，得0.25分；仪器主机可同时安装≥3个SPL进样口，≥4个检测器，得0.5分；</w:t>
            </w:r>
            <w:r>
              <w:rPr>
                <w:rFonts w:hint="eastAsia" w:ascii="宋体" w:hAnsi="宋体" w:cs="宋体"/>
                <w:b/>
                <w:sz w:val="22"/>
                <w:szCs w:val="22"/>
                <w:lang w:bidi="ar"/>
              </w:rPr>
              <w:t>本项最高得0.5分。</w:t>
            </w:r>
          </w:p>
          <w:p w14:paraId="1710AB40">
            <w:pPr>
              <w:autoSpaceDE w:val="0"/>
              <w:rPr>
                <w:rFonts w:hint="eastAsia" w:ascii="宋体" w:hAnsi="宋体" w:cs="宋体"/>
                <w:b/>
                <w:sz w:val="22"/>
                <w:szCs w:val="22"/>
                <w:lang w:bidi="ar"/>
              </w:rPr>
            </w:pPr>
            <w:r>
              <w:rPr>
                <w:rFonts w:hint="eastAsia" w:ascii="宋体" w:hAnsi="宋体" w:cs="宋体"/>
                <w:b/>
                <w:sz w:val="22"/>
                <w:szCs w:val="22"/>
                <w:lang w:bidi="ar"/>
              </w:rPr>
              <w:t>评审依据：</w:t>
            </w:r>
            <w:r>
              <w:rPr>
                <w:rFonts w:hint="eastAsia" w:ascii="宋体" w:hAnsi="宋体" w:cs="宋体"/>
                <w:b/>
                <w:sz w:val="22"/>
                <w:szCs w:val="22"/>
                <w:lang w:val="en-US" w:eastAsia="zh-CN" w:bidi="ar"/>
              </w:rPr>
              <w:t>开标时</w:t>
            </w:r>
            <w:r>
              <w:rPr>
                <w:rFonts w:hint="eastAsia" w:ascii="宋体" w:hAnsi="宋体" w:cs="宋体"/>
                <w:b/>
                <w:sz w:val="22"/>
                <w:szCs w:val="22"/>
                <w:lang w:bidi="ar"/>
              </w:rPr>
              <w:t>提供仪器实物照片和安装示意图并加盖制造商公章、所投产品制造商针对本项目出具技术参数确认函复印件。未提供或提供不符不得分。</w:t>
            </w:r>
          </w:p>
          <w:p w14:paraId="3B82B7E9">
            <w:pPr>
              <w:autoSpaceDE w:val="0"/>
              <w:rPr>
                <w:rFonts w:hint="eastAsia" w:ascii="宋体" w:hAnsi="宋体" w:cs="宋体"/>
                <w:bCs/>
                <w:sz w:val="22"/>
                <w:szCs w:val="22"/>
                <w:lang w:bidi="ar"/>
              </w:rPr>
            </w:pPr>
            <w:r>
              <w:rPr>
                <w:rFonts w:hint="eastAsia" w:ascii="宋体" w:hAnsi="宋体" w:cs="宋体"/>
                <w:bCs/>
                <w:sz w:val="22"/>
                <w:szCs w:val="22"/>
                <w:lang w:bidi="ar"/>
              </w:rPr>
              <w:t>4、在满足真空系统：分子涡轮泵≥300L/S的基础上，达到分子涡轮泵≥400L/S，</w:t>
            </w:r>
            <w:r>
              <w:rPr>
                <w:rFonts w:hint="eastAsia" w:ascii="宋体" w:hAnsi="宋体" w:cs="宋体"/>
                <w:b/>
                <w:sz w:val="22"/>
                <w:szCs w:val="22"/>
                <w:lang w:bidi="ar"/>
              </w:rPr>
              <w:t>满足得0.5分</w:t>
            </w:r>
            <w:r>
              <w:rPr>
                <w:rFonts w:hint="eastAsia" w:ascii="宋体" w:hAnsi="宋体" w:cs="宋体"/>
                <w:bCs/>
                <w:sz w:val="22"/>
                <w:szCs w:val="22"/>
                <w:lang w:bidi="ar"/>
              </w:rPr>
              <w:t>。</w:t>
            </w:r>
          </w:p>
          <w:p w14:paraId="78EA9794">
            <w:pPr>
              <w:autoSpaceDE w:val="0"/>
              <w:rPr>
                <w:rFonts w:hint="eastAsia" w:ascii="宋体" w:hAnsi="宋体" w:cs="宋体"/>
                <w:bCs/>
                <w:sz w:val="22"/>
                <w:szCs w:val="22"/>
                <w:lang w:bidi="ar"/>
              </w:rPr>
            </w:pPr>
            <w:bookmarkStart w:id="0" w:name="OLE_LINK27"/>
            <w:r>
              <w:rPr>
                <w:rFonts w:hint="eastAsia" w:ascii="宋体" w:hAnsi="宋体" w:cs="宋体"/>
                <w:b/>
                <w:sz w:val="22"/>
                <w:szCs w:val="22"/>
                <w:lang w:bidi="ar"/>
              </w:rPr>
              <w:t>评审依据：</w:t>
            </w:r>
            <w:r>
              <w:rPr>
                <w:rFonts w:hint="eastAsia" w:ascii="宋体" w:hAnsi="宋体" w:cs="宋体"/>
                <w:b/>
                <w:sz w:val="22"/>
                <w:szCs w:val="22"/>
                <w:lang w:val="en-US" w:eastAsia="zh-CN" w:bidi="ar"/>
              </w:rPr>
              <w:t>开标时</w:t>
            </w:r>
            <w:r>
              <w:rPr>
                <w:rFonts w:hint="eastAsia" w:ascii="宋体" w:hAnsi="宋体" w:cs="宋体"/>
                <w:b/>
                <w:sz w:val="22"/>
                <w:szCs w:val="22"/>
                <w:lang w:bidi="ar"/>
              </w:rPr>
              <w:t>提供涡轮分子泵抽力的官方宣传彩页证明图片和以上数据实物图照片</w:t>
            </w:r>
            <w:r>
              <w:rPr>
                <w:rFonts w:hint="eastAsia" w:ascii="宋体" w:hAnsi="宋体" w:cs="宋体"/>
                <w:b/>
                <w:sz w:val="22"/>
                <w:szCs w:val="22"/>
                <w:lang w:eastAsia="zh-CN" w:bidi="ar"/>
              </w:rPr>
              <w:t>，</w:t>
            </w:r>
            <w:r>
              <w:rPr>
                <w:rFonts w:hint="eastAsia" w:ascii="宋体" w:hAnsi="宋体" w:cs="宋体"/>
                <w:b/>
                <w:sz w:val="22"/>
                <w:szCs w:val="22"/>
                <w:lang w:bidi="ar"/>
              </w:rPr>
              <w:t>加盖制造商公章佐证，未提供或提供无效的不得分，中标后须提供原件备查。</w:t>
            </w:r>
            <w:bookmarkEnd w:id="0"/>
          </w:p>
        </w:tc>
        <w:tc>
          <w:tcPr>
            <w:tcW w:w="814" w:type="dxa"/>
            <w:noWrap w:val="0"/>
            <w:vAlign w:val="top"/>
          </w:tcPr>
          <w:p w14:paraId="5FA0D3A9">
            <w:pPr>
              <w:autoSpaceDE w:val="0"/>
              <w:textAlignment w:val="center"/>
              <w:rPr>
                <w:rFonts w:hint="eastAsia" w:ascii="宋体" w:hAnsi="宋体" w:cs="宋体"/>
                <w:bCs/>
                <w:sz w:val="22"/>
                <w:szCs w:val="22"/>
                <w:lang w:bidi="ar"/>
              </w:rPr>
            </w:pPr>
            <w:r>
              <w:rPr>
                <w:rFonts w:hint="eastAsia" w:ascii="宋体" w:hAnsi="宋体" w:cs="宋体"/>
                <w:bCs/>
                <w:sz w:val="22"/>
                <w:szCs w:val="22"/>
                <w:lang w:bidi="ar"/>
              </w:rPr>
              <w:t>2.5分</w:t>
            </w:r>
          </w:p>
        </w:tc>
      </w:tr>
      <w:tr w14:paraId="1BFB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7" w:hRule="atLeast"/>
        </w:trPr>
        <w:tc>
          <w:tcPr>
            <w:tcW w:w="955" w:type="dxa"/>
            <w:vMerge w:val="continue"/>
            <w:noWrap w:val="0"/>
            <w:vAlign w:val="top"/>
          </w:tcPr>
          <w:p w14:paraId="705C69D7">
            <w:pPr>
              <w:autoSpaceDE w:val="0"/>
              <w:rPr>
                <w:rFonts w:hint="eastAsia" w:ascii="宋体" w:hAnsi="宋体" w:cs="宋体"/>
                <w:bCs/>
                <w:sz w:val="22"/>
                <w:szCs w:val="22"/>
                <w:lang w:bidi="ar"/>
              </w:rPr>
            </w:pPr>
          </w:p>
        </w:tc>
        <w:tc>
          <w:tcPr>
            <w:tcW w:w="836" w:type="dxa"/>
            <w:vMerge w:val="continue"/>
            <w:noWrap w:val="0"/>
            <w:vAlign w:val="top"/>
          </w:tcPr>
          <w:p w14:paraId="3BF33E55">
            <w:pPr>
              <w:autoSpaceDE w:val="0"/>
              <w:rPr>
                <w:rFonts w:hint="eastAsia" w:ascii="宋体" w:hAnsi="宋体" w:cs="宋体"/>
                <w:bCs/>
                <w:sz w:val="22"/>
                <w:szCs w:val="22"/>
                <w:lang w:bidi="ar"/>
              </w:rPr>
            </w:pPr>
          </w:p>
        </w:tc>
        <w:tc>
          <w:tcPr>
            <w:tcW w:w="6654" w:type="dxa"/>
            <w:noWrap w:val="0"/>
            <w:vAlign w:val="top"/>
          </w:tcPr>
          <w:p w14:paraId="6554FC06">
            <w:pPr>
              <w:autoSpaceDE w:val="0"/>
              <w:rPr>
                <w:rFonts w:hint="eastAsia" w:ascii="宋体" w:hAnsi="宋体" w:cs="宋体"/>
                <w:bCs/>
                <w:sz w:val="22"/>
                <w:szCs w:val="22"/>
                <w:lang w:bidi="ar"/>
              </w:rPr>
            </w:pPr>
            <w:r>
              <w:rPr>
                <w:rFonts w:hint="eastAsia" w:ascii="宋体" w:hAnsi="宋体" w:cs="宋体"/>
                <w:bCs/>
                <w:sz w:val="22"/>
                <w:szCs w:val="22"/>
                <w:lang w:bidi="ar"/>
              </w:rPr>
              <w:t>二、</w:t>
            </w:r>
            <w:r>
              <w:rPr>
                <w:rFonts w:hint="eastAsia" w:ascii="宋体" w:hAnsi="宋体" w:cs="宋体"/>
                <w:b/>
                <w:sz w:val="22"/>
                <w:szCs w:val="22"/>
                <w:lang w:bidi="ar"/>
              </w:rPr>
              <w:t>所投原子吸收分光光度计</w:t>
            </w:r>
          </w:p>
          <w:p w14:paraId="05B5B796">
            <w:pPr>
              <w:autoSpaceDE w:val="0"/>
              <w:rPr>
                <w:rFonts w:hint="eastAsia" w:ascii="宋体" w:hAnsi="宋体" w:cs="宋体"/>
                <w:bCs/>
                <w:sz w:val="22"/>
                <w:szCs w:val="22"/>
                <w:lang w:bidi="ar"/>
              </w:rPr>
            </w:pPr>
            <w:r>
              <w:rPr>
                <w:rFonts w:hint="eastAsia" w:ascii="宋体" w:hAnsi="宋体" w:cs="宋体"/>
                <w:bCs/>
                <w:sz w:val="22"/>
                <w:szCs w:val="22"/>
                <w:lang w:bidi="ar"/>
              </w:rPr>
              <w:t>1.在满足气体控制燃气流量自动设定（0.1L/min步长）,最佳气体流量自动检索的参数基础上，燃气流量自动设定（0.01L/min步长）的得0.5分；燃气流量自动设定（0.001L/min步长）的得1分。</w:t>
            </w:r>
          </w:p>
          <w:p w14:paraId="7EBA0BE3">
            <w:pPr>
              <w:autoSpaceDE w:val="0"/>
              <w:rPr>
                <w:rFonts w:hint="eastAsia" w:ascii="宋体" w:hAnsi="宋体" w:cs="宋体"/>
                <w:b/>
                <w:sz w:val="22"/>
                <w:szCs w:val="22"/>
                <w:lang w:bidi="ar"/>
              </w:rPr>
            </w:pPr>
            <w:r>
              <w:rPr>
                <w:rFonts w:hint="eastAsia" w:ascii="宋体" w:hAnsi="宋体" w:cs="宋体"/>
                <w:b/>
                <w:sz w:val="22"/>
                <w:szCs w:val="22"/>
                <w:lang w:bidi="ar"/>
              </w:rPr>
              <w:t>评审依据：</w:t>
            </w:r>
            <w:r>
              <w:rPr>
                <w:rFonts w:hint="eastAsia" w:ascii="宋体" w:hAnsi="宋体" w:cs="宋体"/>
                <w:b/>
                <w:sz w:val="22"/>
                <w:szCs w:val="22"/>
                <w:lang w:val="en-US" w:eastAsia="zh-CN" w:bidi="ar"/>
              </w:rPr>
              <w:t>开标时</w:t>
            </w:r>
            <w:r>
              <w:rPr>
                <w:rFonts w:hint="eastAsia" w:ascii="宋体" w:hAnsi="宋体" w:cs="宋体"/>
                <w:b/>
                <w:sz w:val="22"/>
                <w:szCs w:val="22"/>
                <w:lang w:bidi="ar"/>
              </w:rPr>
              <w:t>提供工作软件示值截图加盖制造商以及投标人公章予以佐证，未提供或提供无效者不得分。</w:t>
            </w:r>
          </w:p>
          <w:p w14:paraId="51FC3F21">
            <w:pPr>
              <w:autoSpaceDE w:val="0"/>
              <w:rPr>
                <w:rFonts w:hint="eastAsia" w:ascii="宋体" w:hAnsi="宋体" w:cs="宋体"/>
                <w:bCs/>
                <w:sz w:val="22"/>
                <w:szCs w:val="22"/>
                <w:lang w:bidi="ar"/>
              </w:rPr>
            </w:pPr>
            <w:r>
              <w:rPr>
                <w:rFonts w:hint="eastAsia" w:ascii="宋体" w:hAnsi="宋体" w:cs="宋体"/>
                <w:bCs/>
                <w:sz w:val="22"/>
                <w:szCs w:val="22"/>
                <w:lang w:bidi="ar"/>
              </w:rPr>
              <w:t>2、满足参数燃烧头位置调节前后位置自动调节的基础上，具有燃烧头位置调节功能，前后上下位置自动调节得0.5分；具有位置调节功能，前后上下位置自动调节，自动搜索最优燃烧器高度得1分；</w:t>
            </w:r>
          </w:p>
          <w:p w14:paraId="7FC98E6B">
            <w:pPr>
              <w:autoSpaceDE w:val="0"/>
              <w:rPr>
                <w:rFonts w:hint="eastAsia" w:ascii="宋体" w:hAnsi="宋体" w:cs="宋体"/>
                <w:b/>
                <w:sz w:val="22"/>
                <w:szCs w:val="22"/>
                <w:lang w:bidi="ar"/>
              </w:rPr>
            </w:pPr>
            <w:r>
              <w:rPr>
                <w:rFonts w:hint="eastAsia" w:ascii="宋体" w:hAnsi="宋体" w:cs="宋体"/>
                <w:b/>
                <w:sz w:val="22"/>
                <w:szCs w:val="22"/>
                <w:lang w:bidi="ar"/>
              </w:rPr>
              <w:t>评审依据:</w:t>
            </w:r>
            <w:r>
              <w:rPr>
                <w:rFonts w:hint="eastAsia" w:ascii="宋体" w:hAnsi="宋体" w:cs="宋体"/>
                <w:b/>
                <w:sz w:val="22"/>
                <w:szCs w:val="22"/>
                <w:lang w:val="en-US" w:eastAsia="zh-CN" w:bidi="ar"/>
              </w:rPr>
              <w:t>开标时</w:t>
            </w:r>
            <w:r>
              <w:rPr>
                <w:rFonts w:hint="eastAsia" w:ascii="宋体" w:hAnsi="宋体" w:cs="宋体"/>
                <w:b/>
                <w:sz w:val="22"/>
                <w:szCs w:val="22"/>
                <w:lang w:bidi="ar"/>
              </w:rPr>
              <w:t>提供实物照片以及具有对应功能描述的宣传彩页实物示意图，未提供或提供无效者不加分。</w:t>
            </w:r>
          </w:p>
          <w:p w14:paraId="686BEF3F">
            <w:pPr>
              <w:autoSpaceDE w:val="0"/>
              <w:rPr>
                <w:rFonts w:hint="eastAsia" w:ascii="宋体" w:hAnsi="宋体" w:cs="宋体"/>
                <w:bCs/>
                <w:sz w:val="22"/>
                <w:szCs w:val="22"/>
                <w:lang w:bidi="ar"/>
              </w:rPr>
            </w:pPr>
            <w:r>
              <w:rPr>
                <w:rFonts w:hint="eastAsia" w:ascii="宋体" w:hAnsi="宋体" w:cs="宋体"/>
                <w:bCs/>
                <w:sz w:val="22"/>
                <w:szCs w:val="22"/>
                <w:lang w:bidi="ar"/>
              </w:rPr>
              <w:t>3、石墨炉升温速率 最大升温速度满足≥3,500 ℃/秒得0.5分。</w:t>
            </w:r>
          </w:p>
          <w:p w14:paraId="17FC5933">
            <w:pPr>
              <w:autoSpaceDE w:val="0"/>
              <w:rPr>
                <w:rFonts w:hint="eastAsia" w:ascii="宋体" w:hAnsi="宋体" w:cs="宋体"/>
                <w:bCs/>
                <w:sz w:val="22"/>
                <w:szCs w:val="22"/>
                <w:lang w:bidi="ar"/>
              </w:rPr>
            </w:pPr>
            <w:r>
              <w:rPr>
                <w:rFonts w:hint="eastAsia" w:ascii="宋体" w:hAnsi="宋体" w:cs="宋体"/>
                <w:b/>
                <w:sz w:val="22"/>
                <w:szCs w:val="22"/>
                <w:lang w:bidi="ar"/>
              </w:rPr>
              <w:t>评审依据：</w:t>
            </w:r>
            <w:r>
              <w:rPr>
                <w:rFonts w:hint="eastAsia" w:ascii="宋体" w:hAnsi="宋体" w:cs="宋体"/>
                <w:b/>
                <w:sz w:val="22"/>
                <w:szCs w:val="22"/>
                <w:lang w:val="en-US" w:eastAsia="zh-CN" w:bidi="ar"/>
              </w:rPr>
              <w:t>开标时</w:t>
            </w:r>
            <w:r>
              <w:rPr>
                <w:rFonts w:hint="eastAsia" w:ascii="宋体" w:hAnsi="宋体" w:cs="宋体"/>
                <w:b/>
                <w:sz w:val="22"/>
                <w:szCs w:val="22"/>
                <w:lang w:bidi="ar"/>
              </w:rPr>
              <w:t>提供工作软件设置示值截图加盖制造商以及投标人公章予以佐证，未提供或提供无效者不得分。</w:t>
            </w:r>
          </w:p>
        </w:tc>
        <w:tc>
          <w:tcPr>
            <w:tcW w:w="814" w:type="dxa"/>
            <w:noWrap w:val="0"/>
            <w:vAlign w:val="top"/>
          </w:tcPr>
          <w:p w14:paraId="75B4AE5A">
            <w:pPr>
              <w:autoSpaceDE w:val="0"/>
              <w:rPr>
                <w:rFonts w:hint="eastAsia" w:ascii="宋体" w:hAnsi="宋体" w:cs="宋体"/>
                <w:bCs/>
                <w:sz w:val="22"/>
                <w:szCs w:val="22"/>
                <w:lang w:bidi="ar"/>
              </w:rPr>
            </w:pPr>
            <w:r>
              <w:rPr>
                <w:rFonts w:hint="eastAsia" w:ascii="宋体" w:hAnsi="宋体" w:cs="宋体"/>
                <w:bCs/>
                <w:sz w:val="22"/>
                <w:szCs w:val="22"/>
                <w:lang w:bidi="ar"/>
              </w:rPr>
              <w:t>2.5分</w:t>
            </w:r>
          </w:p>
        </w:tc>
      </w:tr>
      <w:tr w14:paraId="2240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6" w:hRule="atLeast"/>
        </w:trPr>
        <w:tc>
          <w:tcPr>
            <w:tcW w:w="955" w:type="dxa"/>
            <w:vMerge w:val="continue"/>
            <w:noWrap w:val="0"/>
            <w:vAlign w:val="top"/>
          </w:tcPr>
          <w:p w14:paraId="502F2276">
            <w:pPr>
              <w:autoSpaceDE w:val="0"/>
              <w:rPr>
                <w:rFonts w:hint="eastAsia" w:ascii="宋体" w:hAnsi="宋体" w:cs="宋体"/>
                <w:bCs/>
                <w:sz w:val="22"/>
                <w:szCs w:val="22"/>
                <w:lang w:bidi="ar"/>
              </w:rPr>
            </w:pPr>
          </w:p>
        </w:tc>
        <w:tc>
          <w:tcPr>
            <w:tcW w:w="836" w:type="dxa"/>
            <w:vMerge w:val="continue"/>
            <w:noWrap w:val="0"/>
            <w:vAlign w:val="top"/>
          </w:tcPr>
          <w:p w14:paraId="1DE77153">
            <w:pPr>
              <w:autoSpaceDE w:val="0"/>
              <w:rPr>
                <w:rFonts w:hint="eastAsia" w:ascii="宋体" w:hAnsi="宋体" w:cs="宋体"/>
                <w:bCs/>
                <w:sz w:val="22"/>
                <w:szCs w:val="22"/>
                <w:lang w:bidi="ar"/>
              </w:rPr>
            </w:pPr>
          </w:p>
        </w:tc>
        <w:tc>
          <w:tcPr>
            <w:tcW w:w="6654" w:type="dxa"/>
            <w:noWrap w:val="0"/>
            <w:vAlign w:val="top"/>
          </w:tcPr>
          <w:p w14:paraId="39DB3843">
            <w:pPr>
              <w:autoSpaceDE w:val="0"/>
              <w:rPr>
                <w:rFonts w:hint="eastAsia" w:ascii="宋体" w:hAnsi="宋体" w:cs="宋体"/>
                <w:bCs/>
                <w:sz w:val="22"/>
                <w:szCs w:val="22"/>
                <w:highlight w:val="none"/>
                <w:lang w:bidi="ar"/>
              </w:rPr>
            </w:pPr>
            <w:r>
              <w:rPr>
                <w:rFonts w:hint="eastAsia" w:ascii="宋体" w:hAnsi="宋体" w:cs="宋体"/>
                <w:bCs/>
                <w:sz w:val="22"/>
                <w:szCs w:val="22"/>
                <w:highlight w:val="none"/>
                <w:lang w:bidi="ar"/>
              </w:rPr>
              <w:t>三、</w:t>
            </w:r>
            <w:r>
              <w:rPr>
                <w:rFonts w:hint="eastAsia" w:ascii="宋体" w:hAnsi="宋体" w:eastAsia="宋体" w:cs="宋体"/>
                <w:b/>
                <w:bCs/>
                <w:color w:val="000000"/>
                <w:kern w:val="0"/>
                <w:sz w:val="24"/>
                <w:szCs w:val="24"/>
                <w:highlight w:val="none"/>
                <w:lang w:bidi="ar"/>
              </w:rPr>
              <w:t>所投</w:t>
            </w:r>
            <w:r>
              <w:rPr>
                <w:rFonts w:hint="eastAsia" w:ascii="宋体" w:hAnsi="宋体" w:cs="宋体"/>
                <w:b/>
                <w:sz w:val="22"/>
                <w:szCs w:val="22"/>
                <w:highlight w:val="none"/>
                <w:lang w:bidi="ar"/>
              </w:rPr>
              <w:t>气相色谱仪</w:t>
            </w:r>
          </w:p>
          <w:p w14:paraId="531D6C50">
            <w:pPr>
              <w:autoSpaceDE w:val="0"/>
              <w:rPr>
                <w:rFonts w:hint="eastAsia" w:ascii="宋体" w:hAnsi="宋体" w:cs="宋体"/>
                <w:bCs/>
                <w:color w:val="auto"/>
                <w:sz w:val="22"/>
                <w:szCs w:val="22"/>
                <w:highlight w:val="none"/>
                <w:lang w:bidi="ar"/>
              </w:rPr>
            </w:pPr>
            <w:r>
              <w:rPr>
                <w:rFonts w:hint="eastAsia" w:ascii="宋体" w:hAnsi="宋体" w:cs="宋体"/>
                <w:bCs/>
                <w:color w:val="auto"/>
                <w:sz w:val="22"/>
                <w:szCs w:val="22"/>
                <w:highlight w:val="none"/>
                <w:lang w:bidi="ar"/>
              </w:rPr>
              <w:t>1.主机不增加</w:t>
            </w:r>
            <w:r>
              <w:rPr>
                <w:rFonts w:hint="eastAsia" w:ascii="宋体" w:hAnsi="宋体" w:cs="宋体"/>
                <w:bCs/>
                <w:color w:val="auto"/>
                <w:sz w:val="22"/>
                <w:szCs w:val="22"/>
                <w:highlight w:val="none"/>
                <w:lang w:val="en-US" w:eastAsia="zh-CN" w:bidi="ar"/>
              </w:rPr>
              <w:t>额外</w:t>
            </w:r>
            <w:r>
              <w:rPr>
                <w:rFonts w:hint="eastAsia" w:ascii="宋体" w:hAnsi="宋体" w:cs="宋体"/>
                <w:bCs/>
                <w:color w:val="auto"/>
                <w:sz w:val="22"/>
                <w:szCs w:val="22"/>
                <w:highlight w:val="none"/>
                <w:lang w:bidi="ar"/>
              </w:rPr>
              <w:t>配置可同时安装不少于3个进样口和不少于3个检测器（</w:t>
            </w:r>
            <w:r>
              <w:rPr>
                <w:rFonts w:hint="eastAsia" w:ascii="宋体" w:hAnsi="宋体" w:cs="宋体"/>
                <w:bCs/>
                <w:color w:val="auto"/>
                <w:sz w:val="22"/>
                <w:szCs w:val="22"/>
                <w:highlight w:val="none"/>
                <w:lang w:val="en-US" w:eastAsia="zh-CN" w:bidi="ar"/>
              </w:rPr>
              <w:t>质谱端口</w:t>
            </w:r>
            <w:r>
              <w:rPr>
                <w:rFonts w:hint="eastAsia" w:ascii="宋体" w:hAnsi="宋体" w:cs="宋体"/>
                <w:bCs/>
                <w:color w:val="auto"/>
                <w:sz w:val="22"/>
                <w:szCs w:val="22"/>
                <w:highlight w:val="none"/>
                <w:lang w:bidi="ar"/>
              </w:rPr>
              <w:t>除外），满足得0.5分。</w:t>
            </w:r>
          </w:p>
          <w:p w14:paraId="66BF5711">
            <w:pPr>
              <w:autoSpaceDE w:val="0"/>
              <w:rPr>
                <w:rFonts w:hint="eastAsia" w:ascii="宋体" w:hAnsi="宋体" w:cs="宋体"/>
                <w:bCs/>
                <w:color w:val="auto"/>
                <w:sz w:val="22"/>
                <w:szCs w:val="22"/>
                <w:highlight w:val="none"/>
                <w:lang w:bidi="ar"/>
              </w:rPr>
            </w:pPr>
            <w:r>
              <w:rPr>
                <w:rFonts w:hint="eastAsia" w:ascii="宋体" w:hAnsi="宋体" w:cs="宋体"/>
                <w:bCs/>
                <w:color w:val="auto"/>
                <w:sz w:val="22"/>
                <w:szCs w:val="22"/>
                <w:highlight w:val="none"/>
                <w:lang w:bidi="ar"/>
              </w:rPr>
              <w:t>主机不增加</w:t>
            </w:r>
            <w:r>
              <w:rPr>
                <w:rFonts w:hint="eastAsia" w:ascii="宋体" w:hAnsi="宋体" w:cs="宋体"/>
                <w:bCs/>
                <w:color w:val="auto"/>
                <w:sz w:val="22"/>
                <w:szCs w:val="22"/>
                <w:highlight w:val="none"/>
                <w:lang w:val="en-US" w:eastAsia="zh-CN" w:bidi="ar"/>
              </w:rPr>
              <w:t>额外</w:t>
            </w:r>
            <w:r>
              <w:rPr>
                <w:rFonts w:hint="eastAsia" w:ascii="宋体" w:hAnsi="宋体" w:cs="宋体"/>
                <w:bCs/>
                <w:color w:val="auto"/>
                <w:sz w:val="22"/>
                <w:szCs w:val="22"/>
                <w:highlight w:val="none"/>
                <w:lang w:bidi="ar"/>
              </w:rPr>
              <w:t>配置可同时安装不少于3个进样口和不少于4个检测器（</w:t>
            </w:r>
            <w:r>
              <w:rPr>
                <w:rFonts w:hint="eastAsia" w:ascii="宋体" w:hAnsi="宋体" w:cs="宋体"/>
                <w:bCs/>
                <w:color w:val="auto"/>
                <w:sz w:val="22"/>
                <w:szCs w:val="22"/>
                <w:highlight w:val="none"/>
                <w:lang w:val="en-US" w:eastAsia="zh-CN" w:bidi="ar"/>
              </w:rPr>
              <w:t>质谱端口</w:t>
            </w:r>
            <w:r>
              <w:rPr>
                <w:rFonts w:hint="eastAsia" w:ascii="宋体" w:hAnsi="宋体" w:cs="宋体"/>
                <w:bCs/>
                <w:color w:val="auto"/>
                <w:sz w:val="22"/>
                <w:szCs w:val="22"/>
                <w:highlight w:val="none"/>
                <w:lang w:bidi="ar"/>
              </w:rPr>
              <w:t>除外），满足得1分。</w:t>
            </w:r>
          </w:p>
          <w:p w14:paraId="0D49F168">
            <w:pPr>
              <w:autoSpaceDE w:val="0"/>
              <w:rPr>
                <w:rFonts w:hint="eastAsia" w:ascii="宋体" w:hAnsi="宋体" w:eastAsia="宋体" w:cs="宋体"/>
                <w:bCs/>
                <w:color w:val="auto"/>
                <w:sz w:val="22"/>
                <w:szCs w:val="22"/>
                <w:highlight w:val="none"/>
                <w:lang w:eastAsia="zh-CN" w:bidi="ar"/>
              </w:rPr>
            </w:pPr>
            <w:r>
              <w:rPr>
                <w:rFonts w:hint="eastAsia" w:ascii="宋体" w:hAnsi="宋体" w:cs="宋体"/>
                <w:b/>
                <w:color w:val="auto"/>
                <w:sz w:val="22"/>
                <w:szCs w:val="22"/>
                <w:highlight w:val="none"/>
                <w:lang w:bidi="ar"/>
              </w:rPr>
              <w:t>评审依据:</w:t>
            </w:r>
            <w:r>
              <w:rPr>
                <w:rFonts w:hint="eastAsia" w:ascii="宋体" w:hAnsi="宋体" w:cs="宋体"/>
                <w:b/>
                <w:sz w:val="22"/>
                <w:szCs w:val="22"/>
                <w:lang w:val="en-US" w:eastAsia="zh-CN" w:bidi="ar"/>
              </w:rPr>
              <w:t>开标时提供</w:t>
            </w:r>
            <w:r>
              <w:rPr>
                <w:rFonts w:hint="eastAsia" w:ascii="宋体" w:hAnsi="宋体" w:cs="宋体"/>
                <w:b/>
                <w:color w:val="auto"/>
                <w:sz w:val="22"/>
                <w:szCs w:val="22"/>
                <w:highlight w:val="none"/>
                <w:lang w:bidi="ar"/>
              </w:rPr>
              <w:t>制造商出具的实物图以及技术参数确认函并加盖制造商以及投标人公章，未提供或提供无效者不加分</w:t>
            </w:r>
            <w:r>
              <w:rPr>
                <w:rFonts w:hint="eastAsia" w:ascii="宋体" w:hAnsi="宋体" w:cs="宋体"/>
                <w:b/>
                <w:color w:val="auto"/>
                <w:sz w:val="22"/>
                <w:szCs w:val="22"/>
                <w:highlight w:val="none"/>
                <w:lang w:eastAsia="zh-CN" w:bidi="ar"/>
              </w:rPr>
              <w:t>。</w:t>
            </w:r>
          </w:p>
          <w:p w14:paraId="6E30F869">
            <w:pPr>
              <w:autoSpaceDE w:val="0"/>
              <w:rPr>
                <w:rFonts w:hint="eastAsia" w:ascii="宋体" w:hAnsi="宋体" w:cs="宋体"/>
                <w:bCs/>
                <w:color w:val="auto"/>
                <w:sz w:val="22"/>
                <w:szCs w:val="22"/>
                <w:highlight w:val="none"/>
                <w:lang w:bidi="ar"/>
              </w:rPr>
            </w:pPr>
            <w:r>
              <w:rPr>
                <w:rFonts w:hint="eastAsia" w:ascii="宋体" w:hAnsi="宋体" w:cs="宋体"/>
                <w:bCs/>
                <w:color w:val="auto"/>
                <w:sz w:val="22"/>
                <w:szCs w:val="22"/>
                <w:highlight w:val="none"/>
                <w:lang w:bidi="ar"/>
              </w:rPr>
              <w:t>2.不增加</w:t>
            </w:r>
            <w:r>
              <w:rPr>
                <w:rFonts w:hint="eastAsia" w:ascii="宋体" w:hAnsi="宋体" w:cs="宋体"/>
                <w:bCs/>
                <w:color w:val="auto"/>
                <w:sz w:val="22"/>
                <w:szCs w:val="22"/>
                <w:highlight w:val="none"/>
                <w:lang w:val="en-US" w:eastAsia="zh-CN" w:bidi="ar"/>
              </w:rPr>
              <w:t>额外</w:t>
            </w:r>
            <w:r>
              <w:rPr>
                <w:rFonts w:hint="eastAsia" w:ascii="宋体" w:hAnsi="宋体" w:cs="宋体"/>
                <w:bCs/>
                <w:color w:val="auto"/>
                <w:sz w:val="22"/>
                <w:szCs w:val="22"/>
                <w:highlight w:val="none"/>
                <w:lang w:bidi="ar"/>
              </w:rPr>
              <w:t>配置最大升温速率：≥150℃/min，以0.01°C/min增加。满足得0.5分;</w:t>
            </w:r>
          </w:p>
          <w:p w14:paraId="39A73B87">
            <w:pPr>
              <w:autoSpaceDE w:val="0"/>
              <w:rPr>
                <w:rFonts w:hint="eastAsia" w:ascii="宋体" w:hAnsi="宋体" w:cs="宋体"/>
                <w:bCs/>
                <w:color w:val="auto"/>
                <w:sz w:val="22"/>
                <w:szCs w:val="22"/>
                <w:highlight w:val="none"/>
                <w:lang w:bidi="ar"/>
              </w:rPr>
            </w:pPr>
            <w:r>
              <w:rPr>
                <w:rFonts w:hint="eastAsia" w:ascii="宋体" w:hAnsi="宋体" w:cs="宋体"/>
                <w:bCs/>
                <w:color w:val="auto"/>
                <w:sz w:val="22"/>
                <w:szCs w:val="22"/>
                <w:highlight w:val="none"/>
                <w:lang w:bidi="ar"/>
              </w:rPr>
              <w:t>不增加</w:t>
            </w:r>
            <w:r>
              <w:rPr>
                <w:rFonts w:hint="eastAsia" w:ascii="宋体" w:hAnsi="宋体" w:cs="宋体"/>
                <w:bCs/>
                <w:color w:val="auto"/>
                <w:sz w:val="22"/>
                <w:szCs w:val="22"/>
                <w:highlight w:val="none"/>
                <w:lang w:val="en-US" w:eastAsia="zh-CN" w:bidi="ar"/>
              </w:rPr>
              <w:t>额外</w:t>
            </w:r>
            <w:r>
              <w:rPr>
                <w:rFonts w:hint="eastAsia" w:ascii="宋体" w:hAnsi="宋体" w:cs="宋体"/>
                <w:bCs/>
                <w:color w:val="auto"/>
                <w:sz w:val="22"/>
                <w:szCs w:val="22"/>
                <w:highlight w:val="none"/>
                <w:lang w:bidi="ar"/>
              </w:rPr>
              <w:t>配置最大升温速率：≥250℃/min，以0.01°C/min增加。满足得1分;</w:t>
            </w:r>
          </w:p>
          <w:p w14:paraId="5CAB1A9C">
            <w:pPr>
              <w:autoSpaceDE w:val="0"/>
              <w:rPr>
                <w:rFonts w:hint="eastAsia" w:ascii="宋体" w:hAnsi="宋体" w:cs="宋体"/>
                <w:b/>
                <w:sz w:val="22"/>
                <w:szCs w:val="22"/>
                <w:highlight w:val="none"/>
                <w:lang w:bidi="ar"/>
              </w:rPr>
            </w:pPr>
            <w:r>
              <w:rPr>
                <w:rFonts w:hint="eastAsia" w:ascii="宋体" w:hAnsi="宋体" w:cs="宋体"/>
                <w:b/>
                <w:sz w:val="22"/>
                <w:szCs w:val="22"/>
                <w:highlight w:val="none"/>
                <w:lang w:bidi="ar"/>
              </w:rPr>
              <w:t>评审依据：</w:t>
            </w:r>
            <w:r>
              <w:rPr>
                <w:rFonts w:hint="eastAsia" w:ascii="宋体" w:hAnsi="宋体" w:cs="宋体"/>
                <w:b/>
                <w:sz w:val="22"/>
                <w:szCs w:val="22"/>
                <w:lang w:val="en-US" w:eastAsia="zh-CN" w:bidi="ar"/>
              </w:rPr>
              <w:t>开标时</w:t>
            </w:r>
            <w:r>
              <w:rPr>
                <w:rFonts w:hint="eastAsia" w:ascii="宋体" w:hAnsi="宋体" w:cs="宋体"/>
                <w:b/>
                <w:sz w:val="22"/>
                <w:szCs w:val="22"/>
                <w:highlight w:val="none"/>
                <w:lang w:bidi="ar"/>
              </w:rPr>
              <w:t>提供所投型号产品工作软件示值截图加盖制造商以及投标人公章予以佐证，未提供或提供无效者不得分。</w:t>
            </w:r>
          </w:p>
          <w:p w14:paraId="5C271A4D">
            <w:pPr>
              <w:autoSpaceDE w:val="0"/>
              <w:rPr>
                <w:rFonts w:hint="eastAsia" w:ascii="宋体" w:hAnsi="宋体" w:cs="宋体"/>
                <w:bCs/>
                <w:sz w:val="22"/>
                <w:szCs w:val="22"/>
                <w:highlight w:val="none"/>
                <w:lang w:bidi="ar"/>
              </w:rPr>
            </w:pPr>
            <w:r>
              <w:rPr>
                <w:rFonts w:hint="eastAsia" w:ascii="宋体" w:hAnsi="宋体" w:cs="宋体"/>
                <w:bCs/>
                <w:sz w:val="22"/>
                <w:szCs w:val="22"/>
                <w:highlight w:val="none"/>
                <w:lang w:bidi="ar"/>
              </w:rPr>
              <w:t>3.满足招标文件“程序升温：21阶22平台”要求基础上</w:t>
            </w:r>
            <w:r>
              <w:rPr>
                <w:rFonts w:hint="eastAsia" w:ascii="宋体" w:hAnsi="宋体" w:cs="宋体"/>
                <w:bCs/>
                <w:sz w:val="22"/>
                <w:szCs w:val="22"/>
                <w:highlight w:val="none"/>
                <w:lang w:eastAsia="zh-CN" w:bidi="ar"/>
              </w:rPr>
              <w:t>，</w:t>
            </w:r>
            <w:r>
              <w:rPr>
                <w:rFonts w:hint="eastAsia" w:ascii="宋体" w:hAnsi="宋体" w:cs="宋体"/>
                <w:bCs/>
                <w:sz w:val="22"/>
                <w:szCs w:val="22"/>
                <w:highlight w:val="none"/>
                <w:lang w:bidi="ar"/>
              </w:rPr>
              <w:t>达到程序升温的阶数：29阶30平台要求,加0.5分；</w:t>
            </w:r>
          </w:p>
          <w:p w14:paraId="2F2D100F">
            <w:pPr>
              <w:autoSpaceDE w:val="0"/>
              <w:rPr>
                <w:rFonts w:hint="eastAsia" w:ascii="宋体" w:hAnsi="宋体" w:cs="宋体"/>
                <w:bCs/>
                <w:sz w:val="22"/>
                <w:szCs w:val="22"/>
                <w:highlight w:val="none"/>
                <w:lang w:bidi="ar"/>
              </w:rPr>
            </w:pPr>
            <w:r>
              <w:rPr>
                <w:rFonts w:hint="eastAsia" w:ascii="宋体" w:hAnsi="宋体" w:cs="宋体"/>
                <w:bCs/>
                <w:sz w:val="22"/>
                <w:szCs w:val="22"/>
                <w:highlight w:val="none"/>
                <w:lang w:bidi="ar"/>
              </w:rPr>
              <w:t>达到程序升温的阶数：32阶33平台或以上要求,加1分。</w:t>
            </w:r>
          </w:p>
          <w:p w14:paraId="3FEE5FF3">
            <w:pPr>
              <w:autoSpaceDE w:val="0"/>
              <w:rPr>
                <w:rFonts w:hint="eastAsia" w:ascii="宋体" w:hAnsi="宋体" w:cs="宋体"/>
                <w:bCs/>
                <w:sz w:val="22"/>
                <w:szCs w:val="22"/>
                <w:highlight w:val="none"/>
                <w:lang w:bidi="ar"/>
              </w:rPr>
            </w:pPr>
            <w:r>
              <w:rPr>
                <w:rFonts w:hint="eastAsia" w:ascii="宋体" w:hAnsi="宋体" w:cs="宋体"/>
                <w:b/>
                <w:sz w:val="22"/>
                <w:szCs w:val="22"/>
                <w:highlight w:val="none"/>
                <w:lang w:bidi="ar"/>
              </w:rPr>
              <w:t>评审依据：</w:t>
            </w:r>
            <w:r>
              <w:rPr>
                <w:rFonts w:hint="eastAsia" w:ascii="宋体" w:hAnsi="宋体" w:cs="宋体"/>
                <w:b/>
                <w:sz w:val="22"/>
                <w:szCs w:val="22"/>
                <w:lang w:val="en-US" w:eastAsia="zh-CN" w:bidi="ar"/>
              </w:rPr>
              <w:t>开标时</w:t>
            </w:r>
            <w:r>
              <w:rPr>
                <w:rFonts w:hint="eastAsia" w:ascii="宋体" w:hAnsi="宋体" w:cs="宋体"/>
                <w:b/>
                <w:sz w:val="22"/>
                <w:szCs w:val="22"/>
                <w:highlight w:val="none"/>
                <w:lang w:bidi="ar"/>
              </w:rPr>
              <w:t>提供所投型号产品工作软件示值截图加盖制造商以及投标人公章予以佐证，未提供或提供无效者不得分。</w:t>
            </w:r>
          </w:p>
        </w:tc>
        <w:tc>
          <w:tcPr>
            <w:tcW w:w="814" w:type="dxa"/>
            <w:noWrap w:val="0"/>
            <w:vAlign w:val="top"/>
          </w:tcPr>
          <w:p w14:paraId="612EC7BF">
            <w:pPr>
              <w:autoSpaceDE w:val="0"/>
              <w:rPr>
                <w:rFonts w:hint="eastAsia" w:ascii="宋体" w:hAnsi="宋体" w:cs="宋体"/>
                <w:bCs/>
                <w:sz w:val="22"/>
                <w:szCs w:val="22"/>
                <w:highlight w:val="none"/>
                <w:lang w:bidi="ar"/>
              </w:rPr>
            </w:pPr>
            <w:r>
              <w:rPr>
                <w:rFonts w:hint="eastAsia" w:ascii="宋体" w:hAnsi="宋体" w:cs="宋体"/>
                <w:bCs/>
                <w:sz w:val="22"/>
                <w:szCs w:val="22"/>
                <w:highlight w:val="none"/>
                <w:lang w:bidi="ar"/>
              </w:rPr>
              <w:t>3分</w:t>
            </w:r>
          </w:p>
        </w:tc>
      </w:tr>
      <w:tr w14:paraId="731A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1" w:hRule="atLeast"/>
        </w:trPr>
        <w:tc>
          <w:tcPr>
            <w:tcW w:w="955" w:type="dxa"/>
            <w:vMerge w:val="continue"/>
            <w:noWrap w:val="0"/>
            <w:vAlign w:val="top"/>
          </w:tcPr>
          <w:p w14:paraId="0132976B">
            <w:pPr>
              <w:autoSpaceDE w:val="0"/>
              <w:rPr>
                <w:rFonts w:hint="eastAsia" w:ascii="宋体" w:hAnsi="宋体" w:cs="宋体"/>
                <w:bCs/>
                <w:sz w:val="22"/>
                <w:szCs w:val="22"/>
                <w:lang w:bidi="ar"/>
              </w:rPr>
            </w:pPr>
          </w:p>
        </w:tc>
        <w:tc>
          <w:tcPr>
            <w:tcW w:w="836" w:type="dxa"/>
            <w:vMerge w:val="continue"/>
            <w:noWrap w:val="0"/>
            <w:vAlign w:val="top"/>
          </w:tcPr>
          <w:p w14:paraId="0449FF21">
            <w:pPr>
              <w:autoSpaceDE w:val="0"/>
              <w:rPr>
                <w:rFonts w:hint="eastAsia" w:ascii="宋体" w:hAnsi="宋体" w:cs="宋体"/>
                <w:bCs/>
                <w:sz w:val="22"/>
                <w:szCs w:val="22"/>
                <w:lang w:bidi="ar"/>
              </w:rPr>
            </w:pPr>
          </w:p>
        </w:tc>
        <w:tc>
          <w:tcPr>
            <w:tcW w:w="6654" w:type="dxa"/>
            <w:noWrap w:val="0"/>
            <w:vAlign w:val="top"/>
          </w:tcPr>
          <w:p w14:paraId="3A6D09DD">
            <w:pPr>
              <w:autoSpaceDE w:val="0"/>
              <w:rPr>
                <w:rFonts w:hint="eastAsia" w:ascii="宋体" w:hAnsi="宋体" w:cs="宋体"/>
                <w:b/>
                <w:sz w:val="22"/>
                <w:szCs w:val="22"/>
                <w:highlight w:val="none"/>
                <w:lang w:bidi="ar"/>
              </w:rPr>
            </w:pPr>
            <w:r>
              <w:rPr>
                <w:rFonts w:hint="eastAsia" w:ascii="宋体" w:hAnsi="宋体" w:cs="宋体"/>
                <w:b/>
                <w:sz w:val="22"/>
                <w:szCs w:val="22"/>
                <w:highlight w:val="none"/>
                <w:lang w:bidi="ar"/>
              </w:rPr>
              <w:t>四、所投液相色谱仪</w:t>
            </w:r>
          </w:p>
          <w:p w14:paraId="5375A4B2">
            <w:pPr>
              <w:autoSpaceDE w:val="0"/>
              <w:rPr>
                <w:rFonts w:hint="eastAsia" w:ascii="宋体" w:hAnsi="宋体" w:cs="宋体"/>
                <w:bCs/>
                <w:sz w:val="22"/>
                <w:szCs w:val="22"/>
                <w:highlight w:val="none"/>
                <w:lang w:bidi="ar"/>
              </w:rPr>
            </w:pPr>
            <w:r>
              <w:rPr>
                <w:rFonts w:hint="eastAsia" w:ascii="宋体" w:hAnsi="宋体" w:cs="宋体"/>
                <w:bCs/>
                <w:sz w:val="22"/>
                <w:szCs w:val="22"/>
                <w:highlight w:val="none"/>
                <w:lang w:bidi="ar"/>
              </w:rPr>
              <w:t>1、满足招标文件四元低压输液泵流速范围：0.001～5.000mL/min，以≤0.001递增得基础上，满足流速范围：0.0001～5.000mL/min，且以≤0.0001递增的得1分。</w:t>
            </w:r>
          </w:p>
          <w:p w14:paraId="66B12307">
            <w:pPr>
              <w:autoSpaceDE w:val="0"/>
              <w:rPr>
                <w:rFonts w:hint="eastAsia" w:ascii="宋体" w:hAnsi="宋体" w:cs="宋体"/>
                <w:bCs/>
                <w:sz w:val="22"/>
                <w:szCs w:val="22"/>
                <w:highlight w:val="none"/>
                <w:lang w:bidi="ar"/>
              </w:rPr>
            </w:pPr>
            <w:r>
              <w:rPr>
                <w:rFonts w:hint="eastAsia" w:ascii="宋体" w:hAnsi="宋体" w:cs="宋体"/>
                <w:b/>
                <w:sz w:val="22"/>
                <w:szCs w:val="22"/>
                <w:highlight w:val="none"/>
                <w:lang w:bidi="ar"/>
              </w:rPr>
              <w:t>评审依据：</w:t>
            </w:r>
            <w:r>
              <w:rPr>
                <w:rFonts w:hint="eastAsia" w:ascii="宋体" w:hAnsi="宋体" w:cs="宋体"/>
                <w:b/>
                <w:sz w:val="22"/>
                <w:szCs w:val="22"/>
                <w:lang w:val="en-US" w:eastAsia="zh-CN" w:bidi="ar"/>
              </w:rPr>
              <w:t>开标时</w:t>
            </w:r>
            <w:r>
              <w:rPr>
                <w:rFonts w:hint="eastAsia" w:ascii="宋体" w:hAnsi="宋体" w:cs="宋体"/>
                <w:b/>
                <w:sz w:val="22"/>
                <w:szCs w:val="22"/>
                <w:highlight w:val="none"/>
                <w:lang w:bidi="ar"/>
              </w:rPr>
              <w:t>提供所投型号软件截图加盖制造商公章作为佐证材料，未提供或提供不符不加分。</w:t>
            </w:r>
          </w:p>
          <w:p w14:paraId="7BE7F82A">
            <w:pPr>
              <w:autoSpaceDE w:val="0"/>
              <w:rPr>
                <w:rFonts w:hint="eastAsia" w:ascii="宋体" w:hAnsi="宋体" w:cs="宋体"/>
                <w:bCs/>
                <w:sz w:val="22"/>
                <w:szCs w:val="22"/>
                <w:highlight w:val="none"/>
                <w:lang w:bidi="ar"/>
              </w:rPr>
            </w:pPr>
            <w:r>
              <w:rPr>
                <w:rFonts w:hint="eastAsia" w:ascii="宋体" w:hAnsi="宋体" w:cs="宋体"/>
                <w:bCs/>
                <w:sz w:val="22"/>
                <w:szCs w:val="22"/>
                <w:highlight w:val="none"/>
                <w:lang w:bidi="ar"/>
              </w:rPr>
              <w:t>2、满足招标文件柱温箱：容量:可放置≥2根 300mm的色谱柱等的基础上，柱温箱容量：可放置≥8根 300mm色谱柱并可以连接的，满足得1分。</w:t>
            </w:r>
          </w:p>
          <w:p w14:paraId="04BC8E6F">
            <w:pPr>
              <w:autoSpaceDE w:val="0"/>
              <w:rPr>
                <w:rFonts w:hint="eastAsia" w:ascii="宋体" w:hAnsi="宋体" w:cs="宋体"/>
                <w:b/>
                <w:color w:val="FF0000"/>
                <w:sz w:val="22"/>
                <w:szCs w:val="22"/>
                <w:highlight w:val="none"/>
                <w:lang w:bidi="ar"/>
              </w:rPr>
            </w:pPr>
            <w:r>
              <w:rPr>
                <w:rFonts w:hint="eastAsia" w:ascii="宋体" w:hAnsi="宋体" w:cs="宋体"/>
                <w:b/>
                <w:sz w:val="22"/>
                <w:szCs w:val="22"/>
                <w:highlight w:val="none"/>
                <w:lang w:bidi="ar"/>
              </w:rPr>
              <w:t>评审依据：</w:t>
            </w:r>
            <w:r>
              <w:rPr>
                <w:rFonts w:hint="eastAsia" w:ascii="宋体" w:hAnsi="宋体" w:cs="宋体"/>
                <w:b/>
                <w:sz w:val="22"/>
                <w:szCs w:val="22"/>
                <w:lang w:val="en-US" w:eastAsia="zh-CN" w:bidi="ar"/>
              </w:rPr>
              <w:t>开标时</w:t>
            </w:r>
            <w:r>
              <w:rPr>
                <w:rFonts w:hint="eastAsia" w:ascii="宋体" w:hAnsi="宋体" w:cs="宋体"/>
                <w:b/>
                <w:color w:val="auto"/>
                <w:sz w:val="22"/>
                <w:szCs w:val="22"/>
                <w:highlight w:val="none"/>
                <w:lang w:bidi="ar"/>
              </w:rPr>
              <w:t>提供</w:t>
            </w:r>
            <w:r>
              <w:rPr>
                <w:rFonts w:hint="eastAsia" w:ascii="宋体" w:hAnsi="宋体" w:cs="宋体"/>
                <w:b/>
                <w:color w:val="auto"/>
                <w:sz w:val="22"/>
                <w:szCs w:val="22"/>
                <w:highlight w:val="none"/>
                <w:lang w:val="en-US" w:eastAsia="zh-CN" w:bidi="ar"/>
              </w:rPr>
              <w:t>体现</w:t>
            </w:r>
            <w:r>
              <w:rPr>
                <w:rFonts w:hint="eastAsia" w:ascii="宋体" w:hAnsi="宋体" w:cs="宋体"/>
                <w:b/>
                <w:color w:val="auto"/>
                <w:sz w:val="22"/>
                <w:szCs w:val="22"/>
                <w:highlight w:val="none"/>
                <w:lang w:bidi="ar"/>
              </w:rPr>
              <w:t>所投型号柱温箱色谱柱可放置数量的连接实物图片</w:t>
            </w:r>
            <w:r>
              <w:rPr>
                <w:rFonts w:hint="eastAsia" w:ascii="宋体" w:hAnsi="宋体" w:cs="宋体"/>
                <w:b/>
                <w:color w:val="auto"/>
                <w:sz w:val="22"/>
                <w:szCs w:val="22"/>
                <w:highlight w:val="none"/>
                <w:lang w:val="en-US" w:eastAsia="zh-CN" w:bidi="ar"/>
              </w:rPr>
              <w:t>并</w:t>
            </w:r>
            <w:r>
              <w:rPr>
                <w:rFonts w:hint="eastAsia" w:ascii="宋体" w:hAnsi="宋体" w:cs="宋体"/>
                <w:b/>
                <w:color w:val="auto"/>
                <w:sz w:val="22"/>
                <w:szCs w:val="22"/>
                <w:highlight w:val="none"/>
                <w:lang w:bidi="ar"/>
              </w:rPr>
              <w:t>加盖制造商公章作为佐证材料，未提供或提供不符不加分。</w:t>
            </w:r>
          </w:p>
          <w:p w14:paraId="36D82A9E">
            <w:pPr>
              <w:autoSpaceDE w:val="0"/>
              <w:rPr>
                <w:rFonts w:hint="eastAsia" w:ascii="宋体" w:hAnsi="宋体" w:cs="宋体"/>
                <w:bCs/>
                <w:sz w:val="22"/>
                <w:szCs w:val="22"/>
                <w:highlight w:val="none"/>
                <w:lang w:bidi="ar"/>
              </w:rPr>
            </w:pPr>
            <w:r>
              <w:rPr>
                <w:rFonts w:hint="eastAsia" w:ascii="宋体" w:hAnsi="宋体" w:cs="宋体"/>
                <w:bCs/>
                <w:sz w:val="22"/>
                <w:szCs w:val="22"/>
                <w:highlight w:val="none"/>
                <w:lang w:bidi="ar"/>
              </w:rPr>
              <w:t>3、紫外检测器带检测池控温功能，流通池温控： 19~50℃,1℃步进，满足得1分。</w:t>
            </w:r>
          </w:p>
          <w:p w14:paraId="63E83841">
            <w:pPr>
              <w:autoSpaceDE w:val="0"/>
              <w:rPr>
                <w:rFonts w:hint="eastAsia" w:ascii="宋体" w:hAnsi="宋体" w:cs="宋体"/>
                <w:bCs/>
                <w:sz w:val="22"/>
                <w:szCs w:val="22"/>
                <w:highlight w:val="none"/>
                <w:lang w:bidi="ar"/>
              </w:rPr>
            </w:pPr>
            <w:r>
              <w:rPr>
                <w:rFonts w:hint="eastAsia" w:ascii="宋体" w:hAnsi="宋体" w:cs="宋体"/>
                <w:b/>
                <w:sz w:val="22"/>
                <w:szCs w:val="22"/>
                <w:highlight w:val="none"/>
                <w:lang w:bidi="ar"/>
              </w:rPr>
              <w:t>评审依据：</w:t>
            </w:r>
            <w:r>
              <w:rPr>
                <w:rFonts w:hint="eastAsia" w:ascii="宋体" w:hAnsi="宋体" w:cs="宋体"/>
                <w:b/>
                <w:sz w:val="22"/>
                <w:szCs w:val="22"/>
                <w:lang w:val="en-US" w:eastAsia="zh-CN" w:bidi="ar"/>
              </w:rPr>
              <w:t>开标时</w:t>
            </w:r>
            <w:r>
              <w:rPr>
                <w:rFonts w:hint="eastAsia" w:ascii="宋体" w:hAnsi="宋体" w:cs="宋体"/>
                <w:b/>
                <w:sz w:val="22"/>
                <w:szCs w:val="22"/>
                <w:highlight w:val="none"/>
                <w:lang w:bidi="ar"/>
              </w:rPr>
              <w:t>提供所投型号工作软件截图加盖制造商公章作为佐证材料，未提供或提供不符不加分。</w:t>
            </w:r>
          </w:p>
        </w:tc>
        <w:tc>
          <w:tcPr>
            <w:tcW w:w="814" w:type="dxa"/>
            <w:noWrap w:val="0"/>
            <w:vAlign w:val="top"/>
          </w:tcPr>
          <w:p w14:paraId="1BB79C4A">
            <w:pPr>
              <w:autoSpaceDE w:val="0"/>
              <w:rPr>
                <w:rFonts w:hint="eastAsia" w:ascii="宋体" w:hAnsi="宋体" w:cs="宋体"/>
                <w:bCs/>
                <w:sz w:val="22"/>
                <w:szCs w:val="22"/>
                <w:highlight w:val="none"/>
                <w:lang w:bidi="ar"/>
              </w:rPr>
            </w:pPr>
            <w:r>
              <w:rPr>
                <w:rFonts w:hint="eastAsia" w:ascii="宋体" w:hAnsi="宋体" w:cs="宋体"/>
                <w:bCs/>
                <w:sz w:val="22"/>
                <w:szCs w:val="22"/>
                <w:highlight w:val="none"/>
                <w:lang w:bidi="ar"/>
              </w:rPr>
              <w:t>3分</w:t>
            </w:r>
          </w:p>
        </w:tc>
      </w:tr>
      <w:tr w14:paraId="66B3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4" w:hRule="atLeast"/>
        </w:trPr>
        <w:tc>
          <w:tcPr>
            <w:tcW w:w="955" w:type="dxa"/>
            <w:vMerge w:val="continue"/>
            <w:noWrap w:val="0"/>
            <w:vAlign w:val="top"/>
          </w:tcPr>
          <w:p w14:paraId="147A14A5">
            <w:pPr>
              <w:autoSpaceDE w:val="0"/>
              <w:rPr>
                <w:rFonts w:hint="eastAsia" w:ascii="宋体" w:hAnsi="宋体" w:cs="宋体"/>
                <w:bCs/>
                <w:sz w:val="22"/>
                <w:szCs w:val="22"/>
                <w:lang w:bidi="ar"/>
              </w:rPr>
            </w:pPr>
          </w:p>
        </w:tc>
        <w:tc>
          <w:tcPr>
            <w:tcW w:w="836" w:type="dxa"/>
            <w:vMerge w:val="continue"/>
            <w:noWrap w:val="0"/>
            <w:vAlign w:val="top"/>
          </w:tcPr>
          <w:p w14:paraId="21C9DE38">
            <w:pPr>
              <w:autoSpaceDE w:val="0"/>
              <w:rPr>
                <w:rFonts w:hint="eastAsia" w:ascii="宋体" w:hAnsi="宋体" w:cs="宋体"/>
                <w:bCs/>
                <w:sz w:val="22"/>
                <w:szCs w:val="22"/>
                <w:lang w:bidi="ar"/>
              </w:rPr>
            </w:pPr>
          </w:p>
        </w:tc>
        <w:tc>
          <w:tcPr>
            <w:tcW w:w="6654" w:type="dxa"/>
            <w:noWrap w:val="0"/>
            <w:vAlign w:val="top"/>
          </w:tcPr>
          <w:p w14:paraId="5ECAA324">
            <w:pPr>
              <w:autoSpaceDE w:val="0"/>
              <w:rPr>
                <w:rFonts w:hint="eastAsia" w:ascii="宋体" w:hAnsi="宋体" w:eastAsia="宋体" w:cs="宋体"/>
                <w:b/>
                <w:sz w:val="22"/>
                <w:szCs w:val="22"/>
                <w:lang w:val="en-US" w:eastAsia="zh-CN" w:bidi="ar"/>
              </w:rPr>
            </w:pPr>
            <w:r>
              <w:rPr>
                <w:rFonts w:hint="eastAsia" w:ascii="宋体" w:hAnsi="宋体" w:cs="宋体"/>
                <w:b/>
                <w:sz w:val="22"/>
                <w:szCs w:val="22"/>
                <w:lang w:bidi="ar"/>
              </w:rPr>
              <w:t>五、所投离子色谱</w:t>
            </w:r>
            <w:r>
              <w:rPr>
                <w:rFonts w:hint="eastAsia" w:ascii="宋体" w:hAnsi="宋体" w:cs="宋体"/>
                <w:b/>
                <w:sz w:val="22"/>
                <w:szCs w:val="22"/>
                <w:lang w:val="en-US" w:eastAsia="zh-CN" w:bidi="ar"/>
              </w:rPr>
              <w:t>仪</w:t>
            </w:r>
          </w:p>
          <w:p w14:paraId="1F85B360">
            <w:pPr>
              <w:autoSpaceDE w:val="0"/>
              <w:rPr>
                <w:rFonts w:hint="eastAsia" w:ascii="宋体" w:hAnsi="宋体" w:cs="宋体"/>
                <w:bCs/>
                <w:sz w:val="22"/>
                <w:szCs w:val="22"/>
                <w:lang w:bidi="ar"/>
              </w:rPr>
            </w:pPr>
            <w:r>
              <w:rPr>
                <w:rFonts w:hint="eastAsia" w:ascii="宋体" w:hAnsi="宋体" w:cs="宋体"/>
                <w:bCs/>
                <w:sz w:val="22"/>
                <w:szCs w:val="22"/>
                <w:lang w:bidi="ar"/>
              </w:rPr>
              <w:t>1、泵类型：包含两个柱塞泵，有独立的两个电机驱动，可实现精准流速控制及极低的压力脉冲。满足得0.5分。</w:t>
            </w:r>
          </w:p>
          <w:p w14:paraId="40414737">
            <w:pPr>
              <w:autoSpaceDE w:val="0"/>
              <w:rPr>
                <w:rFonts w:hint="eastAsia" w:ascii="宋体" w:hAnsi="宋体" w:cs="宋体"/>
                <w:b/>
                <w:sz w:val="22"/>
                <w:szCs w:val="22"/>
                <w:lang w:bidi="ar"/>
              </w:rPr>
            </w:pPr>
            <w:r>
              <w:rPr>
                <w:rFonts w:hint="eastAsia" w:ascii="宋体" w:hAnsi="宋体" w:cs="宋体"/>
                <w:b/>
                <w:sz w:val="22"/>
                <w:szCs w:val="22"/>
                <w:lang w:bidi="ar"/>
              </w:rPr>
              <w:t>评审依据：</w:t>
            </w:r>
            <w:r>
              <w:rPr>
                <w:rFonts w:hint="eastAsia" w:ascii="宋体" w:hAnsi="宋体" w:cs="宋体"/>
                <w:b/>
                <w:sz w:val="22"/>
                <w:szCs w:val="22"/>
                <w:lang w:val="en-US" w:eastAsia="zh-CN" w:bidi="ar"/>
              </w:rPr>
              <w:t>开标时</w:t>
            </w:r>
            <w:r>
              <w:rPr>
                <w:rFonts w:hint="eastAsia" w:ascii="宋体" w:hAnsi="宋体" w:cs="宋体"/>
                <w:b/>
                <w:sz w:val="22"/>
                <w:szCs w:val="22"/>
                <w:lang w:bidi="ar"/>
              </w:rPr>
              <w:t>提供所投产品制造商参数确认函及电机实物图片并加盖制造商公章予以佐证，未提供或提供无效者不得分。</w:t>
            </w:r>
          </w:p>
          <w:p w14:paraId="1BE3827F">
            <w:pPr>
              <w:autoSpaceDE w:val="0"/>
              <w:rPr>
                <w:rFonts w:hint="eastAsia" w:ascii="宋体" w:hAnsi="宋体" w:cs="宋体"/>
                <w:bCs/>
                <w:sz w:val="22"/>
                <w:szCs w:val="22"/>
                <w:lang w:bidi="ar"/>
              </w:rPr>
            </w:pPr>
            <w:r>
              <w:rPr>
                <w:rFonts w:hint="eastAsia" w:ascii="宋体" w:hAnsi="宋体" w:cs="宋体"/>
                <w:bCs/>
                <w:sz w:val="22"/>
                <w:szCs w:val="22"/>
                <w:lang w:bidi="ar"/>
              </w:rPr>
              <w:t>2、电导检测器使用32位ADC数字信号转换芯片，量程可达到0～100000µS/cm，满足得0.5分。</w:t>
            </w:r>
          </w:p>
          <w:p w14:paraId="1EFE4061">
            <w:pPr>
              <w:autoSpaceDE w:val="0"/>
              <w:rPr>
                <w:rFonts w:hint="eastAsia" w:ascii="宋体" w:hAnsi="宋体" w:cs="宋体"/>
                <w:bCs/>
                <w:sz w:val="22"/>
                <w:szCs w:val="22"/>
                <w:lang w:bidi="ar"/>
              </w:rPr>
            </w:pPr>
            <w:r>
              <w:rPr>
                <w:rFonts w:hint="eastAsia" w:ascii="宋体" w:hAnsi="宋体" w:cs="宋体"/>
                <w:b/>
                <w:sz w:val="22"/>
                <w:szCs w:val="22"/>
                <w:lang w:bidi="ar"/>
              </w:rPr>
              <w:t>评审依据：</w:t>
            </w:r>
            <w:r>
              <w:rPr>
                <w:rFonts w:hint="eastAsia" w:ascii="宋体" w:hAnsi="宋体" w:cs="宋体"/>
                <w:b/>
                <w:sz w:val="22"/>
                <w:szCs w:val="22"/>
                <w:lang w:val="en-US" w:eastAsia="zh-CN" w:bidi="ar"/>
              </w:rPr>
              <w:t>开标时</w:t>
            </w:r>
            <w:r>
              <w:rPr>
                <w:rFonts w:hint="eastAsia" w:ascii="宋体" w:hAnsi="宋体" w:cs="宋体"/>
                <w:b/>
                <w:sz w:val="22"/>
                <w:szCs w:val="22"/>
                <w:lang w:bidi="ar"/>
              </w:rPr>
              <w:t>提供所投产品制造商原版彩页及带有编码的检测器芯片主板实物图片并加盖制造商公章予以佐证，未提供或提供无效者不得分。</w:t>
            </w:r>
          </w:p>
        </w:tc>
        <w:tc>
          <w:tcPr>
            <w:tcW w:w="814" w:type="dxa"/>
            <w:noWrap w:val="0"/>
            <w:vAlign w:val="top"/>
          </w:tcPr>
          <w:p w14:paraId="6DF4E69B">
            <w:pPr>
              <w:autoSpaceDE w:val="0"/>
              <w:rPr>
                <w:rFonts w:hint="eastAsia" w:ascii="宋体" w:hAnsi="宋体" w:cs="宋体"/>
                <w:bCs/>
                <w:sz w:val="22"/>
                <w:szCs w:val="22"/>
                <w:lang w:bidi="ar"/>
              </w:rPr>
            </w:pPr>
            <w:r>
              <w:rPr>
                <w:rFonts w:hint="eastAsia" w:ascii="宋体" w:hAnsi="宋体" w:cs="宋体"/>
                <w:bCs/>
                <w:sz w:val="22"/>
                <w:szCs w:val="22"/>
                <w:lang w:bidi="ar"/>
              </w:rPr>
              <w:t>1分</w:t>
            </w:r>
          </w:p>
        </w:tc>
      </w:tr>
      <w:tr w14:paraId="7501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55" w:type="dxa"/>
            <w:vMerge w:val="continue"/>
            <w:noWrap w:val="0"/>
            <w:vAlign w:val="top"/>
          </w:tcPr>
          <w:p w14:paraId="05C033B5">
            <w:pPr>
              <w:autoSpaceDE w:val="0"/>
              <w:rPr>
                <w:rFonts w:hint="eastAsia" w:ascii="宋体" w:hAnsi="宋体" w:cs="宋体"/>
                <w:bCs/>
                <w:sz w:val="22"/>
                <w:szCs w:val="22"/>
                <w:lang w:bidi="ar"/>
              </w:rPr>
            </w:pPr>
          </w:p>
        </w:tc>
        <w:tc>
          <w:tcPr>
            <w:tcW w:w="836" w:type="dxa"/>
            <w:vMerge w:val="continue"/>
            <w:noWrap w:val="0"/>
            <w:vAlign w:val="top"/>
          </w:tcPr>
          <w:p w14:paraId="32CA0445">
            <w:pPr>
              <w:autoSpaceDE w:val="0"/>
              <w:rPr>
                <w:rFonts w:hint="eastAsia" w:ascii="宋体" w:hAnsi="宋体" w:cs="宋体"/>
                <w:bCs/>
                <w:sz w:val="22"/>
                <w:szCs w:val="22"/>
                <w:lang w:bidi="ar"/>
              </w:rPr>
            </w:pPr>
          </w:p>
        </w:tc>
        <w:tc>
          <w:tcPr>
            <w:tcW w:w="6654" w:type="dxa"/>
            <w:noWrap w:val="0"/>
            <w:vAlign w:val="top"/>
          </w:tcPr>
          <w:p w14:paraId="5D547AED">
            <w:pPr>
              <w:autoSpaceDE w:val="0"/>
              <w:rPr>
                <w:rFonts w:hint="eastAsia" w:ascii="宋体" w:hAnsi="宋体" w:cs="宋体"/>
                <w:b/>
                <w:sz w:val="22"/>
                <w:szCs w:val="22"/>
                <w:lang w:bidi="ar"/>
              </w:rPr>
            </w:pPr>
            <w:r>
              <w:rPr>
                <w:rFonts w:hint="eastAsia" w:ascii="宋体" w:hAnsi="宋体" w:cs="宋体"/>
                <w:b/>
                <w:sz w:val="22"/>
                <w:szCs w:val="22"/>
                <w:lang w:bidi="ar"/>
              </w:rPr>
              <w:t>六、所投电感耦合等离子体质谱仪（ICP-MS)</w:t>
            </w:r>
          </w:p>
          <w:p w14:paraId="45DBB6E0">
            <w:pPr>
              <w:autoSpaceDE w:val="0"/>
              <w:rPr>
                <w:rFonts w:hint="eastAsia" w:ascii="宋体" w:hAnsi="宋体" w:cs="宋体"/>
                <w:bCs/>
                <w:sz w:val="22"/>
                <w:szCs w:val="22"/>
                <w:lang w:bidi="ar"/>
              </w:rPr>
            </w:pPr>
            <w:r>
              <w:rPr>
                <w:rFonts w:hint="eastAsia" w:ascii="宋体" w:hAnsi="宋体" w:cs="宋体"/>
                <w:bCs/>
                <w:sz w:val="22"/>
                <w:szCs w:val="22"/>
                <w:lang w:bidi="ar"/>
              </w:rPr>
              <w:t xml:space="preserve">1.截取锥孔直径≥0.6mm 得0.25分，直径≥0.8mm 得0.5 分。 </w:t>
            </w:r>
          </w:p>
          <w:p w14:paraId="025E54E8">
            <w:pPr>
              <w:autoSpaceDE w:val="0"/>
              <w:rPr>
                <w:rFonts w:hint="eastAsia" w:ascii="宋体" w:hAnsi="宋体" w:cs="宋体"/>
                <w:bCs/>
                <w:sz w:val="22"/>
                <w:szCs w:val="22"/>
                <w:highlight w:val="none"/>
                <w:lang w:bidi="ar"/>
              </w:rPr>
            </w:pPr>
            <w:r>
              <w:rPr>
                <w:rFonts w:hint="eastAsia" w:ascii="宋体" w:hAnsi="宋体" w:cs="宋体"/>
                <w:b/>
                <w:sz w:val="22"/>
                <w:szCs w:val="22"/>
                <w:lang w:bidi="ar"/>
              </w:rPr>
              <w:t>评审依据：</w:t>
            </w:r>
            <w:r>
              <w:rPr>
                <w:rFonts w:hint="eastAsia" w:ascii="宋体" w:hAnsi="宋体" w:cs="宋体"/>
                <w:b/>
                <w:sz w:val="22"/>
                <w:szCs w:val="22"/>
                <w:lang w:val="en-US" w:eastAsia="zh-CN" w:bidi="ar"/>
              </w:rPr>
              <w:t>开标时</w:t>
            </w:r>
            <w:r>
              <w:rPr>
                <w:rFonts w:hint="eastAsia" w:ascii="宋体" w:hAnsi="宋体" w:cs="宋体"/>
                <w:b/>
                <w:sz w:val="22"/>
                <w:szCs w:val="22"/>
                <w:lang w:bidi="ar"/>
              </w:rPr>
              <w:t>须提供所投产品锥孔实物测量图片（体现截取锥孔直径），并加盖制造商公章作为加</w:t>
            </w:r>
            <w:r>
              <w:rPr>
                <w:rFonts w:hint="eastAsia" w:ascii="宋体" w:hAnsi="宋体" w:cs="宋体"/>
                <w:b/>
                <w:sz w:val="22"/>
                <w:szCs w:val="22"/>
                <w:highlight w:val="none"/>
                <w:lang w:bidi="ar"/>
              </w:rPr>
              <w:t xml:space="preserve">分佐证，未提供或提供材料不完整、不清晰的不得分。 </w:t>
            </w:r>
          </w:p>
          <w:p w14:paraId="0AE1955F">
            <w:pPr>
              <w:autoSpaceDE w:val="0"/>
              <w:rPr>
                <w:rFonts w:hint="eastAsia" w:ascii="宋体" w:hAnsi="宋体" w:cs="宋体"/>
                <w:bCs/>
                <w:color w:val="FF0000"/>
                <w:sz w:val="22"/>
                <w:szCs w:val="22"/>
                <w:highlight w:val="none"/>
                <w:lang w:bidi="ar"/>
              </w:rPr>
            </w:pPr>
            <w:r>
              <w:rPr>
                <w:rFonts w:hint="eastAsia" w:ascii="宋体" w:hAnsi="宋体" w:cs="宋体"/>
                <w:bCs/>
                <w:sz w:val="22"/>
                <w:szCs w:val="22"/>
                <w:highlight w:val="none"/>
                <w:lang w:bidi="ar"/>
              </w:rPr>
              <w:t>2.，</w:t>
            </w:r>
            <w:r>
              <w:rPr>
                <w:rFonts w:hint="eastAsia" w:ascii="宋体" w:hAnsi="宋体" w:cs="宋体"/>
                <w:bCs/>
                <w:color w:val="auto"/>
                <w:sz w:val="22"/>
                <w:szCs w:val="22"/>
                <w:highlight w:val="none"/>
                <w:lang w:val="en-US" w:eastAsia="zh-CN" w:bidi="ar"/>
              </w:rPr>
              <w:t>满足</w:t>
            </w:r>
            <w:r>
              <w:rPr>
                <w:rFonts w:hint="eastAsia" w:ascii="宋体" w:hAnsi="宋体" w:cs="宋体"/>
                <w:bCs/>
                <w:color w:val="auto"/>
                <w:sz w:val="22"/>
                <w:szCs w:val="22"/>
                <w:highlight w:val="none"/>
                <w:lang w:bidi="ar"/>
              </w:rPr>
              <w:t>二次放电消除技术</w:t>
            </w:r>
            <w:r>
              <w:rPr>
                <w:rFonts w:hint="eastAsia" w:ascii="宋体" w:hAnsi="宋体" w:cs="宋体"/>
                <w:bCs/>
                <w:color w:val="auto"/>
                <w:sz w:val="22"/>
                <w:szCs w:val="22"/>
                <w:highlight w:val="none"/>
                <w:lang w:val="en-US" w:eastAsia="zh-CN" w:bidi="ar"/>
              </w:rPr>
              <w:t>基础上</w:t>
            </w:r>
            <w:r>
              <w:rPr>
                <w:rFonts w:hint="eastAsia" w:ascii="宋体" w:hAnsi="宋体" w:cs="宋体"/>
                <w:bCs/>
                <w:color w:val="auto"/>
                <w:sz w:val="22"/>
                <w:szCs w:val="22"/>
                <w:highlight w:val="none"/>
                <w:lang w:bidi="ar"/>
              </w:rPr>
              <w:t>无需额外物理接地，无需维护和更换（如屏蔽炬）得0.5分。</w:t>
            </w:r>
          </w:p>
          <w:p w14:paraId="35024F73">
            <w:pPr>
              <w:autoSpaceDE w:val="0"/>
              <w:rPr>
                <w:rFonts w:hint="eastAsia" w:ascii="宋体" w:hAnsi="宋体" w:cs="宋体"/>
                <w:b/>
                <w:sz w:val="22"/>
                <w:szCs w:val="22"/>
                <w:lang w:bidi="ar"/>
              </w:rPr>
            </w:pPr>
            <w:r>
              <w:rPr>
                <w:rFonts w:hint="eastAsia" w:ascii="宋体" w:hAnsi="宋体" w:cs="宋体"/>
                <w:b/>
                <w:sz w:val="22"/>
                <w:szCs w:val="22"/>
                <w:highlight w:val="none"/>
                <w:lang w:bidi="ar"/>
              </w:rPr>
              <w:t>评审依据：</w:t>
            </w:r>
            <w:r>
              <w:rPr>
                <w:rFonts w:hint="eastAsia" w:ascii="宋体" w:hAnsi="宋体" w:cs="宋体"/>
                <w:b/>
                <w:sz w:val="22"/>
                <w:szCs w:val="22"/>
                <w:lang w:val="en-US" w:eastAsia="zh-CN" w:bidi="ar"/>
              </w:rPr>
              <w:t>开标时</w:t>
            </w:r>
            <w:r>
              <w:rPr>
                <w:rFonts w:hint="eastAsia" w:ascii="宋体" w:hAnsi="宋体" w:cs="宋体"/>
                <w:b/>
                <w:sz w:val="22"/>
                <w:szCs w:val="22"/>
                <w:highlight w:val="none"/>
                <w:lang w:bidi="ar"/>
              </w:rPr>
              <w:t>须提供所投产品结构示意图和</w:t>
            </w:r>
            <w:r>
              <w:rPr>
                <w:rFonts w:hint="eastAsia" w:ascii="宋体" w:hAnsi="宋体" w:cs="宋体"/>
                <w:b/>
                <w:sz w:val="22"/>
                <w:szCs w:val="22"/>
                <w:lang w:bidi="ar"/>
              </w:rPr>
              <w:t>官方宣传彩页，并加盖制造商公章作为加分佐证，未提供或提供材料不完整、不清晰的不得分。</w:t>
            </w:r>
          </w:p>
          <w:p w14:paraId="723A7E2B">
            <w:pPr>
              <w:autoSpaceDE w:val="0"/>
              <w:rPr>
                <w:rFonts w:hint="eastAsia" w:ascii="宋体" w:hAnsi="宋体" w:cs="宋体"/>
                <w:bCs/>
                <w:sz w:val="22"/>
                <w:szCs w:val="22"/>
                <w:lang w:bidi="ar"/>
              </w:rPr>
            </w:pPr>
            <w:r>
              <w:rPr>
                <w:rFonts w:hint="eastAsia" w:ascii="宋体" w:hAnsi="宋体" w:cs="宋体"/>
                <w:bCs/>
                <w:sz w:val="22"/>
                <w:szCs w:val="22"/>
                <w:lang w:bidi="ar"/>
              </w:rPr>
              <w:t>3.质量数分析能力范围：≥260 amu，得0.25分；≥280 amu，得0.5分.</w:t>
            </w:r>
          </w:p>
          <w:p w14:paraId="2D79E91C">
            <w:pPr>
              <w:autoSpaceDE w:val="0"/>
              <w:rPr>
                <w:rFonts w:hint="eastAsia" w:ascii="宋体" w:hAnsi="宋体" w:cs="宋体"/>
                <w:b/>
                <w:sz w:val="22"/>
                <w:szCs w:val="22"/>
                <w:lang w:bidi="ar"/>
              </w:rPr>
            </w:pPr>
            <w:r>
              <w:rPr>
                <w:rFonts w:hint="eastAsia" w:ascii="宋体" w:hAnsi="宋体" w:cs="宋体"/>
                <w:b/>
                <w:sz w:val="22"/>
                <w:szCs w:val="22"/>
                <w:lang w:bidi="ar"/>
              </w:rPr>
              <w:t>评审依据：</w:t>
            </w:r>
            <w:r>
              <w:rPr>
                <w:rFonts w:hint="eastAsia" w:ascii="宋体" w:hAnsi="宋体" w:cs="宋体"/>
                <w:b/>
                <w:sz w:val="22"/>
                <w:szCs w:val="22"/>
                <w:lang w:val="en-US" w:eastAsia="zh-CN" w:bidi="ar"/>
              </w:rPr>
              <w:t>开标时</w:t>
            </w:r>
            <w:r>
              <w:rPr>
                <w:rFonts w:hint="eastAsia" w:ascii="宋体" w:hAnsi="宋体" w:cs="宋体"/>
                <w:b/>
                <w:sz w:val="22"/>
                <w:szCs w:val="22"/>
                <w:lang w:bidi="ar"/>
              </w:rPr>
              <w:t>须提供所投产品软件截图，并加盖制造商公章作为加分佐证，并作为验收指标，未提供或提供材料不完整、不清晰的不得分。</w:t>
            </w:r>
          </w:p>
          <w:p w14:paraId="5761DEB9">
            <w:pPr>
              <w:autoSpaceDE w:val="0"/>
              <w:rPr>
                <w:rFonts w:hint="eastAsia" w:ascii="宋体" w:hAnsi="宋体" w:cs="宋体"/>
                <w:bCs/>
                <w:sz w:val="22"/>
                <w:szCs w:val="22"/>
                <w:lang w:bidi="ar"/>
              </w:rPr>
            </w:pPr>
            <w:r>
              <w:rPr>
                <w:rFonts w:hint="eastAsia" w:ascii="宋体" w:hAnsi="宋体" w:cs="宋体"/>
                <w:bCs/>
                <w:sz w:val="22"/>
                <w:szCs w:val="22"/>
                <w:lang w:bidi="ar"/>
              </w:rPr>
              <w:t>4.质量分析器：采用四级杆设计，驱动频率 ≥2.5 MHz，得0.25分；驱动频率 ≥3.0MHz加0.5分。</w:t>
            </w:r>
          </w:p>
          <w:p w14:paraId="4C1EF9CF">
            <w:pPr>
              <w:autoSpaceDE w:val="0"/>
              <w:rPr>
                <w:rFonts w:hint="eastAsia" w:ascii="宋体" w:hAnsi="宋体" w:cs="宋体"/>
                <w:bCs/>
                <w:sz w:val="22"/>
                <w:szCs w:val="22"/>
                <w:lang w:bidi="ar"/>
              </w:rPr>
            </w:pPr>
            <w:r>
              <w:rPr>
                <w:rFonts w:hint="eastAsia" w:ascii="宋体" w:hAnsi="宋体" w:cs="宋体"/>
                <w:b/>
                <w:sz w:val="22"/>
                <w:szCs w:val="22"/>
                <w:lang w:bidi="ar"/>
              </w:rPr>
              <w:t>评审依据：</w:t>
            </w:r>
            <w:r>
              <w:rPr>
                <w:rFonts w:hint="eastAsia" w:ascii="宋体" w:hAnsi="宋体" w:cs="宋体"/>
                <w:b/>
                <w:sz w:val="22"/>
                <w:szCs w:val="22"/>
                <w:lang w:val="en-US" w:eastAsia="zh-CN" w:bidi="ar"/>
              </w:rPr>
              <w:t>开标时</w:t>
            </w:r>
            <w:r>
              <w:rPr>
                <w:rFonts w:hint="eastAsia" w:ascii="宋体" w:hAnsi="宋体" w:cs="宋体"/>
                <w:b/>
                <w:sz w:val="22"/>
                <w:szCs w:val="22"/>
                <w:lang w:bidi="ar"/>
              </w:rPr>
              <w:t>须提供所投产品参数确认函并加盖制造商公章作为加分佐证，以上图片均需清楚标识对应内容，未提供或提供材料不完整、不清晰的不得分。</w:t>
            </w:r>
          </w:p>
        </w:tc>
        <w:tc>
          <w:tcPr>
            <w:tcW w:w="814" w:type="dxa"/>
            <w:noWrap w:val="0"/>
            <w:vAlign w:val="top"/>
          </w:tcPr>
          <w:p w14:paraId="3546D09C">
            <w:pPr>
              <w:autoSpaceDE w:val="0"/>
              <w:rPr>
                <w:rFonts w:hint="eastAsia" w:ascii="宋体" w:hAnsi="宋体" w:cs="宋体"/>
                <w:bCs/>
                <w:sz w:val="22"/>
                <w:szCs w:val="22"/>
                <w:lang w:bidi="ar"/>
              </w:rPr>
            </w:pPr>
            <w:r>
              <w:rPr>
                <w:rFonts w:hint="eastAsia" w:ascii="宋体" w:hAnsi="宋体" w:cs="宋体"/>
                <w:bCs/>
                <w:sz w:val="22"/>
                <w:szCs w:val="22"/>
                <w:lang w:bidi="ar"/>
              </w:rPr>
              <w:t>2分</w:t>
            </w:r>
          </w:p>
        </w:tc>
      </w:tr>
      <w:tr w14:paraId="187E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0" w:hRule="atLeast"/>
        </w:trPr>
        <w:tc>
          <w:tcPr>
            <w:tcW w:w="955" w:type="dxa"/>
            <w:vMerge w:val="continue"/>
            <w:noWrap w:val="0"/>
            <w:vAlign w:val="top"/>
          </w:tcPr>
          <w:p w14:paraId="792AD18E">
            <w:pPr>
              <w:autoSpaceDE w:val="0"/>
              <w:rPr>
                <w:rFonts w:hint="eastAsia" w:ascii="宋体" w:hAnsi="宋体" w:cs="宋体"/>
                <w:bCs/>
                <w:sz w:val="22"/>
                <w:szCs w:val="22"/>
                <w:lang w:bidi="ar"/>
              </w:rPr>
            </w:pPr>
          </w:p>
        </w:tc>
        <w:tc>
          <w:tcPr>
            <w:tcW w:w="836" w:type="dxa"/>
            <w:vMerge w:val="continue"/>
            <w:noWrap w:val="0"/>
            <w:vAlign w:val="top"/>
          </w:tcPr>
          <w:p w14:paraId="75C6B8E5">
            <w:pPr>
              <w:autoSpaceDE w:val="0"/>
              <w:rPr>
                <w:rFonts w:hint="eastAsia" w:ascii="宋体" w:hAnsi="宋体" w:cs="宋体"/>
                <w:bCs/>
                <w:sz w:val="22"/>
                <w:szCs w:val="22"/>
                <w:lang w:bidi="ar"/>
              </w:rPr>
            </w:pPr>
          </w:p>
        </w:tc>
        <w:tc>
          <w:tcPr>
            <w:tcW w:w="6654" w:type="dxa"/>
            <w:noWrap w:val="0"/>
            <w:vAlign w:val="top"/>
          </w:tcPr>
          <w:p w14:paraId="411FF260">
            <w:pPr>
              <w:autoSpaceDE w:val="0"/>
              <w:rPr>
                <w:rFonts w:hint="eastAsia" w:ascii="宋体" w:hAnsi="宋体" w:cs="宋体"/>
                <w:b/>
                <w:sz w:val="22"/>
                <w:szCs w:val="22"/>
                <w:highlight w:val="none"/>
                <w:lang w:bidi="ar"/>
              </w:rPr>
            </w:pPr>
            <w:r>
              <w:rPr>
                <w:rFonts w:hint="eastAsia" w:ascii="宋体" w:hAnsi="宋体" w:cs="宋体"/>
                <w:b/>
                <w:sz w:val="22"/>
                <w:szCs w:val="22"/>
                <w:highlight w:val="none"/>
                <w:lang w:bidi="ar"/>
              </w:rPr>
              <w:t>七、所投多通道流动注射分析仪（配阴离子和挥发酚模块）</w:t>
            </w:r>
          </w:p>
          <w:p w14:paraId="202B152E">
            <w:pPr>
              <w:autoSpaceDE w:val="0"/>
              <w:rPr>
                <w:rFonts w:hint="eastAsia" w:ascii="宋体" w:hAnsi="宋体" w:cs="宋体"/>
                <w:bCs/>
                <w:sz w:val="22"/>
                <w:szCs w:val="22"/>
                <w:highlight w:val="none"/>
                <w:lang w:bidi="ar"/>
              </w:rPr>
            </w:pPr>
            <w:r>
              <w:rPr>
                <w:rFonts w:hint="eastAsia" w:ascii="宋体" w:hAnsi="宋体" w:cs="宋体"/>
                <w:bCs/>
                <w:sz w:val="22"/>
                <w:szCs w:val="22"/>
                <w:highlight w:val="none"/>
                <w:lang w:bidi="ar"/>
              </w:rPr>
              <w:t>1、每个分析检测通道可加装非外露装置的内置在线稀释系统，在线稀释系统采用内置在自动进样器内的加0.25分，在线稀释系统内置在每个分析检测通道内的加0.5分，</w:t>
            </w:r>
            <w:r>
              <w:rPr>
                <w:rFonts w:hint="eastAsia" w:ascii="宋体" w:hAnsi="宋体" w:eastAsia="宋体" w:cs="宋体"/>
                <w:bCs/>
                <w:color w:val="auto"/>
                <w:sz w:val="22"/>
                <w:szCs w:val="22"/>
                <w:highlight w:val="none"/>
                <w:lang w:bidi="ar"/>
              </w:rPr>
              <w:t>不使用注射泵</w:t>
            </w:r>
            <w:r>
              <w:rPr>
                <w:rFonts w:hint="eastAsia" w:ascii="宋体" w:hAnsi="宋体" w:eastAsia="宋体" w:cs="宋体"/>
                <w:bCs/>
                <w:color w:val="auto"/>
                <w:sz w:val="22"/>
                <w:szCs w:val="22"/>
                <w:highlight w:val="none"/>
                <w:lang w:val="en-US" w:eastAsia="zh-CN" w:bidi="ar"/>
              </w:rPr>
              <w:t>即可</w:t>
            </w:r>
            <w:r>
              <w:rPr>
                <w:rFonts w:hint="eastAsia" w:ascii="宋体" w:hAnsi="宋体" w:eastAsia="宋体" w:cs="宋体"/>
                <w:bCs/>
                <w:color w:val="auto"/>
                <w:sz w:val="22"/>
                <w:szCs w:val="22"/>
                <w:highlight w:val="none"/>
                <w:lang w:bidi="ar"/>
              </w:rPr>
              <w:t>保证</w:t>
            </w:r>
            <w:r>
              <w:rPr>
                <w:rFonts w:hint="eastAsia" w:ascii="宋体" w:hAnsi="宋体" w:cs="宋体"/>
                <w:bCs/>
                <w:sz w:val="22"/>
                <w:szCs w:val="22"/>
                <w:highlight w:val="none"/>
                <w:lang w:bidi="ar"/>
              </w:rPr>
              <w:t>所有分析检测项目能够同时在线单点自动配置标准曲线，每个点稀释与检测样品时间相同，不额外增加稀释时间不延长样品分析时间或分析周期。最多得0.5分，其它不得分。</w:t>
            </w:r>
          </w:p>
          <w:p w14:paraId="305CB24D">
            <w:pPr>
              <w:autoSpaceDE w:val="0"/>
              <w:rPr>
                <w:rFonts w:hint="eastAsia" w:ascii="宋体" w:hAnsi="宋体" w:cs="宋体"/>
                <w:b/>
                <w:sz w:val="22"/>
                <w:szCs w:val="22"/>
                <w:highlight w:val="none"/>
                <w:lang w:bidi="ar"/>
              </w:rPr>
            </w:pPr>
            <w:r>
              <w:rPr>
                <w:rFonts w:hint="eastAsia" w:ascii="宋体" w:hAnsi="宋体" w:cs="宋体"/>
                <w:b/>
                <w:sz w:val="22"/>
                <w:szCs w:val="22"/>
                <w:highlight w:val="none"/>
                <w:lang w:bidi="ar"/>
              </w:rPr>
              <w:t>评审依据：</w:t>
            </w:r>
            <w:r>
              <w:rPr>
                <w:rFonts w:hint="eastAsia" w:ascii="宋体" w:hAnsi="宋体" w:cs="宋体"/>
                <w:b/>
                <w:sz w:val="22"/>
                <w:szCs w:val="22"/>
                <w:lang w:val="en-US" w:eastAsia="zh-CN" w:bidi="ar"/>
              </w:rPr>
              <w:t>开标时</w:t>
            </w:r>
            <w:r>
              <w:rPr>
                <w:rFonts w:hint="eastAsia" w:ascii="宋体" w:hAnsi="宋体" w:cs="宋体"/>
                <w:b/>
                <w:sz w:val="22"/>
                <w:szCs w:val="22"/>
                <w:highlight w:val="none"/>
                <w:lang w:val="en-US" w:eastAsia="zh-CN" w:bidi="ar"/>
              </w:rPr>
              <w:t>须</w:t>
            </w:r>
            <w:r>
              <w:rPr>
                <w:rFonts w:hint="eastAsia" w:ascii="宋体" w:hAnsi="宋体" w:cs="宋体"/>
                <w:b/>
                <w:sz w:val="22"/>
                <w:szCs w:val="22"/>
                <w:highlight w:val="none"/>
                <w:lang w:bidi="ar"/>
              </w:rPr>
              <w:t>提供第三方检测机构出具的封面具有CMA认证标识的检测报告复印件加盖制造商公章，未提供或提供无效者不得分。</w:t>
            </w:r>
          </w:p>
          <w:p w14:paraId="3E4BDFDE">
            <w:pPr>
              <w:autoSpaceDE w:val="0"/>
              <w:rPr>
                <w:rFonts w:hint="eastAsia" w:ascii="宋体" w:hAnsi="宋体" w:eastAsia="宋体" w:cs="宋体"/>
                <w:bCs/>
                <w:color w:val="auto"/>
                <w:sz w:val="22"/>
                <w:szCs w:val="22"/>
                <w:highlight w:val="none"/>
                <w:lang w:eastAsia="zh-CN" w:bidi="ar"/>
              </w:rPr>
            </w:pPr>
            <w:r>
              <w:rPr>
                <w:rFonts w:hint="eastAsia" w:ascii="宋体" w:hAnsi="宋体" w:cs="宋体"/>
                <w:bCs/>
                <w:sz w:val="22"/>
                <w:szCs w:val="22"/>
                <w:highlight w:val="none"/>
                <w:lang w:bidi="ar"/>
              </w:rPr>
              <w:t>2、</w:t>
            </w:r>
            <w:r>
              <w:rPr>
                <w:rFonts w:hint="eastAsia" w:ascii="宋体" w:hAnsi="宋体" w:eastAsia="宋体" w:cs="宋体"/>
                <w:bCs/>
                <w:color w:val="auto"/>
                <w:sz w:val="22"/>
                <w:szCs w:val="22"/>
                <w:highlight w:val="none"/>
                <w:lang w:val="en-US" w:eastAsia="zh-CN" w:bidi="ar"/>
              </w:rPr>
              <w:t>满足</w:t>
            </w:r>
            <w:r>
              <w:rPr>
                <w:rFonts w:hint="eastAsia" w:ascii="宋体" w:hAnsi="宋体" w:cs="宋体"/>
                <w:bCs/>
                <w:color w:val="auto"/>
                <w:sz w:val="22"/>
                <w:szCs w:val="22"/>
                <w:highlight w:val="none"/>
                <w:lang w:bidi="ar"/>
              </w:rPr>
              <w:t>配套的化学流路元件都固定在化学流路板</w:t>
            </w:r>
            <w:r>
              <w:rPr>
                <w:rFonts w:hint="eastAsia" w:ascii="宋体" w:hAnsi="宋体" w:cs="宋体"/>
                <w:bCs/>
                <w:color w:val="auto"/>
                <w:sz w:val="22"/>
                <w:szCs w:val="22"/>
                <w:highlight w:val="none"/>
                <w:lang w:val="en-US" w:eastAsia="zh-CN" w:bidi="ar"/>
              </w:rPr>
              <w:t>的基础</w:t>
            </w:r>
            <w:r>
              <w:rPr>
                <w:rFonts w:hint="eastAsia" w:ascii="宋体" w:hAnsi="宋体" w:cs="宋体"/>
                <w:bCs/>
                <w:color w:val="auto"/>
                <w:sz w:val="22"/>
                <w:szCs w:val="22"/>
                <w:highlight w:val="none"/>
                <w:lang w:bidi="ar"/>
              </w:rPr>
              <w:t>上，化学流路板呈水平方式放置的得0.5分，化学流路板与水平面角度在15-45 度倾斜角放置在仪器上的得1分；最多得1分，其它不得分</w:t>
            </w:r>
            <w:r>
              <w:rPr>
                <w:rFonts w:hint="eastAsia" w:ascii="宋体" w:hAnsi="宋体" w:cs="宋体"/>
                <w:bCs/>
                <w:color w:val="auto"/>
                <w:sz w:val="22"/>
                <w:szCs w:val="22"/>
                <w:highlight w:val="none"/>
                <w:lang w:eastAsia="zh-CN" w:bidi="ar"/>
              </w:rPr>
              <w:t>。</w:t>
            </w:r>
          </w:p>
          <w:p w14:paraId="6A891F69">
            <w:pPr>
              <w:autoSpaceDE w:val="0"/>
              <w:rPr>
                <w:rFonts w:hint="eastAsia" w:ascii="宋体" w:hAnsi="宋体" w:cs="宋体"/>
                <w:bCs/>
                <w:sz w:val="22"/>
                <w:szCs w:val="22"/>
                <w:highlight w:val="none"/>
                <w:lang w:bidi="ar"/>
              </w:rPr>
            </w:pPr>
            <w:r>
              <w:rPr>
                <w:rFonts w:hint="eastAsia" w:ascii="宋体" w:hAnsi="宋体" w:cs="宋体"/>
                <w:b/>
                <w:sz w:val="22"/>
                <w:szCs w:val="22"/>
                <w:highlight w:val="none"/>
                <w:lang w:bidi="ar"/>
              </w:rPr>
              <w:t>评审依据：</w:t>
            </w:r>
            <w:r>
              <w:rPr>
                <w:rFonts w:hint="eastAsia" w:ascii="宋体" w:hAnsi="宋体" w:cs="宋体"/>
                <w:b/>
                <w:sz w:val="22"/>
                <w:szCs w:val="22"/>
                <w:lang w:val="en-US" w:eastAsia="zh-CN" w:bidi="ar"/>
              </w:rPr>
              <w:t>开标时须</w:t>
            </w:r>
            <w:r>
              <w:rPr>
                <w:rFonts w:hint="eastAsia" w:ascii="宋体" w:hAnsi="宋体" w:cs="宋体"/>
                <w:b/>
                <w:sz w:val="22"/>
                <w:szCs w:val="22"/>
                <w:highlight w:val="none"/>
                <w:lang w:bidi="ar"/>
              </w:rPr>
              <w:t>提供制造商出具技术参数确认函，及仪器产品结构图片并提供实际所测量出的角度作为证明材料予以佐证；以上材料需加盖制造商公章，未提供或提供无效者不得分。</w:t>
            </w:r>
          </w:p>
        </w:tc>
        <w:tc>
          <w:tcPr>
            <w:tcW w:w="814" w:type="dxa"/>
            <w:noWrap w:val="0"/>
            <w:vAlign w:val="top"/>
          </w:tcPr>
          <w:p w14:paraId="5D2EE643">
            <w:pPr>
              <w:autoSpaceDE w:val="0"/>
              <w:rPr>
                <w:rFonts w:hint="eastAsia" w:ascii="宋体" w:hAnsi="宋体" w:cs="宋体"/>
                <w:bCs/>
                <w:sz w:val="22"/>
                <w:szCs w:val="22"/>
                <w:highlight w:val="none"/>
                <w:lang w:bidi="ar"/>
              </w:rPr>
            </w:pPr>
            <w:r>
              <w:rPr>
                <w:rFonts w:hint="eastAsia" w:ascii="宋体" w:hAnsi="宋体" w:cs="宋体"/>
                <w:bCs/>
                <w:sz w:val="22"/>
                <w:szCs w:val="22"/>
                <w:highlight w:val="none"/>
                <w:lang w:bidi="ar"/>
              </w:rPr>
              <w:t>1.5分</w:t>
            </w:r>
          </w:p>
        </w:tc>
      </w:tr>
      <w:tr w14:paraId="45942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0" w:hRule="atLeast"/>
        </w:trPr>
        <w:tc>
          <w:tcPr>
            <w:tcW w:w="955" w:type="dxa"/>
            <w:vMerge w:val="continue"/>
            <w:noWrap w:val="0"/>
            <w:vAlign w:val="top"/>
          </w:tcPr>
          <w:p w14:paraId="5CFE95A3">
            <w:pPr>
              <w:autoSpaceDE w:val="0"/>
              <w:rPr>
                <w:rFonts w:hint="eastAsia" w:ascii="宋体" w:hAnsi="宋体" w:cs="宋体"/>
                <w:bCs/>
                <w:sz w:val="22"/>
                <w:szCs w:val="22"/>
                <w:lang w:bidi="ar"/>
              </w:rPr>
            </w:pPr>
          </w:p>
        </w:tc>
        <w:tc>
          <w:tcPr>
            <w:tcW w:w="836" w:type="dxa"/>
            <w:vMerge w:val="continue"/>
            <w:noWrap w:val="0"/>
            <w:vAlign w:val="top"/>
          </w:tcPr>
          <w:p w14:paraId="3480821A">
            <w:pPr>
              <w:autoSpaceDE w:val="0"/>
              <w:rPr>
                <w:rFonts w:hint="eastAsia" w:ascii="宋体" w:hAnsi="宋体" w:cs="宋体"/>
                <w:bCs/>
                <w:sz w:val="22"/>
                <w:szCs w:val="22"/>
                <w:lang w:bidi="ar"/>
              </w:rPr>
            </w:pPr>
          </w:p>
        </w:tc>
        <w:tc>
          <w:tcPr>
            <w:tcW w:w="6654" w:type="dxa"/>
            <w:noWrap w:val="0"/>
            <w:vAlign w:val="top"/>
          </w:tcPr>
          <w:p w14:paraId="468B2950">
            <w:pPr>
              <w:autoSpaceDE w:val="0"/>
              <w:rPr>
                <w:rFonts w:hint="eastAsia" w:ascii="宋体" w:hAnsi="宋体" w:cs="宋体"/>
                <w:b/>
                <w:sz w:val="22"/>
                <w:szCs w:val="22"/>
                <w:highlight w:val="none"/>
                <w:lang w:bidi="ar"/>
              </w:rPr>
            </w:pPr>
            <w:r>
              <w:rPr>
                <w:rFonts w:hint="eastAsia" w:ascii="宋体" w:hAnsi="宋体" w:cs="宋体"/>
                <w:b/>
                <w:sz w:val="22"/>
                <w:szCs w:val="22"/>
                <w:highlight w:val="none"/>
                <w:lang w:bidi="ar"/>
              </w:rPr>
              <w:t>八、所投原子荧光分光光度计</w:t>
            </w:r>
          </w:p>
          <w:p w14:paraId="750960F7">
            <w:pPr>
              <w:autoSpaceDE w:val="0"/>
              <w:rPr>
                <w:rFonts w:hint="eastAsia" w:ascii="宋体" w:hAnsi="宋体" w:cs="宋体"/>
                <w:bCs/>
                <w:sz w:val="22"/>
                <w:szCs w:val="22"/>
                <w:highlight w:val="none"/>
                <w:lang w:bidi="ar"/>
              </w:rPr>
            </w:pPr>
            <w:r>
              <w:rPr>
                <w:rFonts w:hint="eastAsia" w:ascii="宋体" w:hAnsi="宋体" w:cs="宋体"/>
                <w:bCs/>
                <w:sz w:val="22"/>
                <w:szCs w:val="22"/>
                <w:highlight w:val="none"/>
                <w:lang w:val="en-US" w:eastAsia="zh-CN" w:bidi="ar"/>
              </w:rPr>
              <w:t>1、</w:t>
            </w:r>
            <w:r>
              <w:rPr>
                <w:rFonts w:hint="eastAsia" w:ascii="宋体" w:hAnsi="宋体" w:cs="宋体"/>
                <w:bCs/>
                <w:sz w:val="22"/>
                <w:szCs w:val="22"/>
                <w:highlight w:val="none"/>
                <w:lang w:bidi="ar"/>
              </w:rPr>
              <w:t>精密度：双道同测RSD≤0.5% 得0.5分，其它不得分。</w:t>
            </w:r>
          </w:p>
          <w:p w14:paraId="774BEC95">
            <w:pPr>
              <w:autoSpaceDE w:val="0"/>
              <w:rPr>
                <w:rFonts w:hint="eastAsia" w:ascii="宋体" w:hAnsi="宋体" w:cs="宋体"/>
                <w:b/>
                <w:sz w:val="22"/>
                <w:szCs w:val="22"/>
                <w:highlight w:val="none"/>
                <w:lang w:bidi="ar"/>
              </w:rPr>
            </w:pPr>
            <w:r>
              <w:rPr>
                <w:rFonts w:hint="eastAsia" w:ascii="宋体" w:hAnsi="宋体" w:cs="宋体"/>
                <w:b/>
                <w:sz w:val="22"/>
                <w:szCs w:val="22"/>
                <w:highlight w:val="none"/>
                <w:lang w:bidi="ar"/>
              </w:rPr>
              <w:t>评审依据：</w:t>
            </w:r>
            <w:r>
              <w:rPr>
                <w:rFonts w:hint="eastAsia" w:ascii="宋体" w:hAnsi="宋体" w:cs="宋体"/>
                <w:b/>
                <w:sz w:val="22"/>
                <w:szCs w:val="22"/>
                <w:lang w:val="en-US" w:eastAsia="zh-CN" w:bidi="ar"/>
              </w:rPr>
              <w:t>开标时须</w:t>
            </w:r>
            <w:r>
              <w:rPr>
                <w:rFonts w:hint="eastAsia" w:ascii="宋体" w:hAnsi="宋体" w:cs="宋体"/>
                <w:b/>
                <w:sz w:val="22"/>
                <w:szCs w:val="22"/>
                <w:highlight w:val="none"/>
                <w:lang w:bidi="ar"/>
              </w:rPr>
              <w:t>提供制造商出具技术参数确认函及具有相关资质机构出具的检定证书，并加盖制造商公章；未提供或提供无效者不得分。</w:t>
            </w:r>
          </w:p>
          <w:p w14:paraId="1963EB82">
            <w:pPr>
              <w:autoSpaceDE w:val="0"/>
              <w:rPr>
                <w:rFonts w:hint="eastAsia" w:ascii="宋体" w:hAnsi="宋体" w:eastAsia="宋体" w:cs="宋体"/>
                <w:bCs/>
                <w:color w:val="auto"/>
                <w:sz w:val="22"/>
                <w:szCs w:val="22"/>
                <w:highlight w:val="none"/>
                <w:lang w:eastAsia="zh-CN" w:bidi="ar"/>
              </w:rPr>
            </w:pPr>
            <w:r>
              <w:rPr>
                <w:rFonts w:hint="eastAsia" w:ascii="宋体" w:hAnsi="宋体" w:cs="宋体"/>
                <w:bCs/>
                <w:color w:val="auto"/>
                <w:sz w:val="22"/>
                <w:szCs w:val="22"/>
                <w:highlight w:val="none"/>
                <w:lang w:val="en-US" w:eastAsia="zh-CN" w:bidi="ar"/>
              </w:rPr>
              <w:t>2、</w:t>
            </w:r>
            <w:r>
              <w:rPr>
                <w:rFonts w:hint="eastAsia" w:ascii="宋体" w:hAnsi="宋体" w:cs="宋体"/>
                <w:bCs/>
                <w:color w:val="auto"/>
                <w:sz w:val="22"/>
                <w:szCs w:val="22"/>
                <w:highlight w:val="none"/>
                <w:lang w:bidi="ar"/>
              </w:rPr>
              <w:t>具有双重气液分离装置，一级气液分离器具有快速除泡沫功能，二级气液分离器无需加水或手动排水，满足加0.25分；关机清洗可实现全管路清洗（双泵结构清洗功能），包括一级气液分离器、二级气液分离器及氢化物传输管路。以上全部满足加0.5分，其它不得分</w:t>
            </w:r>
            <w:r>
              <w:rPr>
                <w:rFonts w:hint="eastAsia" w:ascii="宋体" w:hAnsi="宋体" w:cs="宋体"/>
                <w:bCs/>
                <w:color w:val="auto"/>
                <w:sz w:val="22"/>
                <w:szCs w:val="22"/>
                <w:highlight w:val="none"/>
                <w:lang w:eastAsia="zh-CN" w:bidi="ar"/>
              </w:rPr>
              <w:t>。</w:t>
            </w:r>
          </w:p>
          <w:p w14:paraId="3579D0B9">
            <w:pPr>
              <w:autoSpaceDE w:val="0"/>
              <w:rPr>
                <w:rFonts w:hint="eastAsia" w:ascii="宋体" w:hAnsi="宋体" w:cs="宋体"/>
                <w:bCs/>
                <w:sz w:val="22"/>
                <w:szCs w:val="22"/>
                <w:highlight w:val="none"/>
                <w:lang w:bidi="ar"/>
              </w:rPr>
            </w:pPr>
            <w:r>
              <w:rPr>
                <w:rFonts w:hint="eastAsia" w:ascii="宋体" w:hAnsi="宋体" w:cs="宋体"/>
                <w:b/>
                <w:sz w:val="22"/>
                <w:szCs w:val="22"/>
                <w:highlight w:val="none"/>
                <w:lang w:bidi="ar"/>
              </w:rPr>
              <w:t>评审依据：</w:t>
            </w:r>
            <w:r>
              <w:rPr>
                <w:rFonts w:hint="eastAsia" w:ascii="宋体" w:hAnsi="宋体" w:cs="宋体"/>
                <w:b/>
                <w:sz w:val="22"/>
                <w:szCs w:val="22"/>
                <w:lang w:val="en-US" w:eastAsia="zh-CN" w:bidi="ar"/>
              </w:rPr>
              <w:t>开标时须</w:t>
            </w:r>
            <w:r>
              <w:rPr>
                <w:rFonts w:hint="eastAsia" w:ascii="宋体" w:hAnsi="宋体" w:cs="宋体"/>
                <w:b/>
                <w:sz w:val="22"/>
                <w:szCs w:val="22"/>
                <w:highlight w:val="none"/>
                <w:lang w:bidi="ar"/>
              </w:rPr>
              <w:t>提供全管路清洗（双泵结构清洗功能）的结构图及技术参数确认函，以上材料需加盖生产厂家的公章，未提供或提供无效者不得分</w:t>
            </w:r>
          </w:p>
        </w:tc>
        <w:tc>
          <w:tcPr>
            <w:tcW w:w="814" w:type="dxa"/>
            <w:noWrap w:val="0"/>
            <w:vAlign w:val="top"/>
          </w:tcPr>
          <w:p w14:paraId="607F12C1">
            <w:pPr>
              <w:autoSpaceDE w:val="0"/>
              <w:rPr>
                <w:rFonts w:hint="eastAsia" w:ascii="宋体" w:hAnsi="宋体" w:cs="宋体"/>
                <w:bCs/>
                <w:sz w:val="22"/>
                <w:szCs w:val="22"/>
                <w:highlight w:val="none"/>
                <w:lang w:bidi="ar"/>
              </w:rPr>
            </w:pPr>
            <w:r>
              <w:rPr>
                <w:rFonts w:hint="eastAsia" w:ascii="宋体" w:hAnsi="宋体" w:cs="宋体"/>
                <w:bCs/>
                <w:sz w:val="22"/>
                <w:szCs w:val="22"/>
                <w:highlight w:val="none"/>
                <w:lang w:bidi="ar"/>
              </w:rPr>
              <w:t>1分</w:t>
            </w:r>
          </w:p>
        </w:tc>
      </w:tr>
      <w:tr w14:paraId="4E46A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trPr>
        <w:tc>
          <w:tcPr>
            <w:tcW w:w="955" w:type="dxa"/>
            <w:vMerge w:val="continue"/>
            <w:noWrap w:val="0"/>
            <w:vAlign w:val="top"/>
          </w:tcPr>
          <w:p w14:paraId="42FC236B">
            <w:pPr>
              <w:autoSpaceDE w:val="0"/>
              <w:rPr>
                <w:rFonts w:hint="eastAsia" w:ascii="宋体" w:hAnsi="宋体" w:cs="宋体"/>
                <w:bCs/>
                <w:sz w:val="22"/>
                <w:szCs w:val="22"/>
                <w:lang w:bidi="ar"/>
              </w:rPr>
            </w:pPr>
          </w:p>
        </w:tc>
        <w:tc>
          <w:tcPr>
            <w:tcW w:w="836" w:type="dxa"/>
            <w:vMerge w:val="continue"/>
            <w:noWrap w:val="0"/>
            <w:vAlign w:val="top"/>
          </w:tcPr>
          <w:p w14:paraId="604026C6">
            <w:pPr>
              <w:autoSpaceDE w:val="0"/>
              <w:rPr>
                <w:rFonts w:hint="eastAsia" w:ascii="宋体" w:hAnsi="宋体" w:cs="宋体"/>
                <w:bCs/>
                <w:sz w:val="22"/>
                <w:szCs w:val="22"/>
                <w:lang w:bidi="ar"/>
              </w:rPr>
            </w:pPr>
          </w:p>
        </w:tc>
        <w:tc>
          <w:tcPr>
            <w:tcW w:w="6654" w:type="dxa"/>
            <w:noWrap w:val="0"/>
            <w:vAlign w:val="top"/>
          </w:tcPr>
          <w:p w14:paraId="6D18DBC8">
            <w:pPr>
              <w:autoSpaceDE w:val="0"/>
              <w:rPr>
                <w:rFonts w:hint="eastAsia" w:ascii="宋体" w:hAnsi="宋体" w:cs="宋体"/>
                <w:bCs/>
                <w:sz w:val="22"/>
                <w:szCs w:val="22"/>
                <w:highlight w:val="none"/>
                <w:lang w:bidi="ar"/>
              </w:rPr>
            </w:pPr>
            <w:r>
              <w:rPr>
                <w:rFonts w:hint="eastAsia" w:ascii="宋体" w:hAnsi="宋体" w:cs="宋体"/>
                <w:b/>
                <w:sz w:val="22"/>
                <w:szCs w:val="22"/>
                <w:highlight w:val="none"/>
                <w:lang w:bidi="ar"/>
              </w:rPr>
              <w:t>九、所投便携式测汞仪</w:t>
            </w:r>
          </w:p>
          <w:p w14:paraId="251DC564">
            <w:pPr>
              <w:autoSpaceDE w:val="0"/>
              <w:rPr>
                <w:rFonts w:hint="eastAsia" w:ascii="宋体" w:hAnsi="宋体" w:cs="宋体"/>
                <w:bCs/>
                <w:sz w:val="22"/>
                <w:szCs w:val="22"/>
                <w:highlight w:val="none"/>
                <w:lang w:bidi="ar"/>
              </w:rPr>
            </w:pPr>
            <w:r>
              <w:rPr>
                <w:rFonts w:hint="eastAsia" w:ascii="宋体" w:hAnsi="宋体" w:cs="宋体"/>
                <w:bCs/>
                <w:sz w:val="22"/>
                <w:szCs w:val="22"/>
                <w:highlight w:val="none"/>
                <w:lang w:bidi="ar"/>
              </w:rPr>
              <w:t>1、检测限≤0.8ppt加0.25分，检测限≤0.6ppt加0.5分、检测限≤0.5ppt加1分。</w:t>
            </w:r>
          </w:p>
          <w:p w14:paraId="4EBB0554">
            <w:pPr>
              <w:autoSpaceDE w:val="0"/>
              <w:jc w:val="left"/>
              <w:rPr>
                <w:rFonts w:hint="eastAsia" w:ascii="宋体" w:hAnsi="宋体" w:cs="宋体"/>
                <w:b/>
                <w:color w:val="auto"/>
                <w:sz w:val="22"/>
                <w:szCs w:val="22"/>
                <w:highlight w:val="none"/>
                <w:lang w:bidi="ar"/>
              </w:rPr>
            </w:pPr>
            <w:r>
              <w:rPr>
                <w:rFonts w:hint="eastAsia" w:ascii="宋体" w:hAnsi="宋体" w:cs="宋体"/>
                <w:b/>
                <w:color w:val="auto"/>
                <w:sz w:val="22"/>
                <w:szCs w:val="22"/>
                <w:highlight w:val="none"/>
                <w:lang w:val="en-US" w:eastAsia="zh-CN" w:bidi="ar"/>
              </w:rPr>
              <w:t>评审依据：</w:t>
            </w:r>
            <w:r>
              <w:rPr>
                <w:rFonts w:hint="eastAsia" w:ascii="宋体" w:hAnsi="宋体" w:cs="宋体"/>
                <w:b/>
                <w:sz w:val="22"/>
                <w:szCs w:val="22"/>
                <w:lang w:val="en-US" w:eastAsia="zh-CN" w:bidi="ar"/>
              </w:rPr>
              <w:t>开标时须</w:t>
            </w:r>
            <w:r>
              <w:rPr>
                <w:rFonts w:hint="eastAsia" w:ascii="宋体" w:hAnsi="宋体" w:cs="宋体"/>
                <w:b/>
                <w:color w:val="auto"/>
                <w:sz w:val="22"/>
                <w:szCs w:val="22"/>
                <w:highlight w:val="none"/>
                <w:lang w:bidi="ar"/>
              </w:rPr>
              <w:t>提供第三方检测机构出具的封面具有CMA认证标识的检测报告复印件加盖制造商公章，未提供或提供无效者不得分</w:t>
            </w:r>
          </w:p>
          <w:p w14:paraId="0B832567">
            <w:pPr>
              <w:autoSpaceDE w:val="0"/>
              <w:rPr>
                <w:rFonts w:hint="eastAsia" w:ascii="宋体" w:hAnsi="宋体" w:cs="宋体"/>
                <w:bCs/>
                <w:sz w:val="22"/>
                <w:szCs w:val="22"/>
                <w:highlight w:val="none"/>
                <w:lang w:bidi="ar"/>
              </w:rPr>
            </w:pPr>
            <w:r>
              <w:rPr>
                <w:rFonts w:hint="eastAsia" w:ascii="宋体" w:hAnsi="宋体" w:cs="宋体"/>
                <w:bCs/>
                <w:sz w:val="22"/>
                <w:szCs w:val="22"/>
                <w:highlight w:val="none"/>
                <w:lang w:bidi="ar"/>
              </w:rPr>
              <w:t>2、精密度RSD≤5％加0.25分，精密度RSD≤3％加0.5分。</w:t>
            </w:r>
          </w:p>
          <w:p w14:paraId="699BA81E">
            <w:pPr>
              <w:autoSpaceDE w:val="0"/>
              <w:jc w:val="left"/>
              <w:rPr>
                <w:rFonts w:hint="eastAsia" w:ascii="宋体" w:hAnsi="宋体" w:cs="宋体"/>
                <w:bCs/>
                <w:sz w:val="22"/>
                <w:szCs w:val="22"/>
                <w:highlight w:val="none"/>
                <w:lang w:bidi="ar"/>
              </w:rPr>
            </w:pPr>
            <w:r>
              <w:rPr>
                <w:rFonts w:hint="eastAsia" w:ascii="宋体" w:hAnsi="宋体" w:cs="宋体"/>
                <w:b/>
                <w:color w:val="auto"/>
                <w:sz w:val="22"/>
                <w:szCs w:val="22"/>
                <w:highlight w:val="none"/>
                <w:lang w:val="en-US" w:eastAsia="zh-CN" w:bidi="ar"/>
              </w:rPr>
              <w:t>评审依据：</w:t>
            </w:r>
            <w:r>
              <w:rPr>
                <w:rFonts w:hint="eastAsia" w:ascii="宋体" w:hAnsi="宋体" w:cs="宋体"/>
                <w:b/>
                <w:sz w:val="22"/>
                <w:szCs w:val="22"/>
                <w:lang w:val="en-US" w:eastAsia="zh-CN" w:bidi="ar"/>
              </w:rPr>
              <w:t>开标时须</w:t>
            </w:r>
            <w:r>
              <w:rPr>
                <w:rFonts w:hint="eastAsia" w:ascii="宋体" w:hAnsi="宋体" w:cs="宋体"/>
                <w:b/>
                <w:color w:val="auto"/>
                <w:sz w:val="22"/>
                <w:szCs w:val="22"/>
                <w:highlight w:val="none"/>
                <w:lang w:bidi="ar"/>
              </w:rPr>
              <w:t>提供第三方检测机构出具的封面具有CMA认证标识的检测报告复印件加盖制造商公章，未提供或提供无效者不得分</w:t>
            </w:r>
          </w:p>
        </w:tc>
        <w:tc>
          <w:tcPr>
            <w:tcW w:w="814" w:type="dxa"/>
            <w:noWrap w:val="0"/>
            <w:vAlign w:val="top"/>
          </w:tcPr>
          <w:p w14:paraId="4CA9B8F6">
            <w:pPr>
              <w:autoSpaceDE w:val="0"/>
              <w:rPr>
                <w:rFonts w:hint="eastAsia" w:ascii="宋体" w:hAnsi="宋体" w:cs="宋体"/>
                <w:bCs/>
                <w:sz w:val="22"/>
                <w:szCs w:val="22"/>
                <w:highlight w:val="none"/>
                <w:lang w:bidi="ar"/>
              </w:rPr>
            </w:pPr>
            <w:r>
              <w:rPr>
                <w:rFonts w:hint="eastAsia" w:ascii="宋体" w:hAnsi="宋体" w:cs="宋体"/>
                <w:bCs/>
                <w:sz w:val="22"/>
                <w:szCs w:val="22"/>
                <w:highlight w:val="none"/>
                <w:lang w:bidi="ar"/>
              </w:rPr>
              <w:t>1.5分</w:t>
            </w:r>
          </w:p>
        </w:tc>
      </w:tr>
      <w:tr w14:paraId="41E3A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55" w:type="dxa"/>
            <w:vMerge w:val="restart"/>
            <w:noWrap w:val="0"/>
            <w:vAlign w:val="center"/>
          </w:tcPr>
          <w:p w14:paraId="3E700488">
            <w:pPr>
              <w:autoSpaceDE w:val="0"/>
              <w:jc w:val="center"/>
              <w:rPr>
                <w:rFonts w:hint="eastAsia" w:ascii="宋体" w:hAnsi="宋体" w:cs="宋体"/>
                <w:b/>
                <w:sz w:val="22"/>
                <w:szCs w:val="22"/>
                <w:lang w:bidi="ar"/>
              </w:rPr>
            </w:pPr>
            <w:r>
              <w:rPr>
                <w:rFonts w:hint="eastAsia" w:ascii="宋体" w:hAnsi="宋体" w:cs="宋体"/>
                <w:b/>
                <w:sz w:val="22"/>
                <w:szCs w:val="22"/>
                <w:lang w:bidi="ar"/>
              </w:rPr>
              <w:t>商务部分（3分）</w:t>
            </w:r>
          </w:p>
          <w:p w14:paraId="0F11244C">
            <w:pPr>
              <w:autoSpaceDE w:val="0"/>
              <w:jc w:val="center"/>
              <w:rPr>
                <w:rFonts w:hint="eastAsia" w:ascii="宋体" w:hAnsi="宋体" w:cs="宋体"/>
                <w:b/>
                <w:sz w:val="22"/>
                <w:szCs w:val="22"/>
                <w:lang w:bidi="ar"/>
              </w:rPr>
            </w:pPr>
          </w:p>
        </w:tc>
        <w:tc>
          <w:tcPr>
            <w:tcW w:w="836" w:type="dxa"/>
            <w:noWrap w:val="0"/>
            <w:vAlign w:val="center"/>
          </w:tcPr>
          <w:p w14:paraId="76C9D751">
            <w:pPr>
              <w:autoSpaceDE w:val="0"/>
              <w:jc w:val="center"/>
              <w:rPr>
                <w:rFonts w:hint="eastAsia" w:ascii="宋体" w:hAnsi="宋体" w:cs="宋体"/>
                <w:b/>
                <w:sz w:val="22"/>
                <w:szCs w:val="22"/>
                <w:lang w:bidi="ar"/>
              </w:rPr>
            </w:pPr>
            <w:r>
              <w:rPr>
                <w:rFonts w:hint="eastAsia" w:ascii="宋体" w:hAnsi="宋体" w:cs="宋体"/>
                <w:b/>
                <w:sz w:val="22"/>
                <w:szCs w:val="22"/>
                <w:lang w:bidi="ar"/>
              </w:rPr>
              <w:t>商务符合性</w:t>
            </w:r>
          </w:p>
        </w:tc>
        <w:tc>
          <w:tcPr>
            <w:tcW w:w="6654" w:type="dxa"/>
            <w:noWrap w:val="0"/>
            <w:vAlign w:val="center"/>
          </w:tcPr>
          <w:p w14:paraId="6E2541D4">
            <w:pPr>
              <w:autoSpaceDE w:val="0"/>
              <w:rPr>
                <w:rFonts w:hint="eastAsia" w:ascii="宋体" w:hAnsi="宋体" w:cs="宋体"/>
                <w:bCs/>
                <w:sz w:val="22"/>
                <w:szCs w:val="22"/>
                <w:lang w:bidi="ar"/>
              </w:rPr>
            </w:pPr>
            <w:r>
              <w:rPr>
                <w:rFonts w:hint="eastAsia" w:ascii="宋体" w:hAnsi="宋体" w:cs="宋体"/>
                <w:bCs/>
                <w:sz w:val="22"/>
                <w:szCs w:val="22"/>
                <w:lang w:bidi="ar"/>
              </w:rPr>
              <w:t>投标文件</w:t>
            </w:r>
            <w:r>
              <w:rPr>
                <w:rFonts w:hint="eastAsia" w:ascii="宋体" w:hAnsi="宋体" w:cs="宋体"/>
                <w:bCs/>
                <w:sz w:val="22"/>
                <w:szCs w:val="22"/>
                <w:lang w:val="en-US" w:eastAsia="zh-CN" w:bidi="ar"/>
              </w:rPr>
              <w:t>须全部满足</w:t>
            </w:r>
            <w:r>
              <w:rPr>
                <w:rFonts w:hint="eastAsia" w:ascii="宋体" w:hAnsi="宋体" w:cs="宋体"/>
                <w:bCs/>
                <w:sz w:val="22"/>
                <w:szCs w:val="22"/>
                <w:lang w:bidi="ar"/>
              </w:rPr>
              <w:t>招标文件第三章“</w:t>
            </w:r>
            <w:r>
              <w:rPr>
                <w:rFonts w:hint="eastAsia" w:ascii="宋体" w:hAnsi="宋体" w:cs="宋体"/>
                <w:bCs/>
                <w:sz w:val="22"/>
                <w:szCs w:val="22"/>
                <w:lang w:val="en-US" w:eastAsia="zh-CN" w:bidi="ar"/>
              </w:rPr>
              <w:t>二、商务条款</w:t>
            </w:r>
            <w:r>
              <w:rPr>
                <w:rFonts w:hint="eastAsia" w:ascii="宋体" w:hAnsi="宋体" w:cs="宋体"/>
                <w:bCs/>
                <w:sz w:val="22"/>
                <w:szCs w:val="22"/>
                <w:lang w:bidi="ar"/>
              </w:rPr>
              <w:t>”中的</w:t>
            </w:r>
            <w:r>
              <w:rPr>
                <w:rFonts w:hint="eastAsia" w:ascii="宋体" w:hAnsi="宋体" w:cs="宋体"/>
                <w:bCs/>
                <w:sz w:val="22"/>
                <w:szCs w:val="22"/>
                <w:lang w:val="en-US" w:eastAsia="zh-CN" w:bidi="ar"/>
              </w:rPr>
              <w:t>内容</w:t>
            </w:r>
            <w:r>
              <w:rPr>
                <w:rFonts w:hint="eastAsia" w:ascii="宋体" w:hAnsi="宋体" w:cs="宋体"/>
                <w:bCs/>
                <w:sz w:val="22"/>
                <w:szCs w:val="22"/>
                <w:lang w:bidi="ar"/>
              </w:rPr>
              <w:t>，</w:t>
            </w:r>
            <w:r>
              <w:rPr>
                <w:rFonts w:hint="eastAsia" w:ascii="宋体" w:hAnsi="宋体" w:cs="宋体"/>
                <w:bCs/>
                <w:sz w:val="22"/>
                <w:szCs w:val="22"/>
                <w:lang w:val="en-US" w:eastAsia="zh-CN" w:bidi="ar"/>
              </w:rPr>
              <w:t>有</w:t>
            </w:r>
            <w:r>
              <w:rPr>
                <w:rFonts w:hint="eastAsia" w:ascii="宋体" w:hAnsi="宋体" w:cs="宋体"/>
                <w:bCs/>
                <w:sz w:val="22"/>
                <w:szCs w:val="22"/>
                <w:lang w:bidi="ar"/>
              </w:rPr>
              <w:t>任意一项不满足</w:t>
            </w:r>
            <w:r>
              <w:rPr>
                <w:rFonts w:hint="eastAsia" w:ascii="宋体" w:hAnsi="宋体" w:cs="宋体"/>
                <w:bCs/>
                <w:sz w:val="22"/>
                <w:szCs w:val="22"/>
                <w:lang w:val="en-US" w:eastAsia="zh-CN" w:bidi="ar"/>
              </w:rPr>
              <w:t>或负偏离</w:t>
            </w:r>
            <w:r>
              <w:rPr>
                <w:rFonts w:hint="eastAsia" w:ascii="宋体" w:hAnsi="宋体" w:cs="宋体"/>
                <w:bCs/>
                <w:sz w:val="22"/>
                <w:szCs w:val="22"/>
                <w:lang w:bidi="ar"/>
              </w:rPr>
              <w:t>的作无效</w:t>
            </w:r>
            <w:r>
              <w:rPr>
                <w:rFonts w:hint="eastAsia" w:ascii="宋体" w:hAnsi="宋体" w:cs="宋体"/>
                <w:bCs/>
                <w:sz w:val="22"/>
                <w:szCs w:val="22"/>
                <w:lang w:val="en-US" w:eastAsia="zh-CN" w:bidi="ar"/>
              </w:rPr>
              <w:t>投标</w:t>
            </w:r>
            <w:r>
              <w:rPr>
                <w:rFonts w:hint="eastAsia" w:ascii="宋体" w:hAnsi="宋体" w:cs="宋体"/>
                <w:bCs/>
                <w:sz w:val="22"/>
                <w:szCs w:val="22"/>
                <w:lang w:bidi="ar"/>
              </w:rPr>
              <w:t>处理。</w:t>
            </w:r>
          </w:p>
          <w:p w14:paraId="52962FA0">
            <w:pPr>
              <w:autoSpaceDE w:val="0"/>
              <w:rPr>
                <w:rFonts w:hint="eastAsia" w:ascii="宋体" w:hAnsi="宋体" w:cs="宋体"/>
                <w:bCs/>
                <w:sz w:val="22"/>
                <w:szCs w:val="22"/>
                <w:lang w:bidi="ar"/>
              </w:rPr>
            </w:pPr>
            <w:r>
              <w:rPr>
                <w:rFonts w:hint="eastAsia" w:ascii="宋体" w:hAnsi="宋体" w:cs="宋体"/>
                <w:b/>
                <w:sz w:val="22"/>
                <w:szCs w:val="22"/>
                <w:lang w:bidi="ar"/>
              </w:rPr>
              <w:t>评审依据：商务要求响应/偏离表。</w:t>
            </w:r>
          </w:p>
        </w:tc>
        <w:tc>
          <w:tcPr>
            <w:tcW w:w="814" w:type="dxa"/>
            <w:noWrap w:val="0"/>
            <w:vAlign w:val="center"/>
          </w:tcPr>
          <w:p w14:paraId="49A38C3B">
            <w:pPr>
              <w:autoSpaceDE w:val="0"/>
              <w:jc w:val="center"/>
              <w:rPr>
                <w:rFonts w:hint="eastAsia" w:ascii="宋体" w:hAnsi="宋体" w:cs="宋体"/>
                <w:b/>
                <w:sz w:val="22"/>
                <w:szCs w:val="22"/>
                <w:lang w:bidi="ar"/>
              </w:rPr>
            </w:pPr>
            <w:r>
              <w:rPr>
                <w:rFonts w:hint="eastAsia" w:ascii="宋体" w:hAnsi="宋体" w:cs="宋体"/>
                <w:b/>
                <w:sz w:val="22"/>
                <w:szCs w:val="22"/>
                <w:lang w:bidi="ar"/>
              </w:rPr>
              <w:t xml:space="preserve">符合性 </w:t>
            </w:r>
          </w:p>
          <w:p w14:paraId="3AB42B51">
            <w:pPr>
              <w:autoSpaceDE w:val="0"/>
              <w:jc w:val="center"/>
              <w:rPr>
                <w:rFonts w:hint="eastAsia" w:ascii="宋体" w:hAnsi="宋体" w:cs="宋体"/>
                <w:b/>
                <w:sz w:val="22"/>
                <w:szCs w:val="22"/>
                <w:lang w:bidi="ar"/>
              </w:rPr>
            </w:pPr>
            <w:r>
              <w:rPr>
                <w:rFonts w:hint="eastAsia" w:ascii="宋体" w:hAnsi="宋体" w:cs="宋体"/>
                <w:b/>
                <w:sz w:val="22"/>
                <w:szCs w:val="22"/>
                <w:lang w:bidi="ar"/>
              </w:rPr>
              <w:t>评审</w:t>
            </w:r>
          </w:p>
        </w:tc>
      </w:tr>
      <w:tr w14:paraId="70D3F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955" w:type="dxa"/>
            <w:vMerge w:val="continue"/>
            <w:noWrap w:val="0"/>
            <w:vAlign w:val="center"/>
          </w:tcPr>
          <w:p w14:paraId="2F410645">
            <w:pPr>
              <w:autoSpaceDE w:val="0"/>
              <w:jc w:val="center"/>
              <w:rPr>
                <w:rFonts w:hint="eastAsia" w:ascii="宋体" w:hAnsi="宋体" w:cs="宋体"/>
                <w:b/>
                <w:sz w:val="22"/>
                <w:szCs w:val="22"/>
                <w:lang w:bidi="ar"/>
              </w:rPr>
            </w:pPr>
          </w:p>
        </w:tc>
        <w:tc>
          <w:tcPr>
            <w:tcW w:w="836" w:type="dxa"/>
            <w:noWrap w:val="0"/>
            <w:vAlign w:val="center"/>
          </w:tcPr>
          <w:p w14:paraId="616FCDD7">
            <w:pPr>
              <w:widowControl/>
              <w:jc w:val="center"/>
              <w:textAlignment w:val="center"/>
              <w:rPr>
                <w:rFonts w:hint="eastAsia" w:ascii="宋体" w:hAnsi="宋体" w:cs="宋体"/>
                <w:sz w:val="22"/>
                <w:szCs w:val="22"/>
              </w:rPr>
            </w:pPr>
            <w:r>
              <w:rPr>
                <w:rFonts w:hint="eastAsia" w:ascii="宋体" w:hAnsi="宋体" w:cs="宋体"/>
                <w:b/>
                <w:bCs/>
                <w:sz w:val="22"/>
                <w:szCs w:val="22"/>
              </w:rPr>
              <w:t>业绩</w:t>
            </w:r>
          </w:p>
        </w:tc>
        <w:tc>
          <w:tcPr>
            <w:tcW w:w="6654" w:type="dxa"/>
            <w:noWrap w:val="0"/>
            <w:vAlign w:val="center"/>
          </w:tcPr>
          <w:p w14:paraId="43E90FA3">
            <w:pPr>
              <w:pStyle w:val="6"/>
              <w:rPr>
                <w:rFonts w:hint="eastAsia" w:ascii="宋体" w:hAnsi="宋体" w:cs="宋体"/>
                <w:bCs/>
                <w:sz w:val="22"/>
                <w:szCs w:val="22"/>
                <w:lang w:bidi="ar"/>
              </w:rPr>
            </w:pPr>
            <w:r>
              <w:rPr>
                <w:rFonts w:hint="eastAsia" w:ascii="宋体" w:hAnsi="宋体" w:eastAsia="宋体" w:cs="宋体"/>
                <w:bCs/>
                <w:kern w:val="2"/>
                <w:sz w:val="22"/>
                <w:szCs w:val="22"/>
                <w:lang w:val="en-US" w:eastAsia="zh-CN" w:bidi="ar"/>
              </w:rPr>
              <w:t>投标人自2022年1月1日至开标截止时间前具有类似实验室采购项目业绩，每提供 1 份业绩得0</w:t>
            </w:r>
            <w:r>
              <w:rPr>
                <w:rFonts w:hint="eastAsia" w:ascii="宋体" w:hAnsi="宋体" w:cs="宋体"/>
                <w:bCs/>
                <w:sz w:val="22"/>
                <w:szCs w:val="22"/>
                <w:lang w:bidi="ar"/>
              </w:rPr>
              <w:t xml:space="preserve">.5分，最高得1分。 </w:t>
            </w:r>
          </w:p>
          <w:p w14:paraId="4ECCBBC9">
            <w:pPr>
              <w:widowControl/>
              <w:jc w:val="left"/>
              <w:rPr>
                <w:rFonts w:hint="eastAsia" w:ascii="宋体" w:hAnsi="宋体" w:cs="宋体"/>
                <w:sz w:val="22"/>
                <w:szCs w:val="22"/>
              </w:rPr>
            </w:pPr>
            <w:r>
              <w:rPr>
                <w:rFonts w:hint="eastAsia" w:ascii="宋体" w:hAnsi="宋体" w:cs="宋体"/>
                <w:b/>
                <w:sz w:val="22"/>
                <w:szCs w:val="22"/>
                <w:lang w:bidi="ar"/>
              </w:rPr>
              <w:t>评审依据：</w:t>
            </w:r>
            <w:r>
              <w:rPr>
                <w:rFonts w:hint="eastAsia" w:ascii="宋体" w:hAnsi="宋体" w:cs="宋体"/>
                <w:b/>
                <w:sz w:val="22"/>
                <w:szCs w:val="22"/>
                <w:lang w:val="en-US" w:eastAsia="zh-CN" w:bidi="ar"/>
              </w:rPr>
              <w:t>开标时须</w:t>
            </w:r>
            <w:r>
              <w:rPr>
                <w:rFonts w:hint="eastAsia" w:ascii="宋体" w:hAnsi="宋体" w:cs="宋体"/>
                <w:b/>
                <w:sz w:val="22"/>
                <w:szCs w:val="22"/>
                <w:lang w:bidi="ar"/>
              </w:rPr>
              <w:t>提供合同、发票、验收报告复印件</w:t>
            </w:r>
            <w:r>
              <w:rPr>
                <w:rFonts w:hint="eastAsia" w:ascii="宋体" w:hAnsi="宋体" w:cs="宋体"/>
                <w:b/>
                <w:sz w:val="22"/>
                <w:szCs w:val="22"/>
                <w:lang w:val="en-US" w:eastAsia="zh-CN" w:bidi="ar"/>
              </w:rPr>
              <w:t>加盖投标人公章</w:t>
            </w:r>
            <w:r>
              <w:rPr>
                <w:rFonts w:hint="eastAsia" w:ascii="宋体" w:hAnsi="宋体" w:cs="宋体"/>
                <w:b/>
                <w:sz w:val="22"/>
                <w:szCs w:val="22"/>
                <w:lang w:bidi="ar"/>
              </w:rPr>
              <w:t>佐证。（开标时提供原件查验）</w:t>
            </w:r>
          </w:p>
        </w:tc>
        <w:tc>
          <w:tcPr>
            <w:tcW w:w="814" w:type="dxa"/>
            <w:noWrap w:val="0"/>
            <w:vAlign w:val="center"/>
          </w:tcPr>
          <w:p w14:paraId="36D62372">
            <w:pPr>
              <w:widowControl/>
              <w:jc w:val="center"/>
              <w:textAlignment w:val="center"/>
              <w:rPr>
                <w:rFonts w:hint="eastAsia" w:ascii="宋体" w:hAnsi="宋体" w:cs="宋体"/>
                <w:sz w:val="22"/>
                <w:szCs w:val="22"/>
              </w:rPr>
            </w:pPr>
            <w:r>
              <w:rPr>
                <w:rFonts w:hint="eastAsia" w:ascii="宋体" w:hAnsi="宋体" w:cs="宋体"/>
                <w:sz w:val="22"/>
                <w:szCs w:val="22"/>
              </w:rPr>
              <w:t>1分</w:t>
            </w:r>
          </w:p>
        </w:tc>
      </w:tr>
      <w:tr w14:paraId="66C6D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6" w:hRule="atLeast"/>
        </w:trPr>
        <w:tc>
          <w:tcPr>
            <w:tcW w:w="955" w:type="dxa"/>
            <w:vMerge w:val="continue"/>
            <w:noWrap w:val="0"/>
            <w:vAlign w:val="center"/>
          </w:tcPr>
          <w:p w14:paraId="26E918FD">
            <w:pPr>
              <w:autoSpaceDE w:val="0"/>
              <w:jc w:val="center"/>
              <w:rPr>
                <w:rFonts w:hint="eastAsia" w:ascii="宋体" w:hAnsi="宋体" w:cs="宋体"/>
                <w:b/>
                <w:sz w:val="22"/>
                <w:szCs w:val="22"/>
                <w:lang w:bidi="ar"/>
              </w:rPr>
            </w:pPr>
          </w:p>
        </w:tc>
        <w:tc>
          <w:tcPr>
            <w:tcW w:w="836" w:type="dxa"/>
            <w:noWrap w:val="0"/>
            <w:vAlign w:val="center"/>
          </w:tcPr>
          <w:p w14:paraId="62F9EB25">
            <w:pPr>
              <w:autoSpaceDE w:val="0"/>
              <w:jc w:val="left"/>
              <w:rPr>
                <w:rFonts w:hint="eastAsia" w:ascii="宋体" w:hAnsi="宋体" w:cs="宋体"/>
                <w:b/>
                <w:bCs w:val="0"/>
                <w:sz w:val="22"/>
                <w:szCs w:val="22"/>
                <w:lang w:bidi="ar"/>
              </w:rPr>
            </w:pPr>
            <w:r>
              <w:rPr>
                <w:rFonts w:hint="eastAsia" w:ascii="宋体" w:hAnsi="宋体" w:cs="宋体"/>
                <w:b/>
                <w:bCs w:val="0"/>
                <w:sz w:val="22"/>
                <w:szCs w:val="22"/>
                <w:lang w:bidi="ar"/>
              </w:rPr>
              <w:t>培训服务</w:t>
            </w:r>
          </w:p>
        </w:tc>
        <w:tc>
          <w:tcPr>
            <w:tcW w:w="6654" w:type="dxa"/>
            <w:noWrap w:val="0"/>
            <w:vAlign w:val="center"/>
          </w:tcPr>
          <w:p w14:paraId="0CC155E9">
            <w:pPr>
              <w:autoSpaceDE w:val="0"/>
              <w:jc w:val="left"/>
              <w:rPr>
                <w:rFonts w:hint="eastAsia" w:ascii="宋体" w:hAnsi="宋体" w:cs="宋体"/>
                <w:bCs/>
                <w:sz w:val="22"/>
                <w:szCs w:val="22"/>
                <w:highlight w:val="none"/>
                <w:lang w:bidi="ar"/>
              </w:rPr>
            </w:pPr>
            <w:r>
              <w:rPr>
                <w:rFonts w:hint="eastAsia" w:ascii="宋体" w:hAnsi="宋体" w:cs="宋体"/>
                <w:bCs/>
                <w:sz w:val="22"/>
                <w:szCs w:val="22"/>
                <w:highlight w:val="none"/>
                <w:lang w:bidi="ar"/>
              </w:rPr>
              <w:t>投标人须为本项目电感耦合等离子体质谱仪、气相色谱质谱仪（自动吹扫捕集）、气相色谱仪、液相色谱仪、原子吸收分光光度计、原子荧光分光光度计、离子色谱仪、多通道流动注射分析仪（配阴离子和挥发酚模块）</w:t>
            </w:r>
            <w:r>
              <w:rPr>
                <w:rFonts w:hint="eastAsia" w:ascii="宋体" w:hAnsi="宋体" w:cs="宋体"/>
                <w:bCs/>
                <w:sz w:val="22"/>
                <w:szCs w:val="22"/>
                <w:highlight w:val="none"/>
                <w:lang w:eastAsia="zh-CN" w:bidi="ar"/>
              </w:rPr>
              <w:t>、</w:t>
            </w:r>
            <w:r>
              <w:rPr>
                <w:rFonts w:hint="eastAsia" w:ascii="宋体" w:hAnsi="宋体" w:cs="宋体"/>
                <w:bCs/>
                <w:sz w:val="22"/>
                <w:szCs w:val="22"/>
                <w:highlight w:val="none"/>
                <w:lang w:val="en-US" w:eastAsia="zh-CN" w:bidi="ar"/>
              </w:rPr>
              <w:t>便携式傅立叶红外分析仪</w:t>
            </w:r>
            <w:r>
              <w:rPr>
                <w:rFonts w:hint="eastAsia" w:ascii="宋体" w:hAnsi="宋体" w:cs="宋体"/>
                <w:bCs/>
                <w:sz w:val="22"/>
                <w:szCs w:val="22"/>
                <w:highlight w:val="none"/>
                <w:lang w:bidi="ar"/>
              </w:rPr>
              <w:t>提供专业技术培训。</w:t>
            </w:r>
          </w:p>
          <w:p w14:paraId="2E3DCE73">
            <w:pPr>
              <w:autoSpaceDE w:val="0"/>
              <w:jc w:val="left"/>
              <w:rPr>
                <w:rFonts w:hint="eastAsia" w:ascii="宋体" w:hAnsi="宋体" w:cs="宋体"/>
                <w:bCs/>
                <w:sz w:val="22"/>
                <w:szCs w:val="22"/>
                <w:highlight w:val="none"/>
                <w:lang w:bidi="ar"/>
              </w:rPr>
            </w:pPr>
            <w:r>
              <w:rPr>
                <w:rFonts w:hint="eastAsia" w:ascii="宋体" w:hAnsi="宋体" w:cs="宋体"/>
                <w:bCs/>
                <w:sz w:val="22"/>
                <w:szCs w:val="22"/>
                <w:highlight w:val="none"/>
                <w:lang w:bidi="ar"/>
              </w:rPr>
              <w:t>1.赴产品制造商技术培训名额，提供2人/台 的，得0.5分；提供3人/台的，得1分；最高得1分；</w:t>
            </w:r>
          </w:p>
          <w:p w14:paraId="42D03B28">
            <w:pPr>
              <w:autoSpaceDE w:val="0"/>
              <w:jc w:val="left"/>
              <w:rPr>
                <w:rFonts w:hint="eastAsia" w:ascii="宋体" w:hAnsi="宋体" w:cs="宋体"/>
                <w:bCs/>
                <w:sz w:val="22"/>
                <w:szCs w:val="22"/>
                <w:highlight w:val="none"/>
                <w:lang w:bidi="ar"/>
              </w:rPr>
            </w:pPr>
            <w:r>
              <w:rPr>
                <w:rFonts w:hint="eastAsia" w:ascii="宋体" w:hAnsi="宋体" w:cs="宋体"/>
                <w:bCs/>
                <w:sz w:val="22"/>
                <w:szCs w:val="22"/>
                <w:highlight w:val="none"/>
                <w:lang w:bidi="ar"/>
              </w:rPr>
              <w:t xml:space="preserve">2.提供采购人省内地点（人员数量≥12 人、培训时长≥16 小时）进行专业技术培训的，得 0.5 分。 </w:t>
            </w:r>
          </w:p>
          <w:p w14:paraId="33A0B95C">
            <w:pPr>
              <w:autoSpaceDE w:val="0"/>
              <w:jc w:val="left"/>
              <w:rPr>
                <w:rFonts w:hint="eastAsia" w:ascii="宋体" w:hAnsi="宋体" w:cs="宋体"/>
                <w:bCs/>
                <w:sz w:val="22"/>
                <w:szCs w:val="22"/>
                <w:highlight w:val="none"/>
                <w:lang w:bidi="ar"/>
              </w:rPr>
            </w:pPr>
            <w:r>
              <w:rPr>
                <w:rFonts w:hint="eastAsia" w:ascii="宋体" w:hAnsi="宋体" w:cs="宋体"/>
                <w:b/>
                <w:sz w:val="22"/>
                <w:szCs w:val="22"/>
                <w:highlight w:val="none"/>
                <w:lang w:bidi="ar"/>
              </w:rPr>
              <w:t>评审依据：</w:t>
            </w:r>
            <w:r>
              <w:rPr>
                <w:rFonts w:hint="eastAsia" w:ascii="宋体" w:hAnsi="宋体" w:cs="宋体"/>
                <w:b/>
                <w:sz w:val="22"/>
                <w:szCs w:val="22"/>
                <w:highlight w:val="none"/>
                <w:lang w:val="en-US" w:eastAsia="zh-CN" w:bidi="ar"/>
              </w:rPr>
              <w:t>开标时</w:t>
            </w:r>
            <w:r>
              <w:rPr>
                <w:rFonts w:hint="eastAsia" w:ascii="宋体" w:hAnsi="宋体" w:cs="宋体"/>
                <w:b/>
                <w:sz w:val="22"/>
                <w:szCs w:val="22"/>
                <w:highlight w:val="none"/>
                <w:lang w:bidi="ar"/>
              </w:rPr>
              <w:t>须提供针对本项目包含以上内容的完整培训方案和培训服务承诺函并加盖制造商公章佐证，未提供或提供材料不完整、不清晰的不得分。</w:t>
            </w:r>
          </w:p>
        </w:tc>
        <w:tc>
          <w:tcPr>
            <w:tcW w:w="814" w:type="dxa"/>
            <w:noWrap w:val="0"/>
            <w:vAlign w:val="center"/>
          </w:tcPr>
          <w:p w14:paraId="3F4B0EE5">
            <w:pPr>
              <w:autoSpaceDE w:val="0"/>
              <w:jc w:val="left"/>
              <w:rPr>
                <w:rFonts w:hint="eastAsia" w:ascii="宋体" w:hAnsi="宋体" w:cs="宋体"/>
                <w:bCs/>
                <w:sz w:val="22"/>
                <w:szCs w:val="22"/>
                <w:highlight w:val="none"/>
                <w:lang w:bidi="ar"/>
              </w:rPr>
            </w:pPr>
            <w:r>
              <w:rPr>
                <w:rFonts w:hint="eastAsia" w:ascii="宋体" w:hAnsi="宋体" w:cs="宋体"/>
                <w:bCs/>
                <w:sz w:val="22"/>
                <w:szCs w:val="22"/>
                <w:highlight w:val="none"/>
                <w:lang w:bidi="ar"/>
              </w:rPr>
              <w:t>1.5分</w:t>
            </w:r>
          </w:p>
        </w:tc>
      </w:tr>
      <w:tr w14:paraId="7EE8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955" w:type="dxa"/>
            <w:vMerge w:val="continue"/>
            <w:noWrap w:val="0"/>
            <w:vAlign w:val="center"/>
          </w:tcPr>
          <w:p w14:paraId="204E65C1">
            <w:pPr>
              <w:autoSpaceDE w:val="0"/>
              <w:jc w:val="center"/>
              <w:rPr>
                <w:rFonts w:hint="eastAsia" w:ascii="宋体" w:hAnsi="宋体" w:cs="宋体"/>
                <w:b/>
                <w:sz w:val="22"/>
                <w:szCs w:val="22"/>
                <w:lang w:bidi="ar"/>
              </w:rPr>
            </w:pPr>
          </w:p>
        </w:tc>
        <w:tc>
          <w:tcPr>
            <w:tcW w:w="836" w:type="dxa"/>
            <w:noWrap w:val="0"/>
            <w:vAlign w:val="center"/>
          </w:tcPr>
          <w:p w14:paraId="3C4B2390">
            <w:pPr>
              <w:autoSpaceDE w:val="0"/>
              <w:jc w:val="left"/>
              <w:rPr>
                <w:rFonts w:hint="eastAsia" w:ascii="宋体" w:hAnsi="宋体" w:cs="宋体"/>
                <w:b/>
                <w:bCs w:val="0"/>
                <w:sz w:val="22"/>
                <w:szCs w:val="22"/>
                <w:lang w:bidi="ar"/>
              </w:rPr>
            </w:pPr>
            <w:r>
              <w:rPr>
                <w:rFonts w:hint="eastAsia" w:ascii="宋体" w:hAnsi="宋体" w:cs="宋体"/>
                <w:b/>
                <w:bCs w:val="0"/>
                <w:sz w:val="22"/>
                <w:szCs w:val="22"/>
                <w:lang w:bidi="ar"/>
              </w:rPr>
              <w:t>交货承诺</w:t>
            </w:r>
          </w:p>
        </w:tc>
        <w:tc>
          <w:tcPr>
            <w:tcW w:w="6654" w:type="dxa"/>
            <w:noWrap w:val="0"/>
            <w:vAlign w:val="center"/>
          </w:tcPr>
          <w:p w14:paraId="5309AC2E">
            <w:pPr>
              <w:autoSpaceDE w:val="0"/>
              <w:jc w:val="left"/>
              <w:rPr>
                <w:rFonts w:hint="eastAsia" w:ascii="宋体" w:hAnsi="宋体" w:cs="宋体"/>
                <w:bCs/>
                <w:sz w:val="22"/>
                <w:szCs w:val="22"/>
                <w:highlight w:val="none"/>
                <w:lang w:bidi="ar"/>
              </w:rPr>
            </w:pPr>
            <w:r>
              <w:rPr>
                <w:rFonts w:hint="eastAsia" w:ascii="宋体" w:hAnsi="宋体" w:cs="宋体"/>
                <w:bCs/>
                <w:sz w:val="22"/>
                <w:szCs w:val="22"/>
                <w:highlight w:val="none"/>
                <w:lang w:bidi="ar"/>
              </w:rPr>
              <w:t xml:space="preserve">中标人承诺应于交货周期内交付项目的全部货物，交货期为自合同签订之日起, </w:t>
            </w:r>
            <w:r>
              <w:rPr>
                <w:rFonts w:hint="eastAsia" w:ascii="宋体" w:hAnsi="宋体" w:cs="宋体"/>
                <w:b/>
                <w:color w:val="auto"/>
                <w:sz w:val="22"/>
                <w:szCs w:val="22"/>
                <w:highlight w:val="none"/>
                <w:lang w:bidi="ar"/>
              </w:rPr>
              <w:t>不超过</w:t>
            </w:r>
            <w:r>
              <w:rPr>
                <w:rFonts w:hint="eastAsia" w:ascii="宋体" w:hAnsi="宋体" w:cs="宋体"/>
                <w:b/>
                <w:color w:val="auto"/>
                <w:sz w:val="22"/>
                <w:szCs w:val="22"/>
                <w:highlight w:val="none"/>
                <w:lang w:val="en-US" w:eastAsia="zh-CN" w:bidi="ar"/>
              </w:rPr>
              <w:t>40</w:t>
            </w:r>
            <w:r>
              <w:rPr>
                <w:rFonts w:hint="eastAsia" w:ascii="宋体" w:hAnsi="宋体" w:cs="宋体"/>
                <w:b/>
                <w:color w:val="auto"/>
                <w:sz w:val="22"/>
                <w:szCs w:val="22"/>
                <w:highlight w:val="none"/>
                <w:lang w:bidi="ar"/>
              </w:rPr>
              <w:t>个自然日</w:t>
            </w:r>
            <w:r>
              <w:rPr>
                <w:rFonts w:hint="eastAsia" w:ascii="宋体" w:hAnsi="宋体" w:cs="宋体"/>
                <w:bCs/>
                <w:color w:val="auto"/>
                <w:sz w:val="22"/>
                <w:szCs w:val="22"/>
                <w:highlight w:val="none"/>
                <w:lang w:bidi="ar"/>
              </w:rPr>
              <w:t>，</w:t>
            </w:r>
            <w:r>
              <w:rPr>
                <w:rFonts w:hint="eastAsia" w:ascii="宋体" w:hAnsi="宋体" w:cs="宋体"/>
                <w:bCs/>
                <w:sz w:val="22"/>
                <w:szCs w:val="22"/>
                <w:highlight w:val="none"/>
                <w:lang w:bidi="ar"/>
              </w:rPr>
              <w:t>满足上述要求的得0.5分。</w:t>
            </w:r>
          </w:p>
          <w:p w14:paraId="44B69B88">
            <w:pPr>
              <w:autoSpaceDE w:val="0"/>
              <w:jc w:val="left"/>
              <w:rPr>
                <w:rFonts w:hint="eastAsia" w:ascii="宋体" w:hAnsi="宋体" w:cs="宋体"/>
                <w:b/>
                <w:sz w:val="22"/>
                <w:szCs w:val="22"/>
                <w:highlight w:val="none"/>
                <w:lang w:bidi="ar"/>
              </w:rPr>
            </w:pPr>
            <w:r>
              <w:rPr>
                <w:rFonts w:hint="eastAsia" w:ascii="宋体" w:hAnsi="宋体" w:cs="宋体"/>
                <w:b/>
                <w:sz w:val="22"/>
                <w:szCs w:val="22"/>
                <w:highlight w:val="none"/>
                <w:lang w:bidi="ar"/>
              </w:rPr>
              <w:t>评审依据：</w:t>
            </w:r>
            <w:r>
              <w:rPr>
                <w:rFonts w:hint="eastAsia" w:ascii="宋体" w:hAnsi="宋体" w:cs="宋体"/>
                <w:b/>
                <w:sz w:val="22"/>
                <w:szCs w:val="22"/>
                <w:lang w:val="en-US" w:eastAsia="zh-CN" w:bidi="ar"/>
              </w:rPr>
              <w:t>开标时须</w:t>
            </w:r>
            <w:r>
              <w:rPr>
                <w:rFonts w:hint="eastAsia" w:ascii="宋体" w:hAnsi="宋体" w:cs="宋体"/>
                <w:b/>
                <w:sz w:val="22"/>
                <w:szCs w:val="22"/>
                <w:highlight w:val="none"/>
                <w:lang w:bidi="ar"/>
              </w:rPr>
              <w:t xml:space="preserve">提供承诺函加盖投标人公章。 </w:t>
            </w:r>
          </w:p>
        </w:tc>
        <w:tc>
          <w:tcPr>
            <w:tcW w:w="814" w:type="dxa"/>
            <w:noWrap w:val="0"/>
            <w:vAlign w:val="center"/>
          </w:tcPr>
          <w:p w14:paraId="73D5AD29">
            <w:pPr>
              <w:autoSpaceDE w:val="0"/>
              <w:jc w:val="left"/>
              <w:rPr>
                <w:rFonts w:hint="eastAsia" w:ascii="宋体" w:hAnsi="宋体" w:cs="宋体"/>
                <w:bCs/>
                <w:sz w:val="22"/>
                <w:szCs w:val="22"/>
                <w:highlight w:val="none"/>
                <w:lang w:bidi="ar"/>
              </w:rPr>
            </w:pPr>
            <w:r>
              <w:rPr>
                <w:rFonts w:hint="eastAsia" w:ascii="宋体" w:hAnsi="宋体" w:cs="宋体"/>
                <w:bCs/>
                <w:sz w:val="22"/>
                <w:szCs w:val="22"/>
                <w:highlight w:val="none"/>
                <w:lang w:bidi="ar"/>
              </w:rPr>
              <w:t>0.5分</w:t>
            </w:r>
          </w:p>
        </w:tc>
      </w:tr>
    </w:tbl>
    <w:p w14:paraId="4348F158">
      <w:pPr>
        <w:rPr>
          <w:rFonts w:ascii="宋体" w:hAnsi="宋体" w:cs="仿宋"/>
          <w:i/>
          <w:sz w:val="24"/>
          <w:szCs w:val="24"/>
        </w:rPr>
      </w:pPr>
    </w:p>
    <w:p w14:paraId="60F3DBB3">
      <w:pPr>
        <w:widowControl/>
        <w:snapToGrid w:val="0"/>
        <w:spacing w:line="336" w:lineRule="auto"/>
        <w:rPr>
          <w:rFonts w:ascii="宋体" w:hAnsi="宋体" w:cs="Arial"/>
          <w:spacing w:val="6"/>
          <w:sz w:val="24"/>
        </w:rPr>
      </w:pPr>
      <w:r>
        <w:rPr>
          <w:rFonts w:hint="eastAsia" w:ascii="宋体" w:hAnsi="宋体"/>
          <w:b/>
          <w:bCs/>
          <w:sz w:val="24"/>
          <w:szCs w:val="24"/>
        </w:rPr>
        <w:t>注：投标人所提供的所有技术资料、证明文件必须真实有效，开标结束后采购单位有权对中标人所提供的所有资料</w:t>
      </w:r>
      <w:r>
        <w:rPr>
          <w:rFonts w:hint="eastAsia" w:ascii="宋体" w:hAnsi="宋体"/>
          <w:b/>
          <w:bCs/>
          <w:sz w:val="24"/>
          <w:szCs w:val="24"/>
          <w:lang w:val="en-US" w:eastAsia="zh-CN"/>
        </w:rPr>
        <w:t>原件等</w:t>
      </w:r>
      <w:r>
        <w:rPr>
          <w:rFonts w:hint="eastAsia" w:ascii="宋体" w:hAnsi="宋体"/>
          <w:b/>
          <w:bCs/>
          <w:sz w:val="24"/>
          <w:szCs w:val="24"/>
        </w:rPr>
        <w:t>进行核实。如有虚假应标行为，</w:t>
      </w:r>
      <w:r>
        <w:rPr>
          <w:rFonts w:hint="eastAsia" w:ascii="宋体" w:hAnsi="宋体" w:cs="宋体"/>
          <w:b/>
          <w:bCs/>
          <w:spacing w:val="6"/>
          <w:sz w:val="24"/>
          <w:szCs w:val="24"/>
        </w:rPr>
        <w:t>取消其中标资格</w:t>
      </w:r>
      <w:r>
        <w:rPr>
          <w:rFonts w:hint="eastAsia" w:ascii="宋体" w:hAnsi="宋体"/>
          <w:b/>
          <w:bCs/>
          <w:sz w:val="24"/>
          <w:szCs w:val="24"/>
        </w:rPr>
        <w:t>，并按相关规定上报监管部门处理。</w:t>
      </w:r>
    </w:p>
    <w:p w14:paraId="10B61346">
      <w:pPr>
        <w:pStyle w:val="2"/>
        <w:rPr>
          <w:rFonts w:hint="default"/>
          <w:lang w:val="en-US" w:eastAsia="zh-CN"/>
        </w:rPr>
      </w:pPr>
    </w:p>
    <w:sectPr>
      <w:pgSz w:w="11907" w:h="16839"/>
      <w:pgMar w:top="1440" w:right="1080" w:bottom="1440" w:left="1080" w:header="851" w:footer="992" w:gutter="0"/>
      <w:pgNumType w:fmt="decimal"/>
      <w:cols w:space="0" w:num="1"/>
      <w:rtlGutter w:val="0"/>
      <w:docGrid w:type="lines" w:linePitch="3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C90C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E55CB9">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E55CB9">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9287A"/>
    <w:multiLevelType w:val="singleLevel"/>
    <w:tmpl w:val="80B9287A"/>
    <w:lvl w:ilvl="0" w:tentative="0">
      <w:start w:val="1"/>
      <w:numFmt w:val="decimal"/>
      <w:suff w:val="nothing"/>
      <w:lvlText w:val="%1、"/>
      <w:lvlJc w:val="left"/>
    </w:lvl>
  </w:abstractNum>
  <w:abstractNum w:abstractNumId="1">
    <w:nsid w:val="834196FF"/>
    <w:multiLevelType w:val="singleLevel"/>
    <w:tmpl w:val="834196FF"/>
    <w:lvl w:ilvl="0" w:tentative="0">
      <w:start w:val="1"/>
      <w:numFmt w:val="decimal"/>
      <w:suff w:val="nothing"/>
      <w:lvlText w:val="%1、"/>
      <w:lvlJc w:val="left"/>
    </w:lvl>
  </w:abstractNum>
  <w:abstractNum w:abstractNumId="2">
    <w:nsid w:val="8777CE41"/>
    <w:multiLevelType w:val="singleLevel"/>
    <w:tmpl w:val="8777CE41"/>
    <w:lvl w:ilvl="0" w:tentative="0">
      <w:start w:val="1"/>
      <w:numFmt w:val="decimal"/>
      <w:suff w:val="nothing"/>
      <w:lvlText w:val="%1、"/>
      <w:lvlJc w:val="left"/>
    </w:lvl>
  </w:abstractNum>
  <w:abstractNum w:abstractNumId="3">
    <w:nsid w:val="8C11E2AC"/>
    <w:multiLevelType w:val="singleLevel"/>
    <w:tmpl w:val="8C11E2AC"/>
    <w:lvl w:ilvl="0" w:tentative="0">
      <w:start w:val="1"/>
      <w:numFmt w:val="decimal"/>
      <w:suff w:val="nothing"/>
      <w:lvlText w:val="%1、"/>
      <w:lvlJc w:val="left"/>
    </w:lvl>
  </w:abstractNum>
  <w:abstractNum w:abstractNumId="4">
    <w:nsid w:val="90F7C4CB"/>
    <w:multiLevelType w:val="singleLevel"/>
    <w:tmpl w:val="90F7C4CB"/>
    <w:lvl w:ilvl="0" w:tentative="0">
      <w:start w:val="1"/>
      <w:numFmt w:val="chineseCounting"/>
      <w:suff w:val="nothing"/>
      <w:lvlText w:val="%1、"/>
      <w:lvlJc w:val="left"/>
      <w:rPr>
        <w:rFonts w:hint="eastAsia"/>
      </w:rPr>
    </w:lvl>
  </w:abstractNum>
  <w:abstractNum w:abstractNumId="5">
    <w:nsid w:val="933710D5"/>
    <w:multiLevelType w:val="singleLevel"/>
    <w:tmpl w:val="933710D5"/>
    <w:lvl w:ilvl="0" w:tentative="0">
      <w:start w:val="2"/>
      <w:numFmt w:val="decimal"/>
      <w:suff w:val="nothing"/>
      <w:lvlText w:val="%1、"/>
      <w:lvlJc w:val="left"/>
    </w:lvl>
  </w:abstractNum>
  <w:abstractNum w:abstractNumId="6">
    <w:nsid w:val="9E9AC171"/>
    <w:multiLevelType w:val="singleLevel"/>
    <w:tmpl w:val="9E9AC171"/>
    <w:lvl w:ilvl="0" w:tentative="0">
      <w:start w:val="4"/>
      <w:numFmt w:val="decimal"/>
      <w:suff w:val="nothing"/>
      <w:lvlText w:val="%1、"/>
      <w:lvlJc w:val="left"/>
    </w:lvl>
  </w:abstractNum>
  <w:abstractNum w:abstractNumId="7">
    <w:nsid w:val="AB6D2692"/>
    <w:multiLevelType w:val="singleLevel"/>
    <w:tmpl w:val="AB6D2692"/>
    <w:lvl w:ilvl="0" w:tentative="0">
      <w:start w:val="1"/>
      <w:numFmt w:val="chineseCounting"/>
      <w:suff w:val="nothing"/>
      <w:lvlText w:val="（%1）"/>
      <w:lvlJc w:val="left"/>
      <w:rPr>
        <w:rFonts w:hint="eastAsia"/>
      </w:rPr>
    </w:lvl>
  </w:abstractNum>
  <w:abstractNum w:abstractNumId="8">
    <w:nsid w:val="AD7F0C66"/>
    <w:multiLevelType w:val="singleLevel"/>
    <w:tmpl w:val="AD7F0C66"/>
    <w:lvl w:ilvl="0" w:tentative="0">
      <w:start w:val="1"/>
      <w:numFmt w:val="decimal"/>
      <w:suff w:val="nothing"/>
      <w:lvlText w:val="%1、"/>
      <w:lvlJc w:val="left"/>
    </w:lvl>
  </w:abstractNum>
  <w:abstractNum w:abstractNumId="9">
    <w:nsid w:val="B5FC6CDD"/>
    <w:multiLevelType w:val="singleLevel"/>
    <w:tmpl w:val="B5FC6CDD"/>
    <w:lvl w:ilvl="0" w:tentative="0">
      <w:start w:val="1"/>
      <w:numFmt w:val="decimal"/>
      <w:lvlText w:val="%1."/>
      <w:lvlJc w:val="left"/>
      <w:pPr>
        <w:tabs>
          <w:tab w:val="left" w:pos="312"/>
        </w:tabs>
      </w:pPr>
    </w:lvl>
  </w:abstractNum>
  <w:abstractNum w:abstractNumId="10">
    <w:nsid w:val="E9D1AE4B"/>
    <w:multiLevelType w:val="singleLevel"/>
    <w:tmpl w:val="E9D1AE4B"/>
    <w:lvl w:ilvl="0" w:tentative="0">
      <w:start w:val="1"/>
      <w:numFmt w:val="chineseCounting"/>
      <w:suff w:val="nothing"/>
      <w:lvlText w:val="%1、"/>
      <w:lvlJc w:val="left"/>
      <w:rPr>
        <w:rFonts w:hint="eastAsia"/>
      </w:rPr>
    </w:lvl>
  </w:abstractNum>
  <w:abstractNum w:abstractNumId="11">
    <w:nsid w:val="02807375"/>
    <w:multiLevelType w:val="singleLevel"/>
    <w:tmpl w:val="02807375"/>
    <w:lvl w:ilvl="0" w:tentative="0">
      <w:start w:val="1"/>
      <w:numFmt w:val="chineseCounting"/>
      <w:suff w:val="nothing"/>
      <w:lvlText w:val="%1、"/>
      <w:lvlJc w:val="left"/>
      <w:rPr>
        <w:rFonts w:hint="eastAsia"/>
      </w:rPr>
    </w:lvl>
  </w:abstractNum>
  <w:abstractNum w:abstractNumId="12">
    <w:nsid w:val="0F00BF93"/>
    <w:multiLevelType w:val="singleLevel"/>
    <w:tmpl w:val="0F00BF93"/>
    <w:lvl w:ilvl="0" w:tentative="0">
      <w:start w:val="1"/>
      <w:numFmt w:val="decimal"/>
      <w:suff w:val="nothing"/>
      <w:lvlText w:val="%1、"/>
      <w:lvlJc w:val="left"/>
    </w:lvl>
  </w:abstractNum>
  <w:abstractNum w:abstractNumId="13">
    <w:nsid w:val="22F20148"/>
    <w:multiLevelType w:val="singleLevel"/>
    <w:tmpl w:val="22F20148"/>
    <w:lvl w:ilvl="0" w:tentative="0">
      <w:start w:val="1"/>
      <w:numFmt w:val="decimal"/>
      <w:suff w:val="space"/>
      <w:lvlText w:val="%1."/>
      <w:lvlJc w:val="left"/>
    </w:lvl>
  </w:abstractNum>
  <w:abstractNum w:abstractNumId="14">
    <w:nsid w:val="3C84DA06"/>
    <w:multiLevelType w:val="singleLevel"/>
    <w:tmpl w:val="3C84DA06"/>
    <w:lvl w:ilvl="0" w:tentative="0">
      <w:start w:val="1"/>
      <w:numFmt w:val="decimal"/>
      <w:lvlText w:val="%1."/>
      <w:lvlJc w:val="left"/>
      <w:pPr>
        <w:tabs>
          <w:tab w:val="left" w:pos="312"/>
        </w:tabs>
      </w:pPr>
    </w:lvl>
  </w:abstractNum>
  <w:abstractNum w:abstractNumId="15">
    <w:nsid w:val="479FD5A7"/>
    <w:multiLevelType w:val="singleLevel"/>
    <w:tmpl w:val="479FD5A7"/>
    <w:lvl w:ilvl="0" w:tentative="0">
      <w:start w:val="1"/>
      <w:numFmt w:val="decimal"/>
      <w:suff w:val="nothing"/>
      <w:lvlText w:val="%1、"/>
      <w:lvlJc w:val="left"/>
    </w:lvl>
  </w:abstractNum>
  <w:abstractNum w:abstractNumId="16">
    <w:nsid w:val="49C89081"/>
    <w:multiLevelType w:val="singleLevel"/>
    <w:tmpl w:val="49C89081"/>
    <w:lvl w:ilvl="0" w:tentative="0">
      <w:start w:val="1"/>
      <w:numFmt w:val="decimal"/>
      <w:suff w:val="space"/>
      <w:lvlText w:val="%1."/>
      <w:lvlJc w:val="left"/>
    </w:lvl>
  </w:abstractNum>
  <w:abstractNum w:abstractNumId="17">
    <w:nsid w:val="6AB1A6E9"/>
    <w:multiLevelType w:val="singleLevel"/>
    <w:tmpl w:val="6AB1A6E9"/>
    <w:lvl w:ilvl="0" w:tentative="0">
      <w:start w:val="1"/>
      <w:numFmt w:val="chineseCounting"/>
      <w:suff w:val="nothing"/>
      <w:lvlText w:val="%1、"/>
      <w:lvlJc w:val="left"/>
      <w:rPr>
        <w:rFonts w:hint="eastAsia"/>
      </w:rPr>
    </w:lvl>
  </w:abstractNum>
  <w:num w:numId="1">
    <w:abstractNumId w:val="7"/>
  </w:num>
  <w:num w:numId="2">
    <w:abstractNumId w:val="4"/>
  </w:num>
  <w:num w:numId="3">
    <w:abstractNumId w:val="1"/>
  </w:num>
  <w:num w:numId="4">
    <w:abstractNumId w:val="8"/>
  </w:num>
  <w:num w:numId="5">
    <w:abstractNumId w:val="3"/>
  </w:num>
  <w:num w:numId="6">
    <w:abstractNumId w:val="12"/>
  </w:num>
  <w:num w:numId="7">
    <w:abstractNumId w:val="11"/>
  </w:num>
  <w:num w:numId="8">
    <w:abstractNumId w:val="0"/>
  </w:num>
  <w:num w:numId="9">
    <w:abstractNumId w:val="17"/>
  </w:num>
  <w:num w:numId="10">
    <w:abstractNumId w:val="16"/>
  </w:num>
  <w:num w:numId="11">
    <w:abstractNumId w:val="9"/>
  </w:num>
  <w:num w:numId="12">
    <w:abstractNumId w:val="10"/>
  </w:num>
  <w:num w:numId="13">
    <w:abstractNumId w:val="13"/>
  </w:num>
  <w:num w:numId="14">
    <w:abstractNumId w:val="14"/>
  </w:num>
  <w:num w:numId="15">
    <w:abstractNumId w:val="15"/>
  </w:num>
  <w:num w:numId="16">
    <w:abstractNumId w:val="6"/>
  </w:num>
  <w:num w:numId="17">
    <w:abstractNumId w:val="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wMGVlZjQ1ZTYyMWE0Y2JlZTVjMGJmM2ZiZmU0NTYifQ=="/>
  </w:docVars>
  <w:rsids>
    <w:rsidRoot w:val="30E824F1"/>
    <w:rsid w:val="0B6F575C"/>
    <w:rsid w:val="0D336E17"/>
    <w:rsid w:val="11CB2654"/>
    <w:rsid w:val="12030C5A"/>
    <w:rsid w:val="12723B13"/>
    <w:rsid w:val="141A1E64"/>
    <w:rsid w:val="165A3393"/>
    <w:rsid w:val="1732540E"/>
    <w:rsid w:val="18D00C4D"/>
    <w:rsid w:val="1D644781"/>
    <w:rsid w:val="1D6C7183"/>
    <w:rsid w:val="1D85065F"/>
    <w:rsid w:val="1E826599"/>
    <w:rsid w:val="24761F09"/>
    <w:rsid w:val="25040CE1"/>
    <w:rsid w:val="25B55AFD"/>
    <w:rsid w:val="2C7E7C57"/>
    <w:rsid w:val="30E824F1"/>
    <w:rsid w:val="32AD127B"/>
    <w:rsid w:val="33746867"/>
    <w:rsid w:val="363148C1"/>
    <w:rsid w:val="38C075B5"/>
    <w:rsid w:val="3AA1555E"/>
    <w:rsid w:val="3D403322"/>
    <w:rsid w:val="43340CAB"/>
    <w:rsid w:val="4D217801"/>
    <w:rsid w:val="4EF73F41"/>
    <w:rsid w:val="4F193292"/>
    <w:rsid w:val="55122C8B"/>
    <w:rsid w:val="5F001FC2"/>
    <w:rsid w:val="64AE7377"/>
    <w:rsid w:val="70737109"/>
    <w:rsid w:val="721C57D1"/>
    <w:rsid w:val="72DF6326"/>
    <w:rsid w:val="76714C4F"/>
    <w:rsid w:val="7C464664"/>
    <w:rsid w:val="7D5B7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25" w:afterLines="25" w:line="360" w:lineRule="exact"/>
      <w:jc w:val="center"/>
    </w:pPr>
    <w:rPr>
      <w:rFonts w:ascii="仿宋_GB2312" w:hAnsi="宋体" w:eastAsia="仿宋_GB2312"/>
      <w:color w:val="000000"/>
      <w:kern w:val="44"/>
      <w:sz w:val="32"/>
      <w:szCs w:val="32"/>
    </w:rPr>
  </w:style>
  <w:style w:type="paragraph" w:styleId="6">
    <w:name w:val="annotation text"/>
    <w:basedOn w:val="1"/>
    <w:qFormat/>
    <w:uiPriority w:val="99"/>
    <w:pPr>
      <w:jc w:val="left"/>
    </w:pPr>
    <w:rPr>
      <w:rFonts w:ascii="Times New Roman" w:hAnsi="Times New Roman"/>
      <w:kern w:val="0"/>
      <w:sz w:val="20"/>
    </w:rPr>
  </w:style>
  <w:style w:type="paragraph" w:styleId="7">
    <w:name w:val="Body Text"/>
    <w:basedOn w:val="1"/>
    <w:next w:val="1"/>
    <w:qFormat/>
    <w:uiPriority w:val="0"/>
    <w:pPr>
      <w:spacing w:after="120"/>
    </w:pPr>
  </w:style>
  <w:style w:type="paragraph" w:styleId="8">
    <w:name w:val="Body Text Indent"/>
    <w:basedOn w:val="1"/>
    <w:unhideWhenUsed/>
    <w:qFormat/>
    <w:uiPriority w:val="99"/>
    <w:pPr>
      <w:spacing w:after="120"/>
      <w:ind w:left="420" w:leftChars="200"/>
    </w:pPr>
  </w:style>
  <w:style w:type="paragraph" w:styleId="9">
    <w:name w:val="Plain Text"/>
    <w:basedOn w:val="1"/>
    <w:qFormat/>
    <w:uiPriority w:val="99"/>
    <w:rPr>
      <w:rFonts w:ascii="宋体" w:hAnsi="Courier New"/>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toc 2"/>
    <w:basedOn w:val="1"/>
    <w:next w:val="1"/>
    <w:qFormat/>
    <w:uiPriority w:val="39"/>
    <w:pPr>
      <w:tabs>
        <w:tab w:val="right" w:leader="dot" w:pos="9629"/>
      </w:tabs>
    </w:pPr>
  </w:style>
  <w:style w:type="paragraph" w:styleId="13">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8"/>
    <w:next w:val="1"/>
    <w:qFormat/>
    <w:uiPriority w:val="0"/>
    <w:pPr>
      <w:spacing w:after="0"/>
      <w:ind w:firstLine="420" w:firstLineChars="200"/>
    </w:pPr>
    <w:rPr>
      <w:rFonts w:hAnsi="宋体"/>
      <w:szCs w:val="22"/>
    </w:rPr>
  </w:style>
  <w:style w:type="table" w:styleId="16">
    <w:name w:val="Table Grid"/>
    <w:basedOn w:val="15"/>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Normal Indent1"/>
    <w:basedOn w:val="1"/>
    <w:qFormat/>
    <w:uiPriority w:val="0"/>
    <w:pPr>
      <w:ind w:firstLine="420" w:firstLineChars="200"/>
    </w:pPr>
  </w:style>
  <w:style w:type="paragraph" w:customStyle="1" w:styleId="19">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paragraph" w:customStyle="1" w:styleId="20">
    <w:name w:val="正文缩进1"/>
    <w:basedOn w:val="1"/>
    <w:qFormat/>
    <w:uiPriority w:val="0"/>
    <w:pPr>
      <w:ind w:firstLine="420" w:firstLineChars="200"/>
    </w:pPr>
  </w:style>
  <w:style w:type="paragraph" w:customStyle="1" w:styleId="21">
    <w:name w:val="Default"/>
    <w:basedOn w:val="22"/>
    <w:qFormat/>
    <w:uiPriority w:val="0"/>
    <w:pPr>
      <w:widowControl w:val="0"/>
      <w:autoSpaceDE w:val="0"/>
      <w:autoSpaceDN w:val="0"/>
      <w:adjustRightInd w:val="0"/>
    </w:pPr>
    <w:rPr>
      <w:rFonts w:ascii="仿宋_GB2312" w:hAnsi="Times New Roman" w:eastAsia="仿宋_GB2312" w:cs="仿宋_GB2312"/>
      <w:sz w:val="24"/>
      <w:szCs w:val="24"/>
      <w:lang w:val="en-US" w:eastAsia="zh-CN" w:bidi="ar-SA"/>
    </w:rPr>
  </w:style>
  <w:style w:type="paragraph" w:customStyle="1" w:styleId="22">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23">
    <w:name w:val="Heading 6"/>
    <w:basedOn w:val="1"/>
    <w:autoRedefine/>
    <w:qFormat/>
    <w:uiPriority w:val="1"/>
    <w:pPr>
      <w:spacing w:before="14"/>
      <w:jc w:val="left"/>
      <w:outlineLvl w:val="6"/>
    </w:pPr>
    <w:rPr>
      <w:rFonts w:ascii="宋体" w:hAnsi="宋体"/>
      <w:kern w:val="0"/>
      <w:sz w:val="28"/>
      <w:szCs w:val="28"/>
      <w:lang w:eastAsia="en-US"/>
    </w:rPr>
  </w:style>
  <w:style w:type="paragraph" w:customStyle="1" w:styleId="24">
    <w:name w:val="表格文本"/>
    <w:basedOn w:val="1"/>
    <w:qFormat/>
    <w:uiPriority w:val="0"/>
    <w:pPr>
      <w:jc w:val="center"/>
    </w:pPr>
    <w:rPr>
      <w:rFonts w:ascii="宋体" w:hAnsi="宋体"/>
      <w:bCs/>
      <w:szCs w:val="21"/>
    </w:rPr>
  </w:style>
  <w:style w:type="paragraph" w:customStyle="1" w:styleId="25">
    <w:name w:val="CZG正文"/>
    <w:basedOn w:val="1"/>
    <w:qFormat/>
    <w:uiPriority w:val="0"/>
    <w:pPr>
      <w:spacing w:line="440" w:lineRule="exact"/>
    </w:pPr>
    <w:rPr>
      <w:rFonts w:ascii="幼圆" w:eastAsia="幼圆"/>
      <w:sz w:val="24"/>
      <w:szCs w:val="24"/>
    </w:rPr>
  </w:style>
  <w:style w:type="paragraph" w:customStyle="1" w:styleId="26">
    <w:name w:val="表格文字"/>
    <w:basedOn w:val="1"/>
    <w:qFormat/>
    <w:uiPriority w:val="0"/>
    <w:pPr>
      <w:spacing w:before="25" w:after="25"/>
      <w:jc w:val="left"/>
    </w:pPr>
    <w:rPr>
      <w:bCs/>
      <w:spacing w:val="10"/>
      <w:kern w:val="0"/>
    </w:rPr>
  </w:style>
  <w:style w:type="table" w:customStyle="1" w:styleId="27">
    <w:name w:val="Table Normal"/>
    <w:unhideWhenUsed/>
    <w:qFormat/>
    <w:uiPriority w:val="0"/>
    <w:tblPr>
      <w:tblCellMar>
        <w:top w:w="0" w:type="dxa"/>
        <w:left w:w="0" w:type="dxa"/>
        <w:bottom w:w="0" w:type="dxa"/>
        <w:right w:w="0" w:type="dxa"/>
      </w:tblCellMar>
    </w:tblPr>
  </w:style>
  <w:style w:type="paragraph" w:customStyle="1" w:styleId="28">
    <w:name w:val="msolistparagraph"/>
    <w:basedOn w:val="1"/>
    <w:qFormat/>
    <w:uiPriority w:val="0"/>
    <w:pPr>
      <w:widowControl/>
      <w:jc w:val="left"/>
    </w:pPr>
    <w:rPr>
      <w:rFonts w:ascii="宋体" w:hAnsi="宋体" w:cs="宋体"/>
      <w:kern w:val="0"/>
      <w:sz w:val="24"/>
      <w:szCs w:val="24"/>
    </w:rPr>
  </w:style>
  <w:style w:type="character" w:customStyle="1" w:styleId="29">
    <w:name w:val="font11"/>
    <w:basedOn w:val="17"/>
    <w:qFormat/>
    <w:uiPriority w:val="0"/>
    <w:rPr>
      <w:rFonts w:hint="eastAsia" w:ascii="宋体" w:hAnsi="宋体" w:eastAsia="宋体" w:cs="宋体"/>
      <w:color w:val="000000"/>
      <w:sz w:val="20"/>
      <w:szCs w:val="20"/>
      <w:u w:val="none"/>
    </w:rPr>
  </w:style>
  <w:style w:type="character" w:customStyle="1" w:styleId="30">
    <w:name w:val="font4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23210</Words>
  <Characters>29694</Characters>
  <Lines>0</Lines>
  <Paragraphs>0</Paragraphs>
  <TotalTime>4</TotalTime>
  <ScaleCrop>false</ScaleCrop>
  <LinksUpToDate>false</LinksUpToDate>
  <CharactersWithSpaces>31853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2024-08-29T02:02:00Z</dcterms:created>
  <dc:creator>AB</dc:creator>
  <cp:lastModifiedBy>Clytze</cp:lastModifiedBy>
  <dcterms:modified xsi:type="dcterms:W3CDTF">2025-07-31T09:17:54Z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0A3E46CB3592441B8CABFA120D5AF37E_13</vt:lpwstr>
  </property>
  <property fmtid="{D5CDD505-2E9C-101B-9397-08002B2CF9AE}" pid="4" name="KSOTemplateDocerSaveRecord">
    <vt:lpwstr>eyJoZGlkIjoiYzI4NDlmMDhjNjE5NThkMzI5YzUwOTM0OTg3YzQ1ZDEiLCJ1c2VySWQiOiIyODAzMzM3OTUifQ==</vt:lpwstr>
  </property>
</Properties>
</file>