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CFA18">
      <w:pPr>
        <w:pStyle w:val="2"/>
        <w:numPr>
          <w:ilvl w:val="0"/>
          <w:numId w:val="0"/>
        </w:numPr>
        <w:shd w:val="clear" w:color="auto" w:fill="auto"/>
        <w:jc w:val="both"/>
        <w:rPr>
          <w:rFonts w:hint="default"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附件</w:t>
      </w:r>
    </w:p>
    <w:p w14:paraId="728947F0">
      <w:pPr>
        <w:pStyle w:val="2"/>
        <w:numPr>
          <w:ilvl w:val="0"/>
          <w:numId w:val="0"/>
        </w:numPr>
        <w:shd w:val="clear" w:color="auto" w:fill="auto"/>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lang w:val="en-US" w:eastAsia="zh-CN" w:bidi="ar-SA"/>
        </w:rPr>
        <w:t>一、</w:t>
      </w:r>
      <w:r>
        <w:rPr>
          <w:rFonts w:hint="eastAsia" w:ascii="宋体" w:hAnsi="宋体" w:eastAsia="宋体" w:cs="宋体"/>
          <w:b/>
          <w:bCs/>
          <w:color w:val="auto"/>
          <w:kern w:val="2"/>
          <w:sz w:val="32"/>
          <w:szCs w:val="32"/>
          <w:highlight w:val="none"/>
          <w:lang w:val="en-US" w:eastAsia="zh-CN" w:bidi="ar-SA"/>
        </w:rPr>
        <w:t>资格要求</w:t>
      </w:r>
    </w:p>
    <w:p w14:paraId="0381334C">
      <w:pPr>
        <w:pStyle w:val="8"/>
        <w:keepNext w:val="0"/>
        <w:keepLines w:val="0"/>
        <w:pageBreakBefore w:val="0"/>
        <w:kinsoku/>
        <w:wordWrap/>
        <w:overflowPunct/>
        <w:topLinePunct w:val="0"/>
        <w:bidi w:val="0"/>
        <w:spacing w:line="380" w:lineRule="exact"/>
        <w:ind w:firstLine="498"/>
        <w:textAlignment w:val="auto"/>
        <w:outlineLvl w:val="9"/>
        <w:rPr>
          <w:rFonts w:ascii="宋体" w:hAnsi="宋体"/>
          <w:b/>
          <w:color w:val="auto"/>
          <w:spacing w:val="4"/>
          <w:sz w:val="24"/>
          <w:szCs w:val="24"/>
          <w:highlight w:val="none"/>
        </w:rPr>
      </w:pPr>
      <w:r>
        <w:rPr>
          <w:rFonts w:hint="eastAsia" w:ascii="宋体" w:hAnsi="宋体"/>
          <w:b/>
          <w:color w:val="auto"/>
          <w:spacing w:val="4"/>
          <w:sz w:val="24"/>
          <w:szCs w:val="24"/>
          <w:highlight w:val="none"/>
        </w:rPr>
        <w:t>1、申请人满足以下资格规定的条件；</w:t>
      </w:r>
    </w:p>
    <w:p w14:paraId="71899499">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（一）具有独立承担民事责任的能力：提供法人或者其他组织的营业执照，法人授权委托书及委托代理人身份证（法定代表人参加则只需提供身份证），自然人投标提供身份证明。</w:t>
      </w:r>
    </w:p>
    <w:p w14:paraId="4E63585E">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（二）具有良好的商业信誉和健全的财务会计制度：提供202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年度或202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年度审计报告，或者提供</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截止时间前一个月内开户银行出具的资信证明</w:t>
      </w:r>
      <w:r>
        <w:rPr>
          <w:rFonts w:hint="eastAsia" w:ascii="宋体" w:eastAsia="宋体" w:cs="宋体"/>
          <w:b/>
          <w:bCs/>
          <w:color w:val="auto"/>
          <w:sz w:val="24"/>
          <w:szCs w:val="24"/>
          <w:highlight w:val="none"/>
          <w:lang w:eastAsia="zh-CN"/>
        </w:rPr>
        <w:t>（提供资信证明的须同时提供开户许可证或基本存款账户信息）</w:t>
      </w:r>
      <w:r>
        <w:rPr>
          <w:rFonts w:hint="eastAsia" w:ascii="宋体" w:hAnsi="宋体" w:cs="宋体"/>
          <w:color w:val="auto"/>
          <w:sz w:val="24"/>
          <w:highlight w:val="none"/>
        </w:rPr>
        <w:t>，提供任一种均可。</w:t>
      </w:r>
    </w:p>
    <w:p w14:paraId="7599D944">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（三）具有履行合同所必需的设备和专业技术能力；提供承诺函。</w:t>
      </w:r>
    </w:p>
    <w:p w14:paraId="3E1F9457">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（四）有依法缴纳税收和社会保障资金的良好记录：</w:t>
      </w:r>
    </w:p>
    <w:p w14:paraId="38F91F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、有依法缴纳税收的良好记录【提供开标</w:t>
      </w:r>
      <w:r>
        <w:rPr>
          <w:rFonts w:hint="eastAsia" w:ascii="宋体" w:hAnsi="宋体" w:cs="宋体"/>
          <w:color w:val="auto"/>
          <w:sz w:val="24"/>
          <w:highlight w:val="none"/>
          <w:lang w:val="en-US" w:eastAsia="zh-CN"/>
        </w:rPr>
        <w:t>当月</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六个月</w:t>
      </w:r>
      <w:r>
        <w:rPr>
          <w:rFonts w:hint="eastAsia" w:ascii="宋体" w:hAnsi="宋体" w:cs="宋体"/>
          <w:color w:val="auto"/>
          <w:sz w:val="24"/>
          <w:highlight w:val="none"/>
          <w:lang w:val="en-US" w:eastAsia="zh-CN"/>
        </w:rPr>
        <w:t>任意一个月</w:t>
      </w:r>
      <w:r>
        <w:rPr>
          <w:rFonts w:hint="eastAsia" w:ascii="宋体" w:hAnsi="宋体" w:cs="宋体"/>
          <w:color w:val="auto"/>
          <w:sz w:val="24"/>
          <w:highlight w:val="none"/>
        </w:rPr>
        <w:t>的依法缴纳税收的证明（纳税发票、银行纳税转帐凭证、税务局出具的纳税证明，提供任一种均可）】；</w:t>
      </w:r>
    </w:p>
    <w:p w14:paraId="760A5A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、有依法缴纳社会保障资金的良好记录【提供开标</w:t>
      </w:r>
      <w:r>
        <w:rPr>
          <w:rFonts w:hint="eastAsia" w:ascii="宋体" w:hAnsi="宋体" w:cs="宋体"/>
          <w:color w:val="auto"/>
          <w:sz w:val="24"/>
          <w:highlight w:val="none"/>
          <w:lang w:val="en-US" w:eastAsia="zh-CN"/>
        </w:rPr>
        <w:t>当月</w:t>
      </w:r>
      <w:r>
        <w:rPr>
          <w:rFonts w:hint="eastAsia" w:ascii="宋体" w:hAnsi="宋体" w:cs="宋体"/>
          <w:color w:val="auto"/>
          <w:sz w:val="24"/>
          <w:highlight w:val="none"/>
        </w:rPr>
        <w:t>前</w:t>
      </w:r>
      <w:r>
        <w:rPr>
          <w:rFonts w:hint="eastAsia" w:ascii="宋体" w:hAnsi="宋体" w:cs="宋体"/>
          <w:color w:val="auto"/>
          <w:sz w:val="24"/>
          <w:highlight w:val="none"/>
          <w:lang w:val="en-US" w:eastAsia="zh-CN"/>
        </w:rPr>
        <w:t>近</w:t>
      </w:r>
      <w:r>
        <w:rPr>
          <w:rFonts w:hint="eastAsia" w:ascii="宋体" w:hAnsi="宋体" w:cs="宋体"/>
          <w:color w:val="auto"/>
          <w:sz w:val="24"/>
          <w:highlight w:val="none"/>
        </w:rPr>
        <w:t>六个月</w:t>
      </w:r>
      <w:r>
        <w:rPr>
          <w:rFonts w:hint="eastAsia" w:ascii="宋体" w:hAnsi="宋体" w:cs="宋体"/>
          <w:color w:val="auto"/>
          <w:sz w:val="24"/>
          <w:highlight w:val="none"/>
          <w:lang w:val="en-US" w:eastAsia="zh-CN"/>
        </w:rPr>
        <w:t>任意一个月</w:t>
      </w:r>
      <w:r>
        <w:rPr>
          <w:rFonts w:hint="eastAsia" w:ascii="宋体" w:hAnsi="宋体" w:cs="宋体"/>
          <w:color w:val="auto"/>
          <w:sz w:val="24"/>
          <w:highlight w:val="none"/>
        </w:rPr>
        <w:t>的缴纳社会保障资金的证明（社保缴纳发票、缴纳社保的银行转帐凭证、社保局或税务局出具的正常缴纳社保证明，提供任一种均可）】；</w:t>
      </w:r>
    </w:p>
    <w:p w14:paraId="006D6A78">
      <w:pPr>
        <w:shd w:val="clear" w:color="auto" w:fill="auto"/>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（五）参加政府招标活动前三年内，在经营活动中没有重大违法记录：提供供应商的自我书面声明。</w:t>
      </w:r>
    </w:p>
    <w:p w14:paraId="137E830C">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（六）法律、行政法规规定的其他条件: </w:t>
      </w:r>
      <w:bookmarkStart w:id="0" w:name="_GoBack"/>
      <w:bookmarkEnd w:id="0"/>
    </w:p>
    <w:p w14:paraId="5822A826">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①单位负责人为同一人或者存在直接控股、管理关系的不同供应商，不得参加同一合同项下的采购活动；(告知项) </w:t>
      </w:r>
    </w:p>
    <w:p w14:paraId="5847040C">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②为采购项目提供整体设计、规范编制或者项目管理、监理、检测等服务的投标人不得参加该采购项目的采购活动；(告知项) </w:t>
      </w:r>
    </w:p>
    <w:p w14:paraId="5FB1866D">
      <w:pPr>
        <w:shd w:val="clear" w:color="auto" w:fill="auto"/>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③供应商被“信用中国”网站列入失信被执行人和重大税收违法失信主体的、被“中国政府采购网”网站列入政府采购严重违法失信行为记录名单 (处罚期限尚未届满的)，不得参与本项目的采购活动。(告知项) </w:t>
      </w:r>
    </w:p>
    <w:p w14:paraId="105533BB">
      <w:pPr>
        <w:pStyle w:val="4"/>
        <w:spacing w:before="0" w:beforeAutospacing="0" w:after="0" w:afterAutospacing="0" w:line="420" w:lineRule="exact"/>
        <w:ind w:firstLine="482" w:firstLineChars="200"/>
        <w:jc w:val="both"/>
        <w:rPr>
          <w:rFonts w:hint="default"/>
          <w:lang w:val="en-US"/>
        </w:rPr>
      </w:pPr>
      <w:r>
        <w:rPr>
          <w:rFonts w:hint="eastAsia" w:cs="仿宋"/>
          <w:b/>
          <w:bCs/>
          <w:color w:val="auto"/>
          <w:highlight w:val="none"/>
        </w:rPr>
        <w:t>注：以上资格证明响应文件中提供复印件加盖公章，法人授权书及代理人身份证须提供原件（法人授权书原件允许装订入响应文件中），并对其真实性负责。</w:t>
      </w:r>
    </w:p>
    <w:p w14:paraId="596912F4">
      <w:pPr>
        <w:pStyle w:val="2"/>
        <w:numPr>
          <w:ilvl w:val="0"/>
          <w:numId w:val="0"/>
        </w:numPr>
        <w:shd w:val="clear" w:color="auto" w:fill="auto"/>
        <w:jc w:val="both"/>
        <w:rPr>
          <w:rFonts w:hint="default"/>
          <w:lang w:val="en-US"/>
        </w:rPr>
      </w:pPr>
      <w:r>
        <w:rPr>
          <w:rFonts w:hint="eastAsia" w:ascii="宋体" w:hAnsi="宋体" w:eastAsia="宋体" w:cs="宋体"/>
          <w:b/>
          <w:bCs/>
          <w:color w:val="auto"/>
          <w:kern w:val="2"/>
          <w:sz w:val="32"/>
          <w:szCs w:val="32"/>
          <w:lang w:val="en-US" w:eastAsia="zh-CN" w:bidi="ar-SA"/>
        </w:rPr>
        <w:t>二、技术</w:t>
      </w:r>
      <w:r>
        <w:rPr>
          <w:rFonts w:hint="eastAsia" w:ascii="宋体" w:hAnsi="宋体" w:eastAsia="宋体" w:cs="宋体"/>
          <w:b/>
          <w:bCs/>
          <w:color w:val="auto"/>
          <w:kern w:val="2"/>
          <w:sz w:val="32"/>
          <w:szCs w:val="32"/>
          <w:highlight w:val="none"/>
          <w:lang w:val="en-US" w:eastAsia="zh-CN" w:bidi="ar-SA"/>
        </w:rPr>
        <w:t>要求</w:t>
      </w:r>
    </w:p>
    <w:p w14:paraId="66D92C9E">
      <w:pPr>
        <w:numPr>
          <w:ilvl w:val="0"/>
          <w:numId w:val="0"/>
        </w:numPr>
        <w:snapToGrid w:val="0"/>
        <w:spacing w:line="336" w:lineRule="auto"/>
        <w:ind w:right="519" w:rightChars="247"/>
        <w:outlineLvl w:val="9"/>
        <w:rPr>
          <w:rFonts w:hint="default"/>
          <w:lang w:val="en-US" w:eastAsia="zh-CN"/>
        </w:rPr>
      </w:pPr>
      <w:r>
        <w:rPr>
          <w:rFonts w:hint="eastAsia" w:ascii="宋体" w:hAnsi="宋体"/>
          <w:b/>
          <w:color w:val="auto"/>
          <w:sz w:val="33"/>
          <w:highlight w:val="none"/>
          <w:lang w:eastAsia="zh-CN"/>
        </w:rPr>
        <w:t>（</w:t>
      </w:r>
      <w:r>
        <w:rPr>
          <w:rFonts w:hint="eastAsia" w:ascii="宋体" w:hAnsi="宋体"/>
          <w:b/>
          <w:color w:val="auto"/>
          <w:sz w:val="33"/>
          <w:highlight w:val="none"/>
          <w:lang w:val="en-US" w:eastAsia="zh-CN"/>
        </w:rPr>
        <w:t>1</w:t>
      </w:r>
      <w:r>
        <w:rPr>
          <w:rFonts w:hint="eastAsia" w:ascii="宋体" w:hAnsi="宋体"/>
          <w:b/>
          <w:color w:val="auto"/>
          <w:sz w:val="33"/>
          <w:highlight w:val="none"/>
          <w:lang w:eastAsia="zh-CN"/>
        </w:rPr>
        <w:t>）</w:t>
      </w:r>
      <w:r>
        <w:rPr>
          <w:rFonts w:hint="eastAsia" w:ascii="宋体" w:hAnsi="宋体"/>
          <w:b/>
          <w:color w:val="auto"/>
          <w:sz w:val="33"/>
          <w:highlight w:val="none"/>
          <w:lang w:val="en-US" w:eastAsia="zh-CN"/>
        </w:rPr>
        <w:t>采购清单</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1857"/>
        <w:gridCol w:w="3922"/>
        <w:gridCol w:w="915"/>
        <w:gridCol w:w="953"/>
      </w:tblGrid>
      <w:tr w14:paraId="3E02E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noWrap w:val="0"/>
            <w:vAlign w:val="center"/>
          </w:tcPr>
          <w:p w14:paraId="72425F97">
            <w:pPr>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序号</w:t>
            </w:r>
          </w:p>
        </w:tc>
        <w:tc>
          <w:tcPr>
            <w:tcW w:w="1090" w:type="pct"/>
            <w:noWrap w:val="0"/>
            <w:vAlign w:val="center"/>
          </w:tcPr>
          <w:p w14:paraId="673D40F9">
            <w:pPr>
              <w:tabs>
                <w:tab w:val="left" w:pos="148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货物</w:t>
            </w:r>
            <w:r>
              <w:rPr>
                <w:rFonts w:hint="eastAsia" w:ascii="宋体" w:hAnsi="宋体" w:eastAsia="宋体" w:cs="宋体"/>
                <w:b w:val="0"/>
                <w:bCs/>
                <w:color w:val="auto"/>
                <w:sz w:val="24"/>
                <w:szCs w:val="24"/>
                <w:highlight w:val="none"/>
                <w:vertAlign w:val="baseline"/>
              </w:rPr>
              <w:t>名称</w:t>
            </w:r>
          </w:p>
        </w:tc>
        <w:tc>
          <w:tcPr>
            <w:tcW w:w="2302" w:type="pct"/>
            <w:noWrap w:val="0"/>
            <w:vAlign w:val="center"/>
          </w:tcPr>
          <w:p w14:paraId="736DC5CE">
            <w:pPr>
              <w:tabs>
                <w:tab w:val="left" w:pos="190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技术参数</w:t>
            </w:r>
          </w:p>
        </w:tc>
        <w:tc>
          <w:tcPr>
            <w:tcW w:w="537" w:type="pct"/>
            <w:noWrap w:val="0"/>
            <w:vAlign w:val="center"/>
          </w:tcPr>
          <w:p w14:paraId="0C99AB37">
            <w:pPr>
              <w:tabs>
                <w:tab w:val="left" w:pos="2100"/>
              </w:tabs>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rPr>
              <w:t>单位</w:t>
            </w:r>
          </w:p>
        </w:tc>
        <w:tc>
          <w:tcPr>
            <w:tcW w:w="556" w:type="pct"/>
            <w:noWrap w:val="0"/>
            <w:vAlign w:val="center"/>
          </w:tcPr>
          <w:p w14:paraId="20C8469E">
            <w:pPr>
              <w:snapToGrid w:val="0"/>
              <w:spacing w:line="336" w:lineRule="auto"/>
              <w:ind w:right="-128" w:rightChars="-61"/>
              <w:jc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数</w:t>
            </w:r>
            <w:r>
              <w:rPr>
                <w:rFonts w:hint="eastAsia" w:ascii="宋体" w:hAnsi="宋体" w:eastAsia="宋体" w:cs="宋体"/>
                <w:b w:val="0"/>
                <w:bCs/>
                <w:color w:val="auto"/>
                <w:sz w:val="24"/>
                <w:szCs w:val="24"/>
                <w:highlight w:val="none"/>
                <w:vertAlign w:val="baseline"/>
              </w:rPr>
              <w:t>量</w:t>
            </w:r>
          </w:p>
        </w:tc>
      </w:tr>
      <w:tr w14:paraId="4636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noWrap w:val="0"/>
            <w:vAlign w:val="center"/>
          </w:tcPr>
          <w:p w14:paraId="7CE6CCFC">
            <w:pPr>
              <w:snapToGrid w:val="0"/>
              <w:spacing w:line="336" w:lineRule="auto"/>
              <w:ind w:right="-109" w:rightChars="-52"/>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1</w:t>
            </w:r>
          </w:p>
        </w:tc>
        <w:tc>
          <w:tcPr>
            <w:tcW w:w="1090" w:type="pct"/>
            <w:noWrap w:val="0"/>
            <w:vAlign w:val="center"/>
          </w:tcPr>
          <w:p w14:paraId="04FD6EDF">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压缩车</w:t>
            </w:r>
          </w:p>
        </w:tc>
        <w:tc>
          <w:tcPr>
            <w:tcW w:w="2302" w:type="pct"/>
            <w:noWrap w:val="0"/>
            <w:vAlign w:val="center"/>
          </w:tcPr>
          <w:p w14:paraId="4DC55285">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详见（二）技术参数要求</w:t>
            </w:r>
          </w:p>
        </w:tc>
        <w:tc>
          <w:tcPr>
            <w:tcW w:w="537" w:type="pct"/>
            <w:noWrap w:val="0"/>
            <w:vAlign w:val="center"/>
          </w:tcPr>
          <w:p w14:paraId="25801CC9">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辆</w:t>
            </w:r>
          </w:p>
        </w:tc>
        <w:tc>
          <w:tcPr>
            <w:tcW w:w="556" w:type="pct"/>
            <w:noWrap w:val="0"/>
            <w:vAlign w:val="center"/>
          </w:tcPr>
          <w:p w14:paraId="1C923EB0">
            <w:pPr>
              <w:keepNext w:val="0"/>
              <w:keepLines w:val="0"/>
              <w:widowControl/>
              <w:suppressLineNumbers w:val="0"/>
              <w:jc w:val="center"/>
              <w:textAlignment w:val="center"/>
              <w:rPr>
                <w:rFonts w:hint="default" w:ascii="宋体" w:hAnsi="宋体" w:eastAsia="宋体" w:cs="宋体"/>
                <w:b w:val="0"/>
                <w:bCs/>
                <w:color w:val="auto"/>
                <w:sz w:val="24"/>
                <w:szCs w:val="24"/>
                <w:highlight w:val="none"/>
                <w:vertAlign w:val="baseline"/>
                <w:lang w:val="en-US"/>
              </w:rPr>
            </w:pPr>
            <w:r>
              <w:rPr>
                <w:rFonts w:hint="eastAsia" w:ascii="宋体" w:hAnsi="宋体" w:eastAsia="宋体" w:cs="宋体"/>
                <w:i w:val="0"/>
                <w:iCs w:val="0"/>
                <w:color w:val="auto"/>
                <w:kern w:val="0"/>
                <w:sz w:val="24"/>
                <w:szCs w:val="24"/>
                <w:highlight w:val="none"/>
                <w:u w:val="none"/>
                <w:lang w:val="en-US" w:eastAsia="zh-CN" w:bidi="ar"/>
              </w:rPr>
              <w:t>1</w:t>
            </w:r>
          </w:p>
        </w:tc>
      </w:tr>
      <w:tr w14:paraId="67C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noWrap w:val="0"/>
            <w:vAlign w:val="center"/>
          </w:tcPr>
          <w:p w14:paraId="2AE5ABA3">
            <w:pPr>
              <w:snapToGrid w:val="0"/>
              <w:spacing w:line="336" w:lineRule="auto"/>
              <w:ind w:right="-109" w:rightChars="-52"/>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2</w:t>
            </w:r>
          </w:p>
        </w:tc>
        <w:tc>
          <w:tcPr>
            <w:tcW w:w="1090" w:type="pct"/>
            <w:noWrap w:val="0"/>
            <w:vAlign w:val="center"/>
          </w:tcPr>
          <w:p w14:paraId="13FFE09D">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小型自装卸式垃圾车</w:t>
            </w:r>
          </w:p>
        </w:tc>
        <w:tc>
          <w:tcPr>
            <w:tcW w:w="2302" w:type="pct"/>
            <w:noWrap w:val="0"/>
            <w:vAlign w:val="center"/>
          </w:tcPr>
          <w:p w14:paraId="24475C51">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详见（二）技术参数要求</w:t>
            </w:r>
          </w:p>
        </w:tc>
        <w:tc>
          <w:tcPr>
            <w:tcW w:w="537" w:type="pct"/>
            <w:noWrap w:val="0"/>
            <w:vAlign w:val="center"/>
          </w:tcPr>
          <w:p w14:paraId="77349ADC">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辆</w:t>
            </w:r>
          </w:p>
        </w:tc>
        <w:tc>
          <w:tcPr>
            <w:tcW w:w="556" w:type="pct"/>
            <w:noWrap w:val="0"/>
            <w:vAlign w:val="center"/>
          </w:tcPr>
          <w:p w14:paraId="669B0B56">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2E0A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512" w:type="pct"/>
            <w:noWrap w:val="0"/>
            <w:vAlign w:val="center"/>
          </w:tcPr>
          <w:p w14:paraId="4185BAF3">
            <w:pPr>
              <w:snapToGrid w:val="0"/>
              <w:spacing w:line="336" w:lineRule="auto"/>
              <w:ind w:right="-109" w:rightChars="-52"/>
              <w:jc w:val="center"/>
              <w:rPr>
                <w:rFonts w:hint="eastAsia" w:ascii="宋体" w:hAnsi="宋体" w:eastAsia="宋体" w:cs="宋体"/>
                <w:b w:val="0"/>
                <w:bCs/>
                <w:color w:val="auto"/>
                <w:sz w:val="24"/>
                <w:szCs w:val="24"/>
                <w:highlight w:val="none"/>
                <w:vertAlign w:val="baseline"/>
                <w:lang w:val="en-US" w:eastAsia="zh-CN"/>
              </w:rPr>
            </w:pPr>
            <w:r>
              <w:rPr>
                <w:rFonts w:hint="eastAsia" w:ascii="宋体" w:hAnsi="宋体" w:eastAsia="宋体" w:cs="宋体"/>
                <w:b w:val="0"/>
                <w:bCs/>
                <w:color w:val="auto"/>
                <w:sz w:val="24"/>
                <w:szCs w:val="24"/>
                <w:highlight w:val="none"/>
                <w:vertAlign w:val="baseline"/>
                <w:lang w:val="en-US" w:eastAsia="zh-CN"/>
              </w:rPr>
              <w:t>3</w:t>
            </w:r>
          </w:p>
        </w:tc>
        <w:tc>
          <w:tcPr>
            <w:tcW w:w="1090" w:type="pct"/>
            <w:noWrap w:val="0"/>
            <w:vAlign w:val="center"/>
          </w:tcPr>
          <w:p w14:paraId="292DFBCE">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轻型载货专项作业车（厨余专用）</w:t>
            </w:r>
          </w:p>
        </w:tc>
        <w:tc>
          <w:tcPr>
            <w:tcW w:w="2302" w:type="pct"/>
            <w:noWrap w:val="0"/>
            <w:vAlign w:val="center"/>
          </w:tcPr>
          <w:p w14:paraId="356D3B30">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b w:val="0"/>
                <w:bCs/>
                <w:color w:val="auto"/>
                <w:sz w:val="24"/>
                <w:szCs w:val="24"/>
                <w:highlight w:val="none"/>
                <w:vertAlign w:val="baseline"/>
                <w:lang w:val="en-US" w:eastAsia="zh-CN"/>
              </w:rPr>
              <w:t>详见（二）技术参数要求</w:t>
            </w:r>
          </w:p>
        </w:tc>
        <w:tc>
          <w:tcPr>
            <w:tcW w:w="537" w:type="pct"/>
            <w:noWrap w:val="0"/>
            <w:vAlign w:val="center"/>
          </w:tcPr>
          <w:p w14:paraId="29F40BB3">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辆</w:t>
            </w:r>
          </w:p>
        </w:tc>
        <w:tc>
          <w:tcPr>
            <w:tcW w:w="556" w:type="pct"/>
            <w:noWrap w:val="0"/>
            <w:vAlign w:val="center"/>
          </w:tcPr>
          <w:p w14:paraId="0ACF4EF7">
            <w:pPr>
              <w:keepNext w:val="0"/>
              <w:keepLines w:val="0"/>
              <w:widowControl/>
              <w:suppressLineNumbers w:val="0"/>
              <w:jc w:val="center"/>
              <w:textAlignment w:val="center"/>
              <w:rPr>
                <w:rFonts w:hint="eastAsia" w:ascii="宋体" w:hAnsi="宋体" w:eastAsia="宋体" w:cs="宋体"/>
                <w:b w:val="0"/>
                <w:bCs/>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2</w:t>
            </w:r>
          </w:p>
        </w:tc>
      </w:tr>
      <w:tr w14:paraId="1A4E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000" w:type="pct"/>
            <w:gridSpan w:val="5"/>
            <w:noWrap w:val="0"/>
            <w:vAlign w:val="center"/>
          </w:tcPr>
          <w:p w14:paraId="6DE297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注：投标单位本项目所提供的货物需要为同品牌</w:t>
            </w:r>
          </w:p>
        </w:tc>
      </w:tr>
    </w:tbl>
    <w:p w14:paraId="1A47C39F">
      <w:pPr>
        <w:numPr>
          <w:ilvl w:val="0"/>
          <w:numId w:val="1"/>
        </w:numPr>
        <w:snapToGrid w:val="0"/>
        <w:spacing w:line="336" w:lineRule="auto"/>
        <w:ind w:right="519" w:rightChars="247"/>
        <w:outlineLvl w:val="9"/>
        <w:rPr>
          <w:rFonts w:hint="default" w:ascii="宋体" w:hAnsi="宋体"/>
          <w:b/>
          <w:color w:val="auto"/>
          <w:sz w:val="33"/>
          <w:highlight w:val="none"/>
          <w:lang w:val="en-US" w:eastAsia="zh-CN"/>
        </w:rPr>
      </w:pPr>
      <w:r>
        <w:rPr>
          <w:rFonts w:hint="eastAsia" w:ascii="宋体" w:hAnsi="宋体"/>
          <w:b/>
          <w:color w:val="auto"/>
          <w:sz w:val="33"/>
          <w:highlight w:val="none"/>
          <w:lang w:val="en-US" w:eastAsia="zh-CN"/>
        </w:rPr>
        <w:t>技术参数要求</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088C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B7CC729">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轻型载货专项作业车（厨余专用）</w:t>
            </w:r>
          </w:p>
        </w:tc>
      </w:tr>
      <w:tr w14:paraId="637C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24B2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技术标准</w:t>
            </w:r>
          </w:p>
        </w:tc>
      </w:tr>
      <w:tr w14:paraId="4750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1DCD2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1.整车总质量≥4吨；额定载重≥1吨；整备载重≥2.5吨；</w:t>
            </w:r>
          </w:p>
        </w:tc>
      </w:tr>
      <w:tr w14:paraId="70EC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48E8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2.轴距≥2800mm；</w:t>
            </w:r>
          </w:p>
        </w:tc>
      </w:tr>
      <w:tr w14:paraId="4B0E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3580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3.底盘发动机功率≥70KW；</w:t>
            </w:r>
          </w:p>
        </w:tc>
      </w:tr>
      <w:tr w14:paraId="22DB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61C6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4.外形尺寸（长×宽×高）（mm）：≥4500×1600×2100；</w:t>
            </w:r>
          </w:p>
        </w:tc>
      </w:tr>
      <w:tr w14:paraId="3F35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81BD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5.装配方式：侧装；</w:t>
            </w:r>
          </w:p>
        </w:tc>
      </w:tr>
      <w:tr w14:paraId="362F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AC05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6.燃油：柴油，国六标准，原车配备冷暖空调；</w:t>
            </w:r>
          </w:p>
        </w:tc>
      </w:tr>
      <w:tr w14:paraId="7AD0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2B64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7.箱体最大容积≥4.5立方米；箱体有效容积≥4立方米；</w:t>
            </w:r>
          </w:p>
        </w:tc>
      </w:tr>
      <w:tr w14:paraId="08C5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E8F8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8.进料工作循环时间≤35秒；</w:t>
            </w:r>
          </w:p>
        </w:tc>
      </w:tr>
      <w:tr w14:paraId="4777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4980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9.准驾标准：符合国家标准要求，至少为B照驾驶；</w:t>
            </w:r>
          </w:p>
        </w:tc>
      </w:tr>
      <w:tr w14:paraId="7FA78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FC8E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10.箱体：采用“圆筒或椭圆式”箱体；进料口密封盖密；箱体材质采用高强度碳钢，内外部喷涂高品质防腐涂料；除箱体外主要构件采用高强度碳钢，采用静电喷涂工艺及高品质双涂。</w:t>
            </w:r>
          </w:p>
        </w:tc>
      </w:tr>
      <w:tr w14:paraId="253A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0CDC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11.垃圾装载机构：作业效率高，装置易清理维护；可提升120L、240L等标准垃圾桶；确保投料干净。</w:t>
            </w:r>
          </w:p>
        </w:tc>
      </w:tr>
      <w:tr w14:paraId="4E46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5737C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12.垃圾压缩固液分离功能：在收集的过程中就可以对厨余泔水进行固体物与油水的初步分离和挤压，实现装载的最大化。</w:t>
            </w:r>
          </w:p>
        </w:tc>
      </w:tr>
      <w:tr w14:paraId="0095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B075A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13.排料：当箱内的垃圾需要排出时，确保排料干净；打开箱体下面的放水阀，将沉淀水箱内的油、水等杂质放净；投料口、卸粉板运行中避免泔水飞溅，干净环保。</w:t>
            </w:r>
          </w:p>
        </w:tc>
      </w:tr>
      <w:tr w14:paraId="3062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49528D2">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小型自装卸式垃圾车</w:t>
            </w:r>
          </w:p>
        </w:tc>
      </w:tr>
      <w:tr w14:paraId="6D3C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F3B4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技术标准</w:t>
            </w:r>
          </w:p>
        </w:tc>
      </w:tr>
      <w:tr w14:paraId="1C68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F7EB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1.整车总质量≥3.5吨；额定载重≥0.8吨；整备载重≥2.5吨；</w:t>
            </w:r>
          </w:p>
        </w:tc>
      </w:tr>
      <w:tr w14:paraId="4D705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0AC9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2.轴距≥2800mm；</w:t>
            </w:r>
          </w:p>
        </w:tc>
      </w:tr>
      <w:tr w14:paraId="6147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F8DA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3.底盘发动机功率≥70KW；</w:t>
            </w:r>
          </w:p>
        </w:tc>
      </w:tr>
      <w:tr w14:paraId="15E2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684D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4.外形尺寸（长×宽×高）（mm）：≥4700×1600×2100；</w:t>
            </w:r>
          </w:p>
        </w:tc>
      </w:tr>
      <w:tr w14:paraId="6354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1A5DD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5.装配方式：后装；</w:t>
            </w:r>
          </w:p>
        </w:tc>
      </w:tr>
      <w:tr w14:paraId="2083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55FE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6.燃油：柴油，国六标准，原车配备冷暖空调；</w:t>
            </w:r>
          </w:p>
        </w:tc>
      </w:tr>
      <w:tr w14:paraId="724F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62355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7.准驾标准：符合国家标准要求，至少为C照驾驶</w:t>
            </w:r>
          </w:p>
        </w:tc>
      </w:tr>
      <w:tr w14:paraId="5EB1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E9C0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1.箱体一体成型，焊缝数量少。</w:t>
            </w:r>
          </w:p>
          <w:p w14:paraId="602CE1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2.有效提高垃圾装载量，采用一键式控制系统，操作简便，安全程度高。</w:t>
            </w:r>
          </w:p>
          <w:p w14:paraId="68DE36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3.采用高位自卸结构，垃圾污水不泄露，可直接与大型垃圾压缩车、移动站等进行对接，可同时适配120L、240L等垃圾桶。</w:t>
            </w:r>
          </w:p>
        </w:tc>
      </w:tr>
      <w:tr w14:paraId="04AD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1D066D7">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压缩车</w:t>
            </w:r>
          </w:p>
        </w:tc>
      </w:tr>
      <w:tr w14:paraId="7F06D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94CB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技术标准</w:t>
            </w:r>
          </w:p>
        </w:tc>
      </w:tr>
      <w:tr w14:paraId="5D84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743D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1.整车总质量≥11.5吨；额定载重≥3吨；整备载重≥6吨；</w:t>
            </w:r>
          </w:p>
        </w:tc>
      </w:tr>
      <w:tr w14:paraId="6E44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2FDC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2.轴距≥3800mm；</w:t>
            </w:r>
          </w:p>
        </w:tc>
      </w:tr>
      <w:tr w14:paraId="09BC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20DA1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3.底盘发动机功率≥110KW；</w:t>
            </w:r>
          </w:p>
        </w:tc>
      </w:tr>
      <w:tr w14:paraId="3CD2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072B8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4.外形尺寸（长×宽×高）（mm）：≥7300×2300×2400；</w:t>
            </w:r>
          </w:p>
        </w:tc>
      </w:tr>
      <w:tr w14:paraId="391A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96EB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5.装配方式：后装；</w:t>
            </w:r>
          </w:p>
        </w:tc>
      </w:tr>
      <w:tr w14:paraId="17D7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4AD24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6.燃油：柴油，国六标准，原车配备冷暖空调；</w:t>
            </w:r>
          </w:p>
        </w:tc>
      </w:tr>
      <w:tr w14:paraId="10145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74D839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7.接近角/离去角≥15/12；</w:t>
            </w:r>
          </w:p>
        </w:tc>
      </w:tr>
      <w:tr w14:paraId="6B46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5A18A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8.卸料循环时间≤60秒；上料循环时间≤15秒；压缩循环时间≤20秒。</w:t>
            </w:r>
          </w:p>
        </w:tc>
      </w:tr>
      <w:tr w14:paraId="2C30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3388879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9.准驾标准：符合国家标准要求，至少为B照驾驶</w:t>
            </w:r>
          </w:p>
        </w:tc>
      </w:tr>
      <w:tr w14:paraId="6C99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0" w:hRule="atLeast"/>
        </w:trPr>
        <w:tc>
          <w:tcPr>
            <w:tcW w:w="5000" w:type="pct"/>
            <w:tcBorders>
              <w:top w:val="single" w:color="000000" w:sz="4" w:space="0"/>
              <w:left w:val="single" w:color="000000" w:sz="4" w:space="0"/>
              <w:bottom w:val="single" w:color="000000" w:sz="4" w:space="0"/>
              <w:right w:val="single" w:color="000000" w:sz="4" w:space="0"/>
            </w:tcBorders>
            <w:noWrap w:val="0"/>
            <w:vAlign w:val="center"/>
          </w:tcPr>
          <w:p w14:paraId="56B97C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1.箱体：一体成型，焊缝数量少；</w:t>
            </w:r>
          </w:p>
          <w:p w14:paraId="6BDC29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2.高压缩比；推板滑轨双侧对称布置，刚性大，稳定性好，卸料干净，工作可靠；装填器提升时，刮板可进行二次清料，保证卸料时无残留垃圾；</w:t>
            </w:r>
          </w:p>
          <w:p w14:paraId="6C8AA6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3.高精滤技术，过滤后油液清洁度满足环保标准；</w:t>
            </w:r>
          </w:p>
          <w:p w14:paraId="1DA9F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4.操作智能化，多次循环上料，动作、状态指示；可多种收集装置实现无缝切换，可提供挂桶、铲斗等多种不同收集方式。</w:t>
            </w:r>
          </w:p>
        </w:tc>
      </w:tr>
    </w:tbl>
    <w:p w14:paraId="3DDECD38">
      <w:pPr>
        <w:widowControl/>
        <w:snapToGrid w:val="0"/>
        <w:spacing w:line="384" w:lineRule="auto"/>
        <w:rPr>
          <w:rFonts w:hint="eastAsia" w:ascii="宋体" w:hAnsi="宋体"/>
          <w:b/>
          <w:color w:val="auto"/>
          <w:sz w:val="28"/>
          <w:szCs w:val="28"/>
          <w:highlight w:val="none"/>
          <w:lang w:val="en-US" w:eastAsia="zh-CN"/>
        </w:rPr>
      </w:pPr>
      <w:r>
        <w:rPr>
          <w:rFonts w:hint="default" w:ascii="宋体" w:hAnsi="宋体"/>
          <w:b/>
          <w:color w:val="auto"/>
          <w:sz w:val="28"/>
          <w:szCs w:val="28"/>
          <w:highlight w:val="none"/>
          <w:lang w:eastAsia="zh-CN"/>
        </w:rPr>
        <w:t>三</w:t>
      </w:r>
      <w:r>
        <w:rPr>
          <w:rFonts w:hint="eastAsia" w:ascii="宋体" w:hAnsi="宋体"/>
          <w:b/>
          <w:color w:val="auto"/>
          <w:sz w:val="28"/>
          <w:szCs w:val="28"/>
          <w:highlight w:val="none"/>
          <w:lang w:val="en-US" w:eastAsia="zh-CN"/>
        </w:rPr>
        <w:t>、商务条款</w:t>
      </w:r>
    </w:p>
    <w:p w14:paraId="780A6E1C">
      <w:pPr>
        <w:shd w:val="clear" w:color="auto" w:fill="auto"/>
        <w:autoSpaceDE w:val="0"/>
        <w:autoSpaceDN w:val="0"/>
        <w:adjustRightInd w:val="0"/>
        <w:snapToGrid w:val="0"/>
        <w:spacing w:line="360" w:lineRule="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zh-CN"/>
        </w:rPr>
        <w:t>（一）</w:t>
      </w:r>
      <w:r>
        <w:rPr>
          <w:rFonts w:hint="eastAsia" w:ascii="宋体" w:hAnsi="宋体" w:cs="宋体"/>
          <w:b/>
          <w:bCs/>
          <w:color w:val="auto"/>
          <w:sz w:val="24"/>
          <w:szCs w:val="24"/>
          <w:highlight w:val="none"/>
        </w:rPr>
        <w:t>售后服务要求</w:t>
      </w:r>
    </w:p>
    <w:p w14:paraId="52F81A63">
      <w:pPr>
        <w:shd w:val="clear" w:color="auto" w:fill="auto"/>
        <w:autoSpaceDE w:val="0"/>
        <w:autoSpaceDN w:val="0"/>
        <w:adjustRightInd w:val="0"/>
        <w:snapToGri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zh-CN"/>
        </w:rPr>
        <w:t>）货物必须为原厂原装、全新的、符合国家有关质量标准的产品；本项目免费质量保证期为壹年（相关标准大于壹年的，按相关标准执行）。</w:t>
      </w:r>
    </w:p>
    <w:p w14:paraId="6F148477">
      <w:pPr>
        <w:shd w:val="clear" w:color="auto" w:fill="auto"/>
        <w:autoSpaceDE w:val="0"/>
        <w:autoSpaceDN w:val="0"/>
        <w:adjustRightInd w:val="0"/>
        <w:snapToGri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）质量保证期自采购人（或其授权代表）在验收报告上签署“验收合格”之日起计算，终身维修。</w:t>
      </w:r>
    </w:p>
    <w:p w14:paraId="0BA94998">
      <w:pPr>
        <w:shd w:val="clear" w:color="auto" w:fill="auto"/>
        <w:autoSpaceDE w:val="0"/>
        <w:autoSpaceDN w:val="0"/>
        <w:adjustRightInd w:val="0"/>
        <w:snapToGrid w:val="0"/>
        <w:spacing w:line="360" w:lineRule="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zh-CN"/>
        </w:rPr>
        <w:t>）质量保证期内维护项目正常运行的服务方式为由中标人派人员到设备使用现场维修。</w:t>
      </w:r>
    </w:p>
    <w:p w14:paraId="4CA350E1">
      <w:pPr>
        <w:shd w:val="clear" w:color="auto" w:fill="auto"/>
        <w:autoSpaceDE w:val="0"/>
        <w:autoSpaceDN w:val="0"/>
        <w:adjustRightInd w:val="0"/>
        <w:snapToGrid w:val="0"/>
        <w:spacing w:line="360" w:lineRule="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zh-CN"/>
        </w:rPr>
        <w:t>）在质量保证期内，中标人接到故障通知后</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小时</w:t>
      </w:r>
      <w:r>
        <w:rPr>
          <w:rFonts w:hint="eastAsia" w:ascii="宋体" w:hAnsi="宋体" w:eastAsia="宋体" w:cs="宋体"/>
          <w:b w:val="0"/>
          <w:bCs w:val="0"/>
          <w:color w:val="auto"/>
          <w:sz w:val="24"/>
          <w:szCs w:val="24"/>
          <w:highlight w:val="none"/>
          <w:lang w:val="en-US" w:eastAsia="zh-CN"/>
        </w:rPr>
        <w:t>内</w:t>
      </w:r>
      <w:r>
        <w:rPr>
          <w:rFonts w:hint="eastAsia" w:ascii="宋体" w:hAnsi="宋体" w:eastAsia="宋体" w:cs="宋体"/>
          <w:b w:val="0"/>
          <w:bCs w:val="0"/>
          <w:color w:val="auto"/>
          <w:sz w:val="24"/>
          <w:szCs w:val="24"/>
          <w:highlight w:val="none"/>
          <w:lang w:val="zh-CN"/>
        </w:rPr>
        <w:t>响应，</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zh-CN"/>
        </w:rPr>
        <w:t>小时内到现场排除故障。质保期内中标人需提供电话热线</w:t>
      </w:r>
      <w:r>
        <w:rPr>
          <w:rFonts w:hint="eastAsia" w:ascii="宋体" w:hAnsi="宋体" w:cs="宋体"/>
          <w:b w:val="0"/>
          <w:bCs w:val="0"/>
          <w:color w:val="auto"/>
          <w:sz w:val="24"/>
          <w:szCs w:val="24"/>
          <w:highlight w:val="none"/>
          <w:lang w:val="en-US" w:eastAsia="zh-CN"/>
        </w:rPr>
        <w:t>或网络</w:t>
      </w:r>
      <w:r>
        <w:rPr>
          <w:rFonts w:hint="eastAsia" w:ascii="宋体" w:hAnsi="宋体" w:eastAsia="宋体" w:cs="宋体"/>
          <w:b w:val="0"/>
          <w:bCs w:val="0"/>
          <w:color w:val="auto"/>
          <w:sz w:val="24"/>
          <w:szCs w:val="24"/>
          <w:highlight w:val="none"/>
          <w:lang w:val="zh-CN"/>
        </w:rPr>
        <w:t>技术支持，如通过电话</w:t>
      </w:r>
      <w:r>
        <w:rPr>
          <w:rFonts w:hint="eastAsia" w:ascii="宋体" w:hAnsi="宋体" w:cs="宋体"/>
          <w:b w:val="0"/>
          <w:bCs w:val="0"/>
          <w:color w:val="auto"/>
          <w:sz w:val="24"/>
          <w:szCs w:val="24"/>
          <w:highlight w:val="none"/>
          <w:lang w:val="en-US" w:eastAsia="zh-CN"/>
        </w:rPr>
        <w:t>与远程网络</w:t>
      </w:r>
      <w:r>
        <w:rPr>
          <w:rFonts w:hint="eastAsia" w:ascii="宋体" w:hAnsi="宋体" w:eastAsia="宋体" w:cs="宋体"/>
          <w:b w:val="0"/>
          <w:bCs w:val="0"/>
          <w:color w:val="auto"/>
          <w:sz w:val="24"/>
          <w:szCs w:val="24"/>
          <w:highlight w:val="none"/>
          <w:lang w:val="zh-CN"/>
        </w:rPr>
        <w:t>无法解决，则需派技术人员赴现场解决，所有服务方式均为中标人上门服务（特殊要求除外），即由中标人派技术人员到采购人及用户使用现场维修维护，并且全部设备提供 7×</w:t>
      </w:r>
      <w:r>
        <w:rPr>
          <w:rFonts w:hint="eastAsia" w:ascii="宋体" w:hAnsi="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val="zh-CN"/>
        </w:rPr>
        <w:t>小时在线技术支持。</w:t>
      </w:r>
      <w:r>
        <w:rPr>
          <w:rFonts w:hint="eastAsia" w:ascii="宋体" w:hAnsi="宋体" w:cs="宋体"/>
          <w:b/>
          <w:bCs/>
          <w:color w:val="auto"/>
          <w:sz w:val="24"/>
          <w:szCs w:val="24"/>
          <w:highlight w:val="none"/>
          <w:lang w:val="en-US" w:eastAsia="zh-CN"/>
        </w:rPr>
        <w:t>质保期内每年免费提供全面的维护保养及技术培训。</w:t>
      </w:r>
    </w:p>
    <w:p w14:paraId="1AD4BAF9">
      <w:pPr>
        <w:shd w:val="clear" w:color="auto" w:fill="auto"/>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val="zh-CN"/>
        </w:rPr>
        <w:t>）</w:t>
      </w: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lang w:val="zh-CN"/>
        </w:rPr>
        <w:t>时间：</w:t>
      </w:r>
      <w:r>
        <w:rPr>
          <w:rFonts w:hint="eastAsia" w:ascii="宋体" w:hAnsi="宋体" w:eastAsia="宋体" w:cs="宋体"/>
          <w:b/>
          <w:bCs/>
          <w:color w:val="auto"/>
          <w:sz w:val="24"/>
          <w:szCs w:val="24"/>
          <w:highlight w:val="none"/>
          <w:lang w:val="zh-CN" w:eastAsia="zh-CN"/>
        </w:rPr>
        <w:t>签订合同后</w:t>
      </w:r>
      <w:r>
        <w:rPr>
          <w:rFonts w:hint="eastAsia" w:ascii="宋体" w:hAnsi="宋体" w:eastAsia="宋体" w:cs="宋体"/>
          <w:b/>
          <w:bCs/>
          <w:color w:val="auto"/>
          <w:sz w:val="24"/>
          <w:szCs w:val="24"/>
          <w:highlight w:val="none"/>
          <w:lang w:val="en-US" w:eastAsia="zh-CN"/>
        </w:rPr>
        <w:t>一个月</w:t>
      </w:r>
      <w:r>
        <w:rPr>
          <w:rFonts w:hint="eastAsia" w:ascii="宋体" w:hAnsi="宋体" w:eastAsia="宋体" w:cs="宋体"/>
          <w:b/>
          <w:bCs/>
          <w:color w:val="auto"/>
          <w:sz w:val="24"/>
          <w:szCs w:val="24"/>
          <w:highlight w:val="none"/>
          <w:lang w:val="zh-CN" w:eastAsia="zh-CN"/>
        </w:rPr>
        <w:t>内完成供货及安装调试</w:t>
      </w:r>
      <w:r>
        <w:rPr>
          <w:rFonts w:hint="eastAsia" w:ascii="宋体" w:hAnsi="宋体" w:eastAsia="宋体" w:cs="宋体"/>
          <w:b/>
          <w:bCs/>
          <w:color w:val="auto"/>
          <w:sz w:val="24"/>
          <w:szCs w:val="24"/>
          <w:highlight w:val="none"/>
          <w:lang w:val="en-US" w:eastAsia="zh-CN"/>
        </w:rPr>
        <w:t>合格</w:t>
      </w:r>
      <w:r>
        <w:rPr>
          <w:rFonts w:hint="eastAsia" w:ascii="宋体" w:hAnsi="宋体" w:eastAsia="宋体" w:cs="宋体"/>
          <w:b/>
          <w:bCs/>
          <w:color w:val="auto"/>
          <w:sz w:val="24"/>
          <w:szCs w:val="24"/>
          <w:highlight w:val="none"/>
          <w:lang w:val="zh-CN" w:eastAsia="zh-CN"/>
        </w:rPr>
        <w:t>。</w:t>
      </w:r>
    </w:p>
    <w:p w14:paraId="2BE97572">
      <w:pPr>
        <w:shd w:val="clear" w:color="auto" w:fill="auto"/>
        <w:autoSpaceDE w:val="0"/>
        <w:autoSpaceDN w:val="0"/>
        <w:adjustRightInd w:val="0"/>
        <w:snapToGrid w:val="0"/>
        <w:spacing w:line="360" w:lineRule="auto"/>
        <w:rPr>
          <w:rFonts w:hint="eastAsia" w:eastAsia="宋体" w:cs="仿宋"/>
          <w:color w:val="auto"/>
          <w:kern w:val="0"/>
          <w:sz w:val="24"/>
          <w:szCs w:val="24"/>
          <w:highlight w:val="yellow"/>
          <w:lang w:eastAsia="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val="zh-CN"/>
        </w:rPr>
        <w:t>）付款方式：</w:t>
      </w:r>
      <w:r>
        <w:rPr>
          <w:rFonts w:hint="eastAsia" w:ascii="宋体" w:hAnsi="宋体" w:cs="宋体"/>
          <w:b/>
          <w:bCs/>
          <w:color w:val="auto"/>
          <w:sz w:val="24"/>
          <w:szCs w:val="24"/>
          <w:highlight w:val="none"/>
          <w:lang w:val="en-US" w:eastAsia="zh-CN"/>
        </w:rPr>
        <w:t>所有合同项中货物交付完毕并完成车辆上牌手续后1个月内甲方支付合同总金额95%，待乙方提供担保金额等同于合同总金额 3%的质保函至甲方后1个月内,乙方支付剩余合同金额的5%。最终合同金额以实际发生量据实结算。(注:付款时，中标人按甲方财务付款支付流程办理，同时提供相应的增值税专用发票;中标人未提供专票的或专票税率不足的,采购人有权扣除(足)相应专票费率税点，且中标人应对提供的发票真实有效性负责)。 质保期限为为壹年（相关标准大于壹年的，按相关标准执行）。</w:t>
      </w:r>
    </w:p>
    <w:p w14:paraId="16E78F98">
      <w:pPr>
        <w:shd w:val="clear" w:color="auto" w:fill="auto"/>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lang w:val="zh-CN"/>
        </w:rPr>
        <w:t>）交货包装</w:t>
      </w:r>
    </w:p>
    <w:p w14:paraId="6069BC5B">
      <w:pPr>
        <w:shd w:val="clear" w:color="auto" w:fill="auto"/>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1.供应商提供的全部货物均应按标准保护措施进行包装，这类包装应适应于远距离运输、防潮、防震、防锈和防野蛮装卸，以确保货物安全无损运抵指定现场。由于包装不善所引起的货物锈蚀、损坏和损失均由供应商负责。</w:t>
      </w:r>
    </w:p>
    <w:p w14:paraId="5BB94C27">
      <w:pPr>
        <w:shd w:val="clear" w:color="auto" w:fill="auto"/>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2.供应商交货时，须提供设备的全部资料，如合格证、使用说明书、易损件清单、备品备件清单、第三方检测报告、标准操作规程、维护保养规程等等。</w:t>
      </w:r>
    </w:p>
    <w:p w14:paraId="262A8DD7">
      <w:pPr>
        <w:shd w:val="clear" w:color="auto" w:fill="auto"/>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3.供应商提供的全部货物所有附件必须都配备齐全，所供货设备外包箱注明用户信息，原厂设备完整，不得折封，以上参数如有不符直接退货。</w:t>
      </w:r>
    </w:p>
    <w:p w14:paraId="65FFFDD1">
      <w:pPr>
        <w:shd w:val="clear" w:color="auto" w:fill="auto"/>
        <w:autoSpaceDE w:val="0"/>
        <w:autoSpaceDN w:val="0"/>
        <w:adjustRightInd w:val="0"/>
        <w:snapToGrid w:val="0"/>
        <w:spacing w:line="360" w:lineRule="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4.如果供应商没有按照合同规定或采购人同意延长的时间交货，每延期一天，按合同总金额的</w:t>
      </w:r>
      <w:r>
        <w:rPr>
          <w:rFonts w:hint="eastAsia" w:ascii="宋体" w:hAnsi="宋体" w:cs="宋体"/>
          <w:b w:val="0"/>
          <w:bCs w:val="0"/>
          <w:color w:val="auto"/>
          <w:sz w:val="24"/>
          <w:szCs w:val="24"/>
          <w:highlight w:val="none"/>
          <w:lang w:val="en-US" w:eastAsia="zh-CN"/>
        </w:rPr>
        <w:t>0.5%</w:t>
      </w:r>
      <w:r>
        <w:rPr>
          <w:rFonts w:hint="eastAsia" w:ascii="宋体" w:hAnsi="宋体" w:cs="宋体"/>
          <w:b w:val="0"/>
          <w:bCs w:val="0"/>
          <w:color w:val="auto"/>
          <w:sz w:val="24"/>
          <w:szCs w:val="24"/>
          <w:highlight w:val="none"/>
          <w:lang w:val="zh-CN"/>
        </w:rPr>
        <w:t>交付违约金；</w:t>
      </w:r>
      <w:r>
        <w:rPr>
          <w:rFonts w:hint="eastAsia" w:ascii="宋体" w:hAnsi="宋体" w:cs="宋体"/>
          <w:color w:val="auto"/>
          <w:sz w:val="24"/>
          <w:szCs w:val="24"/>
          <w:highlight w:val="none"/>
          <w:lang w:val="zh-CN"/>
        </w:rPr>
        <w:t xml:space="preserve">如果供应商在达到最高限额（合同总额5%）后仍不能交付的，采购人可终止合同，因此产生的一切经济损失由供应商承担；因质量问题延期交付设备时，按延期交付产品处理。 </w:t>
      </w:r>
    </w:p>
    <w:p w14:paraId="5C3ED05C">
      <w:pPr>
        <w:shd w:val="clear" w:color="auto" w:fill="auto"/>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五</w:t>
      </w:r>
      <w:r>
        <w:rPr>
          <w:rFonts w:hint="eastAsia" w:ascii="宋体" w:hAnsi="宋体" w:cs="宋体"/>
          <w:b/>
          <w:bCs/>
          <w:color w:val="auto"/>
          <w:sz w:val="24"/>
          <w:szCs w:val="24"/>
          <w:highlight w:val="none"/>
          <w:lang w:val="zh-CN"/>
        </w:rPr>
        <w:t>）安装、验收</w:t>
      </w:r>
    </w:p>
    <w:p w14:paraId="78075B14">
      <w:pPr>
        <w:shd w:val="clear" w:color="auto" w:fill="auto"/>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1.供应商在交货截止时间（或采购方规定的时间）内交货，有关运输和保险的一切费用由供应商承担。所有货物运抵现场并验收合格后的日期为交货日期。</w:t>
      </w:r>
    </w:p>
    <w:p w14:paraId="6A47D97B">
      <w:pPr>
        <w:shd w:val="clear" w:color="auto" w:fill="auto"/>
        <w:autoSpaceDE w:val="0"/>
        <w:autoSpaceDN w:val="0"/>
        <w:adjustRightInd w:val="0"/>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2.货物到现场后，采购人（或其授权代表）、供应商组织相关人员共同对到货货物的数量、外观、包装质量、技术资料等进行检查；</w:t>
      </w:r>
      <w:r>
        <w:rPr>
          <w:rFonts w:hint="eastAsia" w:ascii="宋体" w:hAnsi="宋体" w:cs="宋体"/>
          <w:b/>
          <w:bCs/>
          <w:color w:val="auto"/>
          <w:sz w:val="24"/>
          <w:highlight w:val="none"/>
        </w:rPr>
        <w:t xml:space="preserve"> </w:t>
      </w:r>
    </w:p>
    <w:p w14:paraId="7960ED9C">
      <w:pPr>
        <w:shd w:val="clear" w:color="auto" w:fill="auto"/>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供货完成以后，在7个工作日内由采购人或组织技术专家或委托第三方专业机构对货物依照谈判文件上的技术规格要求、以及国家有关标准进行验收；货物性能达到技术要求的，给予签收；验收合格后由采购人（或其授权代表）签署确认验收合格文件（一式四份）；全部技术资料等应当在验收合格后移交用户单位（业主）。验收时如发现货物的质量、性能不符合采购文件规定标准的，本项目采购人有权在货物验收时予以拒收；因此产生的一切经济损失由供应商承担；</w:t>
      </w:r>
    </w:p>
    <w:p w14:paraId="669F1240">
      <w:pPr>
        <w:shd w:val="clear" w:color="auto" w:fill="auto"/>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4.交付验收标准：依次序对照适用标准为：</w:t>
      </w:r>
    </w:p>
    <w:p w14:paraId="334D778C">
      <w:pPr>
        <w:shd w:val="clear" w:color="auto" w:fill="auto"/>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①符合中华人民共和国国家安全质量标准、环保标准或行业标准；</w:t>
      </w:r>
    </w:p>
    <w:p w14:paraId="54C44C5F">
      <w:pPr>
        <w:shd w:val="clear" w:color="auto" w:fill="auto"/>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②符合谈判文件和投标承诺中采购人认可的合理最佳配置、参数及各项要求；</w:t>
      </w:r>
    </w:p>
    <w:p w14:paraId="08989B19">
      <w:pPr>
        <w:shd w:val="clear" w:color="auto" w:fill="auto"/>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③货物来源国官方标准。</w:t>
      </w:r>
    </w:p>
    <w:p w14:paraId="575B7C1F">
      <w:pPr>
        <w:shd w:val="clear" w:color="auto" w:fill="auto"/>
        <w:autoSpaceDE w:val="0"/>
        <w:autoSpaceDN w:val="0"/>
        <w:adjustRightInd w:val="0"/>
        <w:snapToGrid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上述标准必须是有关官方机构发布的最新版本的标准；</w:t>
      </w:r>
    </w:p>
    <w:p w14:paraId="60B42906">
      <w:pPr>
        <w:shd w:val="clear" w:color="auto" w:fill="auto"/>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5.供应商须为验收提供必需的设备、工具及其他便利条件；</w:t>
      </w:r>
    </w:p>
    <w:p w14:paraId="4978570C">
      <w:pPr>
        <w:shd w:val="clear" w:color="auto" w:fill="auto"/>
        <w:autoSpaceDE w:val="0"/>
        <w:autoSpaceDN w:val="0"/>
        <w:adjustRightInd w:val="0"/>
        <w:snapToGrid w:val="0"/>
        <w:spacing w:line="360" w:lineRule="auto"/>
        <w:ind w:firstLine="464" w:firstLineChars="200"/>
        <w:rPr>
          <w:rFonts w:hint="eastAsia" w:ascii="宋体" w:hAnsi="宋体" w:cs="宋体"/>
          <w:color w:val="auto"/>
          <w:spacing w:val="-4"/>
          <w:sz w:val="24"/>
          <w:highlight w:val="none"/>
        </w:rPr>
      </w:pPr>
      <w:r>
        <w:rPr>
          <w:rFonts w:hint="eastAsia" w:ascii="宋体" w:hAnsi="宋体" w:cs="宋体"/>
          <w:color w:val="auto"/>
          <w:spacing w:val="-4"/>
          <w:sz w:val="24"/>
          <w:highlight w:val="none"/>
        </w:rPr>
        <w:t>6.在验收过程中发现数量不足或有质量、技术等问题，供应商应负责按照采购人的要求采取补足、更换或退货等措施妥善处理，并承担由此发生的一切费用和损失；</w:t>
      </w:r>
    </w:p>
    <w:p w14:paraId="502ABCC9">
      <w:pPr>
        <w:shd w:val="clear" w:color="auto" w:fill="auto"/>
        <w:autoSpaceDE w:val="0"/>
        <w:autoSpaceDN w:val="0"/>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7.对于不合格的货物，供应商必须在7个工作日里及时完成更换并重新对更换货物进行验收。</w:t>
      </w:r>
    </w:p>
    <w:p w14:paraId="0CB3AAD8">
      <w:pPr>
        <w:shd w:val="clear" w:color="auto" w:fill="auto"/>
        <w:autoSpaceDE w:val="0"/>
        <w:autoSpaceDN w:val="0"/>
        <w:adjustRightInd w:val="0"/>
        <w:snapToGrid w:val="0"/>
        <w:spacing w:line="360" w:lineRule="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lang w:val="zh-CN"/>
        </w:rPr>
        <w:t>）其它要求</w:t>
      </w:r>
    </w:p>
    <w:p w14:paraId="3C664140">
      <w:pPr>
        <w:shd w:val="clear" w:color="auto" w:fill="auto"/>
        <w:autoSpaceDE w:val="0"/>
        <w:autoSpaceDN w:val="0"/>
        <w:snapToGrid w:val="0"/>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该认真咨询、实地勘察，了解标的现状，并仔细阅读本次招标所提供的相关资料及特别规定。供应商参加投标，即表明供应商对标的的情况和特别规定的认可，投标成功后不得以未咨询或对标的不了解而提出异议或反悔。</w:t>
      </w:r>
    </w:p>
    <w:p w14:paraId="30673FC8">
      <w:pPr>
        <w:shd w:val="clear" w:color="auto" w:fill="auto"/>
        <w:autoSpaceDE w:val="0"/>
        <w:autoSpaceDN w:val="0"/>
        <w:snapToGrid w:val="0"/>
        <w:spacing w:line="360" w:lineRule="auto"/>
        <w:ind w:firstLine="566" w:firstLineChars="236"/>
        <w:rPr>
          <w:rFonts w:hint="eastAsia" w:ascii="宋体" w:hAnsi="宋体" w:cs="宋体"/>
          <w:color w:val="auto"/>
          <w:sz w:val="24"/>
          <w:szCs w:val="24"/>
          <w:highlight w:val="none"/>
        </w:rPr>
      </w:pPr>
      <w:r>
        <w:rPr>
          <w:rFonts w:hint="eastAsia" w:ascii="宋体" w:hAnsi="宋体" w:cs="宋体"/>
          <w:color w:val="auto"/>
          <w:sz w:val="24"/>
          <w:szCs w:val="24"/>
          <w:highlight w:val="none"/>
        </w:rPr>
        <w:t>2、成交供应商应保证采购人在中华人民共和国使用成交供应商所提供的货物或货物的任何一部分时，免受第三方提出的侵犯其专利权、商标权的起诉；如果任何第三方提出侵权指控，成交供应商承担一切与之有关的责任。</w:t>
      </w:r>
    </w:p>
    <w:p w14:paraId="5397D614">
      <w:pPr>
        <w:shd w:val="clear" w:color="auto" w:fill="auto"/>
        <w:snapToGrid w:val="0"/>
        <w:spacing w:line="360" w:lineRule="auto"/>
        <w:ind w:left="239" w:leftChars="114"/>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3、成交供应商在履行合同时，应按照民法典用工，若出现员工不符合办理“五项保险”条件时，成交供应商应给予上述员工办理有关“商业保险中的意外伤害险”，且意外伤害险所赔付的保额不得低于当期工伤保险的赔付额。</w:t>
      </w:r>
    </w:p>
    <w:p w14:paraId="4C0F6896">
      <w:pPr>
        <w:shd w:val="clear" w:color="auto" w:fill="auto"/>
        <w:snapToGrid w:val="0"/>
        <w:spacing w:line="360" w:lineRule="auto"/>
        <w:ind w:left="239" w:leftChars="114" w:firstLine="240" w:firstLineChars="100"/>
        <w:rPr>
          <w:rFonts w:hint="eastAsia" w:ascii="宋体" w:hAnsi="宋体" w:cs="宋体"/>
          <w:color w:val="auto"/>
          <w:kern w:val="1"/>
          <w:sz w:val="24"/>
          <w:szCs w:val="24"/>
          <w:highlight w:val="none"/>
        </w:rPr>
      </w:pPr>
      <w:r>
        <w:rPr>
          <w:rFonts w:hint="eastAsia" w:ascii="宋体" w:hAnsi="宋体" w:cs="宋体"/>
          <w:color w:val="auto"/>
          <w:sz w:val="24"/>
          <w:szCs w:val="24"/>
          <w:highlight w:val="none"/>
        </w:rPr>
        <w:t>4、成交供应商</w:t>
      </w:r>
      <w:r>
        <w:rPr>
          <w:rFonts w:hint="eastAsia" w:ascii="宋体" w:hAnsi="宋体" w:cs="宋体"/>
          <w:color w:val="auto"/>
          <w:kern w:val="1"/>
          <w:sz w:val="24"/>
          <w:szCs w:val="24"/>
          <w:highlight w:val="none"/>
        </w:rPr>
        <w:t>在履行合同期间，应对</w:t>
      </w:r>
      <w:r>
        <w:rPr>
          <w:rFonts w:hint="eastAsia" w:ascii="宋体" w:hAnsi="宋体" w:cs="宋体"/>
          <w:color w:val="auto"/>
          <w:sz w:val="24"/>
          <w:szCs w:val="24"/>
          <w:highlight w:val="none"/>
        </w:rPr>
        <w:t>成交供应商</w:t>
      </w:r>
      <w:r>
        <w:rPr>
          <w:rFonts w:hint="eastAsia" w:ascii="宋体" w:hAnsi="宋体" w:cs="宋体"/>
          <w:color w:val="auto"/>
          <w:kern w:val="1"/>
          <w:sz w:val="24"/>
          <w:szCs w:val="24"/>
          <w:highlight w:val="none"/>
        </w:rPr>
        <w:t>（或其雇佣人员）的疏忽、故意或过失而造成采购人的直接或间接损失、第三者的财产损失及安全责任事故等负责，并承担相应费用。</w:t>
      </w:r>
    </w:p>
    <w:p w14:paraId="4502E78F">
      <w:pPr>
        <w:shd w:val="clear" w:color="auto" w:fill="auto"/>
        <w:snapToGrid w:val="0"/>
        <w:spacing w:line="360" w:lineRule="auto"/>
        <w:ind w:left="239" w:leftChars="114" w:firstLine="240" w:firstLineChars="100"/>
        <w:rPr>
          <w:rFonts w:hint="eastAsia" w:ascii="宋体" w:hAnsi="宋体" w:cs="宋体"/>
          <w:b/>
          <w:bCs/>
          <w:color w:val="auto"/>
          <w:sz w:val="32"/>
          <w:szCs w:val="32"/>
          <w:highlight w:val="none"/>
          <w:lang w:val="zh-CN"/>
        </w:rPr>
      </w:pPr>
      <w:r>
        <w:rPr>
          <w:rFonts w:hint="eastAsia" w:ascii="宋体" w:hAnsi="宋体" w:cs="宋体"/>
          <w:color w:val="auto"/>
          <w:sz w:val="24"/>
          <w:szCs w:val="24"/>
          <w:highlight w:val="none"/>
        </w:rPr>
        <w:t>5、其他未尽事宜可在合同中约定。</w:t>
      </w:r>
      <w:r>
        <w:rPr>
          <w:rFonts w:hint="eastAsia" w:ascii="宋体" w:hAnsi="宋体" w:cs="宋体"/>
          <w:b/>
          <w:bCs/>
          <w:color w:val="auto"/>
          <w:sz w:val="32"/>
          <w:szCs w:val="32"/>
          <w:highlight w:val="none"/>
          <w:lang w:val="zh-CN"/>
        </w:rPr>
        <w:t xml:space="preserve">  </w:t>
      </w:r>
    </w:p>
    <w:p w14:paraId="5BEF697A">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4E4E10A9">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308996FA">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6C9AD2C1">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5A7A9DD6">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1E83651C">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6EC8517A">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0B546BFE">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662E5D08">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631DE3A9">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5CE5A2E6">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272F2132">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377D4831">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5963A752">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405C7DA5">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1E0BDC09">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5CBCA73E">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0E8F44A0">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1E05260E">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65654C67">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56F22D0B">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7B2C1977">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1AE8F17B">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7D0D4CB0">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7131646F">
      <w:pPr>
        <w:autoSpaceDE w:val="0"/>
        <w:autoSpaceDN w:val="0"/>
        <w:snapToGrid w:val="0"/>
        <w:spacing w:line="420" w:lineRule="exact"/>
        <w:ind w:left="120" w:leftChars="57" w:firstLine="755" w:firstLineChars="235"/>
        <w:rPr>
          <w:rFonts w:hint="eastAsia" w:ascii="宋体" w:hAnsi="宋体" w:cs="宋体"/>
          <w:b/>
          <w:bCs/>
          <w:color w:val="auto"/>
          <w:sz w:val="32"/>
          <w:szCs w:val="32"/>
          <w:highlight w:val="none"/>
          <w:lang w:val="zh-CN"/>
        </w:rPr>
      </w:pPr>
    </w:p>
    <w:p w14:paraId="3023B6A1">
      <w:pPr>
        <w:autoSpaceDE w:val="0"/>
        <w:autoSpaceDN w:val="0"/>
        <w:snapToGrid w:val="0"/>
        <w:spacing w:line="420" w:lineRule="exact"/>
        <w:rPr>
          <w:rFonts w:hint="default" w:ascii="宋体" w:hAnsi="宋体" w:cs="宋体" w:eastAsiaTheme="minorEastAsia"/>
          <w:b/>
          <w:bCs/>
          <w:color w:val="auto"/>
          <w:sz w:val="32"/>
          <w:szCs w:val="32"/>
          <w:highlight w:val="none"/>
          <w:lang w:val="en-US" w:eastAsia="zh-CN"/>
        </w:rPr>
      </w:pPr>
      <w:r>
        <w:rPr>
          <w:rFonts w:hint="eastAsia" w:ascii="宋体" w:hAnsi="宋体" w:cs="宋体"/>
          <w:b/>
          <w:bCs/>
          <w:color w:val="auto"/>
          <w:sz w:val="32"/>
          <w:szCs w:val="32"/>
          <w:highlight w:val="none"/>
          <w:lang w:val="en-US" w:eastAsia="zh-CN"/>
        </w:rPr>
        <w:t>评分细则（50分）</w:t>
      </w:r>
    </w:p>
    <w:tbl>
      <w:tblPr>
        <w:tblStyle w:val="5"/>
        <w:tblW w:w="10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09"/>
        <w:gridCol w:w="672"/>
        <w:gridCol w:w="6968"/>
      </w:tblGrid>
      <w:tr w14:paraId="6A7FE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152"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14:paraId="270B7877">
            <w:pPr>
              <w:widowControl/>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细则</w:t>
            </w:r>
          </w:p>
          <w:p w14:paraId="7E38F167">
            <w:pPr>
              <w:widowControl/>
              <w:adjustRightInd w:val="0"/>
              <w:snapToGrid w:val="0"/>
              <w:spacing w:line="360" w:lineRule="auto"/>
              <w:rPr>
                <w:rFonts w:hint="eastAsia" w:ascii="宋体" w:hAnsi="宋体" w:cs="宋体"/>
                <w:szCs w:val="21"/>
              </w:rPr>
            </w:pPr>
            <w:r>
              <w:rPr>
                <w:rFonts w:hint="eastAsia" w:ascii="宋体" w:hAnsi="宋体" w:cs="宋体"/>
                <w:szCs w:val="21"/>
              </w:rPr>
              <w:t>项目</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CAF8287">
            <w:pPr>
              <w:widowControl/>
              <w:adjustRightInd w:val="0"/>
              <w:snapToGrid w:val="0"/>
              <w:spacing w:line="360" w:lineRule="auto"/>
              <w:jc w:val="center"/>
              <w:rPr>
                <w:rFonts w:hint="eastAsia" w:ascii="宋体" w:hAnsi="宋体" w:cs="宋体"/>
                <w:szCs w:val="21"/>
              </w:rPr>
            </w:pPr>
            <w:r>
              <w:rPr>
                <w:rFonts w:hint="eastAsia" w:ascii="宋体" w:hAnsi="宋体" w:cs="宋体"/>
                <w:szCs w:val="21"/>
              </w:rPr>
              <w:t>评分项</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045A8CD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分值</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5F9EA202">
            <w:pPr>
              <w:widowControl/>
              <w:adjustRightInd w:val="0"/>
              <w:snapToGrid w:val="0"/>
              <w:spacing w:line="360" w:lineRule="auto"/>
              <w:jc w:val="center"/>
              <w:rPr>
                <w:rFonts w:hint="eastAsia" w:ascii="宋体" w:hAnsi="宋体" w:cs="宋体"/>
                <w:szCs w:val="21"/>
              </w:rPr>
            </w:pPr>
            <w:r>
              <w:rPr>
                <w:rFonts w:hint="eastAsia" w:ascii="宋体" w:hAnsi="宋体" w:cs="宋体"/>
                <w:szCs w:val="21"/>
              </w:rPr>
              <w:t>评分细则</w:t>
            </w:r>
          </w:p>
        </w:tc>
      </w:tr>
      <w:tr w14:paraId="20D5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152" w:type="dxa"/>
            <w:tcBorders>
              <w:top w:val="single" w:color="auto" w:sz="4" w:space="0"/>
              <w:left w:val="single" w:color="auto" w:sz="4" w:space="0"/>
              <w:bottom w:val="single" w:color="auto" w:sz="4" w:space="0"/>
              <w:right w:val="single" w:color="auto" w:sz="4" w:space="0"/>
            </w:tcBorders>
            <w:noWrap w:val="0"/>
            <w:vAlign w:val="center"/>
          </w:tcPr>
          <w:p w14:paraId="19DF0DE4">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价格分</w:t>
            </w:r>
          </w:p>
          <w:p w14:paraId="4B586AD9">
            <w:pPr>
              <w:widowControl/>
              <w:adjustRightInd w:val="0"/>
              <w:snapToGrid w:val="0"/>
              <w:spacing w:line="360" w:lineRule="auto"/>
              <w:jc w:val="center"/>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15</w:t>
            </w:r>
            <w:r>
              <w:rPr>
                <w:rFonts w:hint="eastAsia" w:ascii="宋体" w:hAnsi="宋体" w:cs="宋体"/>
                <w:szCs w:val="21"/>
              </w:rPr>
              <w:t>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FC3A09B">
            <w:pPr>
              <w:widowControl/>
              <w:adjustRightInd w:val="0"/>
              <w:snapToGrid w:val="0"/>
              <w:spacing w:line="360" w:lineRule="auto"/>
              <w:jc w:val="center"/>
              <w:rPr>
                <w:rFonts w:hint="eastAsia" w:ascii="宋体" w:hAnsi="宋体" w:cs="宋体"/>
                <w:szCs w:val="21"/>
              </w:rPr>
            </w:pPr>
            <w:r>
              <w:rPr>
                <w:rFonts w:hint="eastAsia" w:ascii="宋体" w:hAnsi="宋体" w:cs="宋体"/>
                <w:szCs w:val="21"/>
              </w:rPr>
              <w:t>价格</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636BA8F1">
            <w:pPr>
              <w:widowControl/>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6968" w:type="dxa"/>
            <w:tcBorders>
              <w:top w:val="single" w:color="auto" w:sz="4" w:space="0"/>
              <w:left w:val="single" w:color="auto" w:sz="4" w:space="0"/>
              <w:bottom w:val="single" w:color="auto" w:sz="4" w:space="0"/>
              <w:right w:val="single" w:color="auto" w:sz="4" w:space="0"/>
            </w:tcBorders>
            <w:noWrap w:val="0"/>
            <w:vAlign w:val="top"/>
          </w:tcPr>
          <w:p w14:paraId="71021A15">
            <w:pPr>
              <w:widowControl/>
              <w:adjustRightInd w:val="0"/>
              <w:snapToGrid w:val="0"/>
              <w:spacing w:line="360" w:lineRule="auto"/>
              <w:rPr>
                <w:rFonts w:hint="eastAsia" w:ascii="宋体" w:hAnsi="宋体" w:cs="宋体"/>
                <w:szCs w:val="21"/>
              </w:rPr>
            </w:pPr>
            <w:r>
              <w:rPr>
                <w:rFonts w:hint="eastAsia" w:ascii="宋体" w:hAnsi="宋体" w:cs="宋体"/>
                <w:szCs w:val="21"/>
              </w:rPr>
              <w:t>1、价格分采用低价优先法计算、即满足招标文件要求且投标价格最低的投标报价为评标基准价、其价格分为满分。</w:t>
            </w:r>
            <w:r>
              <w:rPr>
                <w:rFonts w:hint="eastAsia" w:ascii="宋体" w:hAnsi="宋体" w:cs="宋体"/>
                <w:b/>
                <w:bCs/>
                <w:szCs w:val="21"/>
              </w:rPr>
              <w:t>其他投标人的价格分统一按照下列公式计算∶投标报价得分=（评标基准价/投标报价）×</w:t>
            </w:r>
            <w:r>
              <w:rPr>
                <w:rFonts w:hint="eastAsia" w:ascii="宋体" w:hAnsi="宋体" w:cs="宋体"/>
                <w:b/>
                <w:bCs/>
                <w:szCs w:val="21"/>
                <w:lang w:val="en-US" w:eastAsia="zh-CN"/>
              </w:rPr>
              <w:t>15</w:t>
            </w:r>
            <w:r>
              <w:rPr>
                <w:rFonts w:hint="eastAsia" w:ascii="宋体" w:hAnsi="宋体" w:cs="宋体"/>
                <w:b/>
                <w:bCs/>
                <w:szCs w:val="21"/>
              </w:rPr>
              <w:t>，计算价格分数时四舍五入取小数点后两位。</w:t>
            </w:r>
          </w:p>
          <w:p w14:paraId="524553DA">
            <w:pPr>
              <w:widowControl/>
              <w:adjustRightInd w:val="0"/>
              <w:snapToGrid w:val="0"/>
              <w:spacing w:line="360" w:lineRule="auto"/>
              <w:rPr>
                <w:rFonts w:hint="eastAsia" w:ascii="宋体" w:hAnsi="宋体" w:cs="宋体"/>
                <w:szCs w:val="21"/>
              </w:rPr>
            </w:pPr>
            <w:r>
              <w:rPr>
                <w:rFonts w:hint="eastAsia" w:ascii="宋体" w:hAnsi="宋体" w:cs="宋体"/>
                <w:szCs w:val="21"/>
              </w:rPr>
              <w:t>2、若投标人投标价格超出</w:t>
            </w:r>
            <w:r>
              <w:rPr>
                <w:rFonts w:hint="eastAsia" w:ascii="宋体" w:hAnsi="宋体" w:cs="宋体"/>
                <w:szCs w:val="21"/>
                <w:lang w:val="en-US" w:eastAsia="zh-CN"/>
              </w:rPr>
              <w:t>招标控制价</w:t>
            </w:r>
            <w:r>
              <w:rPr>
                <w:rFonts w:hint="eastAsia" w:ascii="宋体" w:hAnsi="宋体" w:cs="宋体"/>
                <w:szCs w:val="21"/>
              </w:rPr>
              <w:t>，则该投标人被视为无效投标。</w:t>
            </w:r>
          </w:p>
          <w:p w14:paraId="2E30925E">
            <w:pPr>
              <w:widowControl/>
              <w:adjustRightInd w:val="0"/>
              <w:snapToGrid w:val="0"/>
              <w:spacing w:line="360" w:lineRule="auto"/>
              <w:rPr>
                <w:rFonts w:hint="eastAsia" w:ascii="宋体" w:hAnsi="宋体" w:cs="宋体"/>
                <w:szCs w:val="21"/>
              </w:rPr>
            </w:pPr>
            <w:r>
              <w:rPr>
                <w:rFonts w:hint="eastAsia" w:ascii="宋体" w:hAnsi="宋体" w:cs="宋体"/>
                <w:szCs w:val="21"/>
              </w:rPr>
              <w:t>3、投标人应结合实际情况合理进行报价，如评标委员会认为投标人报价明显低于其他通过符合性审查投标人的报价，有可能影响产品质量或者不能诚信履约，应当要求其在现场合理时间内提供书面说明，必要时提供相关证明材料，投标人不能证明其报价合理的，评标委员会应当将其作为无效投标处理。</w:t>
            </w:r>
          </w:p>
        </w:tc>
      </w:tr>
      <w:tr w14:paraId="788D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2" w:type="dxa"/>
            <w:vMerge w:val="restart"/>
            <w:tcBorders>
              <w:top w:val="single" w:color="auto" w:sz="4" w:space="0"/>
              <w:left w:val="single" w:color="auto" w:sz="4" w:space="0"/>
              <w:right w:val="single" w:color="auto" w:sz="4" w:space="0"/>
            </w:tcBorders>
            <w:noWrap w:val="0"/>
            <w:vAlign w:val="center"/>
          </w:tcPr>
          <w:p w14:paraId="7C0A6D36">
            <w:pPr>
              <w:widowControl/>
              <w:adjustRightInd w:val="0"/>
              <w:snapToGrid w:val="0"/>
              <w:spacing w:line="360" w:lineRule="auto"/>
              <w:rPr>
                <w:rFonts w:hint="eastAsia" w:ascii="宋体" w:hAnsi="宋体" w:cs="宋体"/>
                <w:szCs w:val="21"/>
              </w:rPr>
            </w:pPr>
            <w:r>
              <w:rPr>
                <w:rFonts w:hint="eastAsia" w:ascii="宋体" w:hAnsi="宋体" w:cs="宋体"/>
                <w:szCs w:val="21"/>
              </w:rPr>
              <w:t>技术分（</w:t>
            </w:r>
            <w:r>
              <w:rPr>
                <w:rFonts w:hint="eastAsia" w:ascii="宋体" w:hAnsi="宋体" w:cs="宋体"/>
                <w:szCs w:val="21"/>
                <w:lang w:val="en-US" w:eastAsia="zh-CN"/>
              </w:rPr>
              <w:t>21</w:t>
            </w:r>
            <w:r>
              <w:rPr>
                <w:rFonts w:hint="eastAsia" w:ascii="宋体" w:hAnsi="宋体" w:cs="宋体"/>
                <w:szCs w:val="21"/>
              </w:rPr>
              <w:t>分）</w:t>
            </w:r>
          </w:p>
        </w:tc>
        <w:tc>
          <w:tcPr>
            <w:tcW w:w="8849" w:type="dxa"/>
            <w:gridSpan w:val="3"/>
            <w:tcBorders>
              <w:top w:val="single" w:color="auto" w:sz="4" w:space="0"/>
              <w:left w:val="single" w:color="auto" w:sz="4" w:space="0"/>
              <w:right w:val="single" w:color="auto" w:sz="4" w:space="0"/>
            </w:tcBorders>
            <w:noWrap w:val="0"/>
            <w:vAlign w:val="center"/>
          </w:tcPr>
          <w:p w14:paraId="53664E45">
            <w:pPr>
              <w:pStyle w:val="3"/>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投标人需全部满足“第三部分 采购需求及商务条款 一、采购需求”。有任意一项不满足或负偏离的作无效投标处理。</w:t>
            </w:r>
          </w:p>
          <w:p w14:paraId="0BC57A19">
            <w:pPr>
              <w:pStyle w:val="3"/>
              <w:rPr>
                <w:rFonts w:hint="eastAsia" w:ascii="宋体" w:hAnsi="宋体"/>
                <w:szCs w:val="21"/>
                <w:highlight w:val="none"/>
              </w:rPr>
            </w:pPr>
            <w:r>
              <w:rPr>
                <w:rFonts w:hint="eastAsia" w:ascii="宋体" w:hAnsi="宋体" w:eastAsia="宋体" w:cs="宋体"/>
                <w:b/>
                <w:bCs/>
                <w:color w:val="auto"/>
                <w:sz w:val="22"/>
                <w:szCs w:val="22"/>
                <w:highlight w:val="none"/>
                <w:lang w:val="en-US" w:eastAsia="zh-CN"/>
              </w:rPr>
              <w:t>评审依据：投标文件中提供“技术需求响应/偏离表”加盖投标人公章为依据</w:t>
            </w:r>
          </w:p>
        </w:tc>
      </w:tr>
      <w:tr w14:paraId="1869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152" w:type="dxa"/>
            <w:vMerge w:val="continue"/>
            <w:tcBorders>
              <w:left w:val="single" w:color="auto" w:sz="4" w:space="0"/>
              <w:right w:val="single" w:color="auto" w:sz="4" w:space="0"/>
            </w:tcBorders>
            <w:noWrap w:val="0"/>
            <w:vAlign w:val="center"/>
          </w:tcPr>
          <w:p w14:paraId="696DA084">
            <w:pPr>
              <w:widowControl/>
              <w:adjustRightInd w:val="0"/>
              <w:snapToGrid w:val="0"/>
              <w:spacing w:line="360" w:lineRule="auto"/>
              <w:rPr>
                <w:rFonts w:hint="eastAsia" w:ascii="宋体" w:hAnsi="宋体" w:cs="宋体"/>
                <w:szCs w:val="21"/>
              </w:rPr>
            </w:pPr>
          </w:p>
        </w:tc>
        <w:tc>
          <w:tcPr>
            <w:tcW w:w="1209" w:type="dxa"/>
            <w:vMerge w:val="restart"/>
            <w:tcBorders>
              <w:top w:val="single" w:color="auto" w:sz="4" w:space="0"/>
              <w:left w:val="single" w:color="auto" w:sz="4" w:space="0"/>
              <w:right w:val="single" w:color="auto" w:sz="4" w:space="0"/>
            </w:tcBorders>
            <w:noWrap w:val="0"/>
            <w:vAlign w:val="center"/>
          </w:tcPr>
          <w:p w14:paraId="24307C53">
            <w:pPr>
              <w:widowControl/>
              <w:adjustRightInd w:val="0"/>
              <w:snapToGrid w:val="0"/>
              <w:spacing w:line="360" w:lineRule="auto"/>
              <w:rPr>
                <w:rFonts w:hint="eastAsia" w:ascii="宋体" w:hAnsi="宋体" w:cs="宋体"/>
                <w:szCs w:val="21"/>
              </w:rPr>
            </w:pPr>
            <w:r>
              <w:rPr>
                <w:rFonts w:hint="eastAsia" w:ascii="宋体" w:hAnsi="宋体" w:cs="宋体"/>
                <w:szCs w:val="21"/>
              </w:rPr>
              <w:t>技术优越性</w:t>
            </w:r>
          </w:p>
        </w:tc>
        <w:tc>
          <w:tcPr>
            <w:tcW w:w="672" w:type="dxa"/>
            <w:tcBorders>
              <w:top w:val="single" w:color="auto" w:sz="4" w:space="0"/>
              <w:left w:val="single" w:color="auto" w:sz="4" w:space="0"/>
              <w:right w:val="single" w:color="auto" w:sz="4" w:space="0"/>
            </w:tcBorders>
            <w:noWrap w:val="0"/>
            <w:vAlign w:val="center"/>
          </w:tcPr>
          <w:p w14:paraId="79B38FF0">
            <w:pPr>
              <w:spacing w:line="360" w:lineRule="auto"/>
              <w:jc w:val="both"/>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1325D4A3">
            <w:pPr>
              <w:rPr>
                <w:rFonts w:hint="eastAsia" w:ascii="宋体" w:hAnsi="宋体" w:cs="宋体"/>
                <w:szCs w:val="21"/>
                <w:highlight w:val="none"/>
                <w:lang w:val="en-US" w:eastAsia="zh-CN"/>
              </w:rPr>
            </w:pPr>
            <w:r>
              <w:rPr>
                <w:rFonts w:hint="eastAsia" w:ascii="宋体" w:hAnsi="宋体" w:cs="宋体"/>
                <w:szCs w:val="21"/>
                <w:highlight w:val="none"/>
                <w:lang w:val="en-US" w:eastAsia="zh-CN"/>
              </w:rPr>
              <w:t>1. 所投产品制造商具有车辆远程在线售后服务系统，①实时监测车辆运行轨迹位置②车辆故障报修提示③数字化备件服务系统④车辆历次维修记录查询，每满足一项得0.5分，全部满足得6分。</w:t>
            </w:r>
          </w:p>
          <w:p w14:paraId="42B934B9">
            <w:pPr>
              <w:rPr>
                <w:rFonts w:hint="eastAsia" w:ascii="宋体" w:hAnsi="宋体" w:cs="宋体"/>
                <w:b/>
                <w:bCs/>
                <w:szCs w:val="21"/>
                <w:highlight w:val="none"/>
                <w:lang w:val="en-US" w:eastAsia="zh-CN"/>
              </w:rPr>
            </w:pPr>
            <w:r>
              <w:rPr>
                <w:rFonts w:hint="eastAsia" w:ascii="宋体" w:hAnsi="宋体" w:cs="宋体"/>
                <w:b/>
                <w:bCs/>
                <w:szCs w:val="21"/>
                <w:highlight w:val="none"/>
                <w:lang w:val="en-US" w:eastAsia="zh-CN"/>
              </w:rPr>
              <w:t>评审依据：提供功能演示截图，每一项至少需有两张图片佐证，并提供系统功能确认函并加盖所投产品制造商公章。</w:t>
            </w:r>
          </w:p>
        </w:tc>
      </w:tr>
      <w:tr w14:paraId="627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152" w:type="dxa"/>
            <w:vMerge w:val="continue"/>
            <w:tcBorders>
              <w:left w:val="single" w:color="auto" w:sz="4" w:space="0"/>
              <w:right w:val="single" w:color="auto" w:sz="4" w:space="0"/>
            </w:tcBorders>
            <w:noWrap w:val="0"/>
            <w:vAlign w:val="center"/>
          </w:tcPr>
          <w:p w14:paraId="62C55D63">
            <w:pPr>
              <w:widowControl/>
              <w:adjustRightInd w:val="0"/>
              <w:snapToGrid w:val="0"/>
              <w:spacing w:line="360" w:lineRule="auto"/>
              <w:rPr>
                <w:rFonts w:hint="eastAsia" w:ascii="宋体" w:hAnsi="宋体" w:cs="宋体"/>
                <w:szCs w:val="21"/>
              </w:rPr>
            </w:pPr>
          </w:p>
        </w:tc>
        <w:tc>
          <w:tcPr>
            <w:tcW w:w="1209" w:type="dxa"/>
            <w:vMerge w:val="continue"/>
            <w:tcBorders>
              <w:left w:val="single" w:color="auto" w:sz="4" w:space="0"/>
              <w:right w:val="single" w:color="auto" w:sz="4" w:space="0"/>
            </w:tcBorders>
            <w:noWrap w:val="0"/>
            <w:vAlign w:val="center"/>
          </w:tcPr>
          <w:p w14:paraId="334E13AC">
            <w:pPr>
              <w:widowControl/>
              <w:adjustRightInd w:val="0"/>
              <w:snapToGrid w:val="0"/>
              <w:spacing w:line="360" w:lineRule="auto"/>
              <w:rPr>
                <w:rFonts w:hint="eastAsia" w:ascii="宋体" w:hAnsi="宋体" w:cs="宋体"/>
                <w:szCs w:val="21"/>
              </w:rPr>
            </w:pPr>
          </w:p>
        </w:tc>
        <w:tc>
          <w:tcPr>
            <w:tcW w:w="672" w:type="dxa"/>
            <w:tcBorders>
              <w:top w:val="single" w:color="auto" w:sz="4" w:space="0"/>
              <w:left w:val="single" w:color="auto" w:sz="4" w:space="0"/>
              <w:right w:val="single" w:color="auto" w:sz="4" w:space="0"/>
            </w:tcBorders>
            <w:noWrap w:val="0"/>
            <w:vAlign w:val="center"/>
          </w:tcPr>
          <w:p w14:paraId="6566DFE7">
            <w:pPr>
              <w:spacing w:line="360" w:lineRule="auto"/>
              <w:jc w:val="both"/>
              <w:rPr>
                <w:rFonts w:hint="default" w:ascii="宋体" w:hAnsi="宋体" w:cs="宋体"/>
                <w:szCs w:val="21"/>
                <w:lang w:val="en-US" w:eastAsia="zh-CN"/>
              </w:rPr>
            </w:pPr>
            <w:r>
              <w:rPr>
                <w:rFonts w:hint="eastAsia" w:ascii="宋体" w:hAnsi="宋体" w:cs="宋体"/>
                <w:szCs w:val="21"/>
                <w:lang w:val="en-US" w:eastAsia="zh-CN"/>
              </w:rPr>
              <w:t>4分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3F576BD8">
            <w:pPr>
              <w:rPr>
                <w:rFonts w:hint="eastAsia" w:cs="Times New Roman"/>
                <w:kern w:val="2"/>
                <w:sz w:val="21"/>
                <w:lang w:val="en-US" w:eastAsia="zh-CN" w:bidi="ar-SA"/>
              </w:rPr>
            </w:pPr>
            <w:r>
              <w:rPr>
                <w:rFonts w:hint="eastAsia" w:cs="Times New Roman"/>
                <w:kern w:val="2"/>
                <w:sz w:val="21"/>
                <w:lang w:val="en-US" w:eastAsia="zh-CN" w:bidi="ar-SA"/>
              </w:rPr>
              <w:t>2.压缩车辆接近角在15度基础上，每增加1度增加1分，最高2分；离去角在12度基础上，每增加1度增加1分，最高2分。</w:t>
            </w:r>
          </w:p>
          <w:p w14:paraId="13698EBD">
            <w:pPr>
              <w:rPr>
                <w:rFonts w:hint="eastAsia" w:ascii="宋体" w:hAnsi="宋体" w:cs="宋体"/>
                <w:b/>
                <w:bCs/>
                <w:szCs w:val="21"/>
                <w:highlight w:val="none"/>
              </w:rPr>
            </w:pPr>
            <w:r>
              <w:rPr>
                <w:rFonts w:hint="eastAsia" w:cs="Times New Roman"/>
                <w:b/>
                <w:bCs/>
                <w:kern w:val="2"/>
                <w:sz w:val="21"/>
                <w:lang w:val="en-US" w:eastAsia="zh-CN" w:bidi="ar-SA"/>
              </w:rPr>
              <w:t>评审依据：提供具有CNAS或CMA认可标志的第三方检测机构出具的检测报告复印件并加盖所投产品制造商公章进行佐证。</w:t>
            </w:r>
          </w:p>
        </w:tc>
      </w:tr>
      <w:tr w14:paraId="56C2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152" w:type="dxa"/>
            <w:vMerge w:val="continue"/>
            <w:tcBorders>
              <w:left w:val="single" w:color="auto" w:sz="4" w:space="0"/>
              <w:right w:val="single" w:color="auto" w:sz="4" w:space="0"/>
            </w:tcBorders>
            <w:noWrap w:val="0"/>
            <w:vAlign w:val="center"/>
          </w:tcPr>
          <w:p w14:paraId="25009F80">
            <w:pPr>
              <w:widowControl/>
              <w:adjustRightInd w:val="0"/>
              <w:snapToGrid w:val="0"/>
              <w:spacing w:line="360" w:lineRule="auto"/>
              <w:rPr>
                <w:rFonts w:hint="eastAsia" w:ascii="宋体" w:hAnsi="宋体" w:cs="宋体"/>
                <w:szCs w:val="21"/>
              </w:rPr>
            </w:pPr>
          </w:p>
        </w:tc>
        <w:tc>
          <w:tcPr>
            <w:tcW w:w="1209" w:type="dxa"/>
            <w:vMerge w:val="continue"/>
            <w:tcBorders>
              <w:left w:val="single" w:color="auto" w:sz="4" w:space="0"/>
              <w:right w:val="single" w:color="auto" w:sz="4" w:space="0"/>
            </w:tcBorders>
            <w:noWrap w:val="0"/>
            <w:vAlign w:val="center"/>
          </w:tcPr>
          <w:p w14:paraId="28F9A276">
            <w:pPr>
              <w:widowControl/>
              <w:adjustRightInd w:val="0"/>
              <w:snapToGrid w:val="0"/>
              <w:spacing w:line="360" w:lineRule="auto"/>
              <w:rPr>
                <w:rFonts w:hint="eastAsia" w:ascii="宋体" w:hAnsi="宋体" w:cs="宋体"/>
                <w:szCs w:val="21"/>
              </w:rPr>
            </w:pPr>
          </w:p>
        </w:tc>
        <w:tc>
          <w:tcPr>
            <w:tcW w:w="672" w:type="dxa"/>
            <w:tcBorders>
              <w:top w:val="single" w:color="auto" w:sz="4" w:space="0"/>
              <w:left w:val="single" w:color="auto" w:sz="4" w:space="0"/>
              <w:right w:val="single" w:color="auto" w:sz="4" w:space="0"/>
            </w:tcBorders>
            <w:noWrap w:val="0"/>
            <w:vAlign w:val="center"/>
          </w:tcPr>
          <w:p w14:paraId="59B5C890">
            <w:pPr>
              <w:spacing w:line="360" w:lineRule="auto"/>
              <w:jc w:val="both"/>
              <w:rPr>
                <w:rFonts w:hint="default" w:ascii="宋体" w:hAnsi="宋体" w:cs="宋体"/>
                <w:szCs w:val="21"/>
                <w:lang w:val="en-US" w:eastAsia="zh-CN"/>
              </w:rPr>
            </w:pPr>
            <w:r>
              <w:rPr>
                <w:rFonts w:hint="eastAsia" w:ascii="宋体" w:hAnsi="宋体" w:cs="宋体"/>
                <w:szCs w:val="21"/>
                <w:lang w:val="en-US" w:eastAsia="zh-CN"/>
              </w:rPr>
              <w:t>2分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2AC4006B">
            <w:pPr>
              <w:rPr>
                <w:rFonts w:hint="eastAsia" w:ascii="宋体" w:hAnsi="宋体" w:cs="宋体"/>
                <w:szCs w:val="21"/>
                <w:highlight w:val="none"/>
              </w:rPr>
            </w:pPr>
            <w:r>
              <w:rPr>
                <w:rFonts w:hint="eastAsia" w:ascii="宋体" w:hAnsi="宋体" w:cs="宋体"/>
                <w:szCs w:val="21"/>
                <w:highlight w:val="none"/>
              </w:rPr>
              <w:t>3.所投产品制造商具有机械工程类高级工程师的，每具备一个得1分，最高得2分。</w:t>
            </w:r>
          </w:p>
          <w:p w14:paraId="4F242A01">
            <w:pPr>
              <w:rPr>
                <w:rFonts w:hint="eastAsia" w:ascii="宋体" w:hAnsi="宋体" w:cs="宋体"/>
                <w:b/>
                <w:bCs/>
                <w:szCs w:val="21"/>
                <w:highlight w:val="none"/>
              </w:rPr>
            </w:pPr>
            <w:r>
              <w:rPr>
                <w:rFonts w:hint="eastAsia" w:ascii="宋体" w:hAnsi="宋体" w:cs="宋体"/>
                <w:b/>
                <w:bCs/>
                <w:szCs w:val="21"/>
                <w:highlight w:val="none"/>
              </w:rPr>
              <w:t>评审依据：提供人员相关证书网查记录、网查链接（加盖所投产品制造商公章）及开标截止时间前近6个月（不含开标当月）投标单位为其缴纳社保凭证网查记录（加盖所投产品制造商公章）佐证。未提供或提供不全不得分。</w:t>
            </w:r>
          </w:p>
        </w:tc>
      </w:tr>
      <w:tr w14:paraId="2523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52" w:type="dxa"/>
            <w:vMerge w:val="continue"/>
            <w:tcBorders>
              <w:left w:val="single" w:color="auto" w:sz="4" w:space="0"/>
              <w:right w:val="single" w:color="auto" w:sz="4" w:space="0"/>
            </w:tcBorders>
            <w:noWrap w:val="0"/>
            <w:vAlign w:val="center"/>
          </w:tcPr>
          <w:p w14:paraId="7346187E">
            <w:pPr>
              <w:widowControl/>
              <w:adjustRightInd w:val="0"/>
              <w:snapToGrid w:val="0"/>
              <w:spacing w:line="360" w:lineRule="auto"/>
              <w:rPr>
                <w:rFonts w:hint="eastAsia"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E50E204">
            <w:pPr>
              <w:widowControl/>
              <w:adjustRightInd w:val="0"/>
              <w:snapToGrid w:val="0"/>
              <w:spacing w:line="360" w:lineRule="auto"/>
              <w:rPr>
                <w:rFonts w:hint="eastAsia" w:ascii="宋体" w:hAnsi="宋体" w:cs="宋体"/>
                <w:szCs w:val="21"/>
              </w:rPr>
            </w:pPr>
            <w:r>
              <w:rPr>
                <w:rFonts w:hint="eastAsia" w:ascii="宋体" w:hAnsi="宋体" w:cs="宋体"/>
                <w:szCs w:val="21"/>
              </w:rPr>
              <w:t>供货方案</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31C0ADA0">
            <w:pPr>
              <w:spacing w:line="360" w:lineRule="auto"/>
              <w:jc w:val="both"/>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0307E331">
            <w:pPr>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提供针对本项目的供货安装方案，包括但不限于：</w:t>
            </w:r>
          </w:p>
          <w:p w14:paraId="187872A4">
            <w:pPr>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①供应配送</w:t>
            </w:r>
          </w:p>
          <w:p w14:paraId="1D454752">
            <w:pPr>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②试车调试</w:t>
            </w:r>
          </w:p>
          <w:p w14:paraId="4F470062">
            <w:pPr>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③进度计划安全保障措施等</w:t>
            </w:r>
          </w:p>
          <w:p w14:paraId="7EBDDC84">
            <w:pPr>
              <w:spacing w:line="360" w:lineRule="auto"/>
              <w:jc w:val="left"/>
              <w:rPr>
                <w:rFonts w:hint="eastAsia" w:ascii="宋体" w:hAnsi="宋体" w:cs="宋体"/>
                <w:bCs/>
                <w:kern w:val="0"/>
                <w:szCs w:val="21"/>
                <w:highlight w:val="none"/>
              </w:rPr>
            </w:pPr>
            <w:r>
              <w:rPr>
                <w:rFonts w:hint="eastAsia" w:ascii="宋体" w:hAnsi="宋体" w:cs="宋体"/>
                <w:bCs/>
                <w:kern w:val="0"/>
                <w:szCs w:val="21"/>
                <w:highlight w:val="none"/>
              </w:rPr>
              <w:t>以上三项内容齐全且满足本项目采购需求的得3分，每缺少一项扣1分；每有一项内容存在缺陷扣1分，扣完为止。(注：缺陷是指存在不适用本项目实际情况的情形、内容前后不一致、涉及的规范及标准错误、地点区域错误、不符合采购需求等）</w:t>
            </w:r>
          </w:p>
          <w:p w14:paraId="232FBA59">
            <w:pPr>
              <w:spacing w:line="360" w:lineRule="auto"/>
              <w:jc w:val="left"/>
              <w:rPr>
                <w:rFonts w:hint="eastAsia" w:ascii="宋体" w:hAnsi="宋体" w:cs="宋体"/>
                <w:szCs w:val="21"/>
                <w:highlight w:val="none"/>
              </w:rPr>
            </w:pPr>
            <w:r>
              <w:rPr>
                <w:rFonts w:hint="eastAsia" w:ascii="宋体" w:hAnsi="宋体" w:cs="宋体"/>
                <w:b/>
                <w:bCs w:val="0"/>
                <w:kern w:val="0"/>
                <w:szCs w:val="21"/>
                <w:highlight w:val="none"/>
              </w:rPr>
              <w:t>评审依据：投标文件中提供供货方案加盖单投标人公章，未提供或者提供不完整者不得分。</w:t>
            </w:r>
          </w:p>
        </w:tc>
      </w:tr>
      <w:tr w14:paraId="4091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1152" w:type="dxa"/>
            <w:vMerge w:val="continue"/>
            <w:tcBorders>
              <w:left w:val="single" w:color="auto" w:sz="4" w:space="0"/>
              <w:right w:val="single" w:color="auto" w:sz="4" w:space="0"/>
            </w:tcBorders>
            <w:noWrap w:val="0"/>
            <w:vAlign w:val="center"/>
          </w:tcPr>
          <w:p w14:paraId="094EECD5">
            <w:pPr>
              <w:widowControl/>
              <w:adjustRightInd w:val="0"/>
              <w:snapToGrid w:val="0"/>
              <w:spacing w:line="360" w:lineRule="auto"/>
              <w:rPr>
                <w:rFonts w:hint="eastAsia"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9BF824B">
            <w:pPr>
              <w:widowControl/>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highlight w:val="none"/>
              </w:rPr>
              <w:t>管理认证</w:t>
            </w:r>
            <w:r>
              <w:rPr>
                <w:rFonts w:hint="eastAsia" w:ascii="宋体" w:hAnsi="宋体" w:cs="宋体"/>
                <w:szCs w:val="21"/>
                <w:highlight w:val="none"/>
                <w:lang w:eastAsia="zh-CN"/>
              </w:rPr>
              <w:t>（</w:t>
            </w:r>
            <w:r>
              <w:rPr>
                <w:rFonts w:hint="eastAsia" w:ascii="宋体" w:hAnsi="宋体" w:cs="宋体"/>
                <w:szCs w:val="21"/>
                <w:highlight w:val="none"/>
                <w:lang w:val="en-US" w:eastAsia="zh-CN"/>
              </w:rPr>
              <w:t>履约能力）</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7E8B5F9E">
            <w:pPr>
              <w:widowControl/>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3C2E878E">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所投产品制造商具有：</w:t>
            </w:r>
          </w:p>
          <w:p w14:paraId="7C720489">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①质量管理体系认证。</w:t>
            </w:r>
          </w:p>
          <w:p w14:paraId="030D3085">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②环境体系认证。</w:t>
            </w:r>
          </w:p>
          <w:p w14:paraId="5DAE2494">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③职业健康安全管理体系认证。</w:t>
            </w:r>
          </w:p>
          <w:p w14:paraId="557E79C1">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④能源管理体系认证证书。</w:t>
            </w:r>
          </w:p>
          <w:p w14:paraId="07F66465">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以上证书的认证范围须为所投产品车辆，且在有效期内.</w:t>
            </w:r>
          </w:p>
          <w:p w14:paraId="0D446DDB">
            <w:pPr>
              <w:spacing w:line="380" w:lineRule="exact"/>
              <w:jc w:val="left"/>
              <w:rPr>
                <w:rFonts w:hint="eastAsia" w:ascii="宋体" w:hAnsi="宋体" w:cs="宋体"/>
                <w:kern w:val="0"/>
                <w:szCs w:val="21"/>
                <w:highlight w:val="none"/>
              </w:rPr>
            </w:pPr>
            <w:r>
              <w:rPr>
                <w:rFonts w:hint="eastAsia" w:ascii="宋体" w:hAnsi="宋体" w:cs="宋体"/>
                <w:kern w:val="0"/>
                <w:szCs w:val="21"/>
                <w:highlight w:val="none"/>
              </w:rPr>
              <w:t>每满足一项得0.5分，四项同时满足得6分。</w:t>
            </w:r>
          </w:p>
          <w:p w14:paraId="2C95CE14">
            <w:pPr>
              <w:spacing w:line="380" w:lineRule="exact"/>
              <w:jc w:val="left"/>
              <w:rPr>
                <w:rFonts w:hint="eastAsia" w:ascii="宋体" w:hAnsi="宋体" w:cs="宋体"/>
                <w:b/>
                <w:bCs/>
                <w:szCs w:val="21"/>
                <w:highlight w:val="none"/>
              </w:rPr>
            </w:pPr>
            <w:r>
              <w:rPr>
                <w:rFonts w:hint="eastAsia" w:ascii="宋体" w:hAnsi="宋体" w:cs="宋体"/>
                <w:b/>
                <w:bCs/>
                <w:kern w:val="0"/>
                <w:szCs w:val="21"/>
                <w:highlight w:val="none"/>
              </w:rPr>
              <w:t>评审依据：以全国认证认可信息公共服务平台查询结果为准，网址：http://cx.cnca.cn/，投标文件中附证书复印件及查询结果网页截图加盖所投产品制造商公章。</w:t>
            </w:r>
          </w:p>
        </w:tc>
      </w:tr>
      <w:tr w14:paraId="61CC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52" w:type="dxa"/>
            <w:vMerge w:val="restart"/>
            <w:tcBorders>
              <w:top w:val="single" w:color="auto" w:sz="4" w:space="0"/>
              <w:left w:val="single" w:color="auto" w:sz="4" w:space="0"/>
              <w:right w:val="single" w:color="auto" w:sz="4" w:space="0"/>
            </w:tcBorders>
            <w:noWrap w:val="0"/>
            <w:vAlign w:val="center"/>
          </w:tcPr>
          <w:p w14:paraId="65019B79">
            <w:pPr>
              <w:widowControl/>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rPr>
              <w:t>商务分</w:t>
            </w:r>
            <w:r>
              <w:rPr>
                <w:rFonts w:hint="eastAsia" w:ascii="宋体" w:hAnsi="宋体" w:cs="宋体"/>
                <w:szCs w:val="21"/>
                <w:lang w:eastAsia="zh-CN"/>
              </w:rPr>
              <w:t>（</w:t>
            </w:r>
            <w:r>
              <w:rPr>
                <w:rFonts w:hint="eastAsia" w:ascii="宋体" w:hAnsi="宋体" w:cs="宋体"/>
                <w:szCs w:val="21"/>
                <w:lang w:val="en-US" w:eastAsia="zh-CN"/>
              </w:rPr>
              <w:t>14分）</w:t>
            </w:r>
          </w:p>
        </w:tc>
        <w:tc>
          <w:tcPr>
            <w:tcW w:w="8849" w:type="dxa"/>
            <w:gridSpan w:val="3"/>
            <w:tcBorders>
              <w:top w:val="single" w:color="auto" w:sz="4" w:space="0"/>
              <w:left w:val="single" w:color="auto" w:sz="4" w:space="0"/>
              <w:right w:val="single" w:color="auto" w:sz="4" w:space="0"/>
            </w:tcBorders>
            <w:noWrap w:val="0"/>
            <w:vAlign w:val="center"/>
          </w:tcPr>
          <w:p w14:paraId="5AC2A98E">
            <w:pPr>
              <w:adjustRightInd w:val="0"/>
              <w:snapToGrid w:val="0"/>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投标文件完全满足招标文件</w:t>
            </w:r>
            <w:r>
              <w:rPr>
                <w:rFonts w:hint="eastAsia" w:ascii="宋体" w:hAnsi="宋体" w:eastAsia="宋体" w:cs="宋体"/>
                <w:b/>
                <w:bCs/>
                <w:color w:val="auto"/>
                <w:sz w:val="24"/>
                <w:szCs w:val="24"/>
                <w:highlight w:val="none"/>
                <w:lang w:val="en-US" w:eastAsia="zh-CN"/>
              </w:rPr>
              <w:t>第三章 二、商务条款。</w:t>
            </w:r>
            <w:r>
              <w:rPr>
                <w:rFonts w:hint="eastAsia" w:ascii="宋体" w:hAnsi="宋体" w:eastAsia="宋体" w:cs="宋体"/>
                <w:color w:val="auto"/>
                <w:sz w:val="24"/>
                <w:szCs w:val="24"/>
                <w:highlight w:val="none"/>
                <w:lang w:val="en-US" w:eastAsia="zh-CN"/>
              </w:rPr>
              <w:t>任一条不满足，作无效标处理。</w:t>
            </w:r>
          </w:p>
          <w:p w14:paraId="23E001F3">
            <w:pPr>
              <w:adjustRightInd w:val="0"/>
              <w:snapToGrid w:val="0"/>
              <w:spacing w:line="360" w:lineRule="auto"/>
              <w:jc w:val="both"/>
              <w:rPr>
                <w:rFonts w:hint="eastAsia" w:ascii="宋体" w:hAnsi="宋体" w:cs="宋体"/>
                <w:b/>
                <w:bCs/>
                <w:szCs w:val="21"/>
                <w:highlight w:val="none"/>
              </w:rPr>
            </w:pPr>
            <w:r>
              <w:rPr>
                <w:rFonts w:hint="eastAsia" w:ascii="宋体" w:hAnsi="宋体" w:eastAsia="宋体" w:cs="宋体"/>
                <w:b/>
                <w:bCs/>
                <w:color w:val="auto"/>
                <w:sz w:val="24"/>
                <w:szCs w:val="24"/>
                <w:highlight w:val="none"/>
                <w:lang w:val="en-US" w:eastAsia="zh-CN"/>
              </w:rPr>
              <w:t>评审依据∶提供"商务条款响应/偏离表"加盖投标单位公章。</w:t>
            </w:r>
          </w:p>
        </w:tc>
      </w:tr>
      <w:tr w14:paraId="4462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52" w:type="dxa"/>
            <w:vMerge w:val="continue"/>
            <w:tcBorders>
              <w:left w:val="single" w:color="auto" w:sz="4" w:space="0"/>
              <w:right w:val="single" w:color="auto" w:sz="4" w:space="0"/>
            </w:tcBorders>
            <w:noWrap w:val="0"/>
            <w:vAlign w:val="center"/>
          </w:tcPr>
          <w:p w14:paraId="78A6168F">
            <w:pPr>
              <w:widowControl/>
              <w:adjustRightInd w:val="0"/>
              <w:snapToGrid w:val="0"/>
              <w:spacing w:line="360" w:lineRule="auto"/>
              <w:jc w:val="center"/>
              <w:rPr>
                <w:rFonts w:hint="default" w:ascii="宋体" w:hAnsi="宋体" w:eastAsia="宋体" w:cs="宋体"/>
                <w:szCs w:val="21"/>
                <w:lang w:val="en-US" w:eastAsia="zh-CN"/>
              </w:rPr>
            </w:pPr>
          </w:p>
        </w:tc>
        <w:tc>
          <w:tcPr>
            <w:tcW w:w="1209" w:type="dxa"/>
            <w:tcBorders>
              <w:top w:val="single" w:color="auto" w:sz="4" w:space="0"/>
              <w:left w:val="single" w:color="auto" w:sz="4" w:space="0"/>
              <w:right w:val="single" w:color="auto" w:sz="4" w:space="0"/>
            </w:tcBorders>
            <w:noWrap w:val="0"/>
            <w:vAlign w:val="center"/>
          </w:tcPr>
          <w:p w14:paraId="63D342CA">
            <w:pPr>
              <w:adjustRightInd w:val="0"/>
              <w:snapToGrid w:val="0"/>
              <w:spacing w:line="360" w:lineRule="auto"/>
              <w:rPr>
                <w:rFonts w:hint="eastAsia" w:ascii="宋体" w:hAnsi="宋体" w:cs="宋体"/>
                <w:szCs w:val="21"/>
              </w:rPr>
            </w:pPr>
            <w:r>
              <w:rPr>
                <w:rFonts w:hint="eastAsia" w:ascii="宋体" w:hAnsi="宋体" w:cs="宋体"/>
                <w:szCs w:val="21"/>
                <w:lang w:val="en-US" w:eastAsia="zh-CN"/>
              </w:rPr>
              <w:t>相关</w:t>
            </w:r>
            <w:r>
              <w:rPr>
                <w:rFonts w:hint="eastAsia" w:ascii="宋体" w:hAnsi="宋体" w:cs="宋体"/>
                <w:szCs w:val="21"/>
              </w:rPr>
              <w:t>业绩</w:t>
            </w:r>
          </w:p>
        </w:tc>
        <w:tc>
          <w:tcPr>
            <w:tcW w:w="672" w:type="dxa"/>
            <w:tcBorders>
              <w:top w:val="single" w:color="auto" w:sz="4" w:space="0"/>
              <w:left w:val="single" w:color="auto" w:sz="4" w:space="0"/>
              <w:right w:val="single" w:color="auto" w:sz="4" w:space="0"/>
            </w:tcBorders>
            <w:noWrap w:val="0"/>
            <w:vAlign w:val="center"/>
          </w:tcPr>
          <w:p w14:paraId="60DA1E37">
            <w:pPr>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分</w:t>
            </w:r>
          </w:p>
        </w:tc>
        <w:tc>
          <w:tcPr>
            <w:tcW w:w="6968" w:type="dxa"/>
            <w:tcBorders>
              <w:top w:val="single" w:color="auto" w:sz="4" w:space="0"/>
              <w:left w:val="single" w:color="auto" w:sz="4" w:space="0"/>
              <w:right w:val="single" w:color="auto" w:sz="4" w:space="0"/>
            </w:tcBorders>
            <w:noWrap w:val="0"/>
            <w:vAlign w:val="top"/>
          </w:tcPr>
          <w:p w14:paraId="0BFFE68D">
            <w:pPr>
              <w:adjustRightInd w:val="0"/>
              <w:snapToGrid w:val="0"/>
              <w:spacing w:line="360" w:lineRule="auto"/>
              <w:jc w:val="both"/>
              <w:rPr>
                <w:rFonts w:hint="eastAsia" w:ascii="宋体" w:hAnsi="宋体" w:cs="宋体"/>
                <w:kern w:val="0"/>
                <w:szCs w:val="21"/>
              </w:rPr>
            </w:pPr>
            <w:r>
              <w:rPr>
                <w:rFonts w:hint="eastAsia" w:ascii="宋体" w:hAnsi="宋体" w:cs="宋体"/>
                <w:kern w:val="0"/>
                <w:szCs w:val="21"/>
              </w:rPr>
              <w:t>投标人提供开标前36个月内（以合同签订时间为准），承担过类似项目，每提供一个得0.5分，最高得1分。</w:t>
            </w:r>
          </w:p>
          <w:p w14:paraId="20D35D85">
            <w:pPr>
              <w:adjustRightInd w:val="0"/>
              <w:snapToGrid w:val="0"/>
              <w:spacing w:line="360" w:lineRule="auto"/>
              <w:jc w:val="both"/>
              <w:rPr>
                <w:rFonts w:hint="eastAsia" w:ascii="宋体" w:hAnsi="宋体" w:cs="宋体"/>
                <w:b/>
                <w:bCs/>
                <w:szCs w:val="21"/>
              </w:rPr>
            </w:pPr>
            <w:r>
              <w:rPr>
                <w:rFonts w:hint="eastAsia" w:ascii="宋体" w:hAnsi="宋体" w:cs="宋体"/>
                <w:b/>
                <w:bCs/>
                <w:kern w:val="0"/>
                <w:szCs w:val="21"/>
              </w:rPr>
              <w:t>评审依据：提供①中标(成交)通知书、②合同、③中标公告(公示)或成交公告(公示)的网页截图、④网站查询链接复印件加盖投标人公章。缺一项不得分。</w:t>
            </w:r>
          </w:p>
        </w:tc>
      </w:tr>
      <w:tr w14:paraId="26E2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4" w:hRule="atLeast"/>
          <w:jc w:val="center"/>
        </w:trPr>
        <w:tc>
          <w:tcPr>
            <w:tcW w:w="1152" w:type="dxa"/>
            <w:vMerge w:val="continue"/>
            <w:tcBorders>
              <w:left w:val="single" w:color="auto" w:sz="4" w:space="0"/>
              <w:right w:val="single" w:color="auto" w:sz="4" w:space="0"/>
            </w:tcBorders>
            <w:noWrap w:val="0"/>
            <w:vAlign w:val="center"/>
          </w:tcPr>
          <w:p w14:paraId="01D76017">
            <w:pPr>
              <w:widowControl/>
              <w:adjustRightInd w:val="0"/>
              <w:snapToGrid w:val="0"/>
              <w:spacing w:line="360" w:lineRule="auto"/>
              <w:rPr>
                <w:rFonts w:hint="eastAsia"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2589481">
            <w:pPr>
              <w:widowControl/>
              <w:adjustRightInd w:val="0"/>
              <w:snapToGrid w:val="0"/>
              <w:spacing w:line="360" w:lineRule="auto"/>
              <w:jc w:val="center"/>
              <w:rPr>
                <w:rFonts w:hint="eastAsia" w:ascii="宋体" w:hAnsi="宋体" w:cs="宋体"/>
                <w:szCs w:val="21"/>
              </w:rPr>
            </w:pPr>
            <w:r>
              <w:rPr>
                <w:rFonts w:hint="eastAsia" w:ascii="宋体" w:hAnsi="宋体" w:cs="宋体"/>
                <w:szCs w:val="21"/>
              </w:rPr>
              <w:t>售后服务方案</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57C8DE72">
            <w:pPr>
              <w:widowControl/>
              <w:adjustRightInd w:val="0"/>
              <w:snapToGrid w:val="0"/>
              <w:spacing w:line="360" w:lineRule="auto"/>
              <w:jc w:val="center"/>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7FDDBB33">
            <w:pPr>
              <w:widowControl/>
              <w:adjustRightInd w:val="0"/>
              <w:snapToGrid w:val="0"/>
              <w:spacing w:line="360" w:lineRule="auto"/>
              <w:rPr>
                <w:rFonts w:hint="default" w:ascii="宋体" w:hAnsi="宋体" w:cs="宋体"/>
                <w:bCs/>
                <w:kern w:val="0"/>
                <w:szCs w:val="21"/>
                <w:lang w:val="en-US"/>
              </w:rPr>
            </w:pPr>
            <w:r>
              <w:rPr>
                <w:rFonts w:hint="default" w:ascii="宋体" w:hAnsi="宋体" w:cs="宋体"/>
                <w:bCs/>
                <w:kern w:val="0"/>
                <w:szCs w:val="21"/>
                <w:lang w:val="en-US"/>
              </w:rPr>
              <w:t>提供针对本项目的售后服务方案： 包括但不限于：</w:t>
            </w:r>
          </w:p>
          <w:p w14:paraId="3AB0D43B">
            <w:pPr>
              <w:widowControl/>
              <w:adjustRightInd w:val="0"/>
              <w:snapToGrid w:val="0"/>
              <w:spacing w:line="360" w:lineRule="auto"/>
              <w:rPr>
                <w:rFonts w:hint="default" w:ascii="宋体" w:hAnsi="宋体" w:cs="宋体"/>
                <w:bCs/>
                <w:kern w:val="0"/>
                <w:szCs w:val="21"/>
                <w:lang w:val="en-US"/>
              </w:rPr>
            </w:pPr>
            <w:r>
              <w:rPr>
                <w:rFonts w:hint="default" w:ascii="宋体" w:hAnsi="宋体" w:cs="宋体"/>
                <w:bCs/>
                <w:kern w:val="0"/>
                <w:szCs w:val="21"/>
                <w:lang w:val="en-US"/>
              </w:rPr>
              <w:t>①售后服务承诺、售后服务体系</w:t>
            </w:r>
          </w:p>
          <w:p w14:paraId="0C6CAA4C">
            <w:pPr>
              <w:widowControl/>
              <w:adjustRightInd w:val="0"/>
              <w:snapToGrid w:val="0"/>
              <w:spacing w:line="360" w:lineRule="auto"/>
              <w:rPr>
                <w:rFonts w:hint="default" w:ascii="宋体" w:hAnsi="宋体" w:cs="宋体"/>
                <w:bCs/>
                <w:kern w:val="0"/>
                <w:szCs w:val="21"/>
                <w:lang w:val="en-US"/>
              </w:rPr>
            </w:pPr>
            <w:r>
              <w:rPr>
                <w:rFonts w:hint="default" w:ascii="宋体" w:hAnsi="宋体" w:cs="宋体"/>
                <w:bCs/>
                <w:kern w:val="0"/>
                <w:szCs w:val="21"/>
                <w:lang w:val="en-US"/>
              </w:rPr>
              <w:t>②售后服务优惠措施、备品备件库、技术培训方案</w:t>
            </w:r>
          </w:p>
          <w:p w14:paraId="6B1248E8">
            <w:pPr>
              <w:widowControl/>
              <w:adjustRightInd w:val="0"/>
              <w:snapToGrid w:val="0"/>
              <w:spacing w:line="360" w:lineRule="auto"/>
              <w:rPr>
                <w:rFonts w:hint="default" w:ascii="宋体" w:hAnsi="宋体" w:cs="宋体"/>
                <w:bCs/>
                <w:kern w:val="0"/>
                <w:szCs w:val="21"/>
                <w:lang w:val="en-US"/>
              </w:rPr>
            </w:pPr>
            <w:r>
              <w:rPr>
                <w:rFonts w:hint="default" w:ascii="宋体" w:hAnsi="宋体" w:cs="宋体"/>
                <w:bCs/>
                <w:kern w:val="0"/>
                <w:szCs w:val="21"/>
                <w:lang w:val="en-US"/>
              </w:rPr>
              <w:t>③所投产品在项目所在地有建立特约售后服务站或相关授权等材料的</w:t>
            </w:r>
          </w:p>
          <w:p w14:paraId="1C1056F2">
            <w:pPr>
              <w:widowControl/>
              <w:adjustRightInd w:val="0"/>
              <w:snapToGrid w:val="0"/>
              <w:spacing w:line="360" w:lineRule="auto"/>
              <w:rPr>
                <w:rFonts w:hint="default" w:ascii="宋体" w:hAnsi="宋体" w:cs="宋体"/>
                <w:bCs/>
                <w:kern w:val="0"/>
                <w:szCs w:val="21"/>
                <w:lang w:val="en-US"/>
              </w:rPr>
            </w:pPr>
            <w:r>
              <w:rPr>
                <w:rFonts w:hint="default" w:ascii="宋体" w:hAnsi="宋体" w:cs="宋体"/>
                <w:bCs/>
                <w:kern w:val="0"/>
                <w:szCs w:val="21"/>
                <w:lang w:val="en-US"/>
              </w:rPr>
              <w:t>以上三项内容齐全且满足本项目采购需求的得3分，每缺少一项扣1分；每有一项内容存在缺陷扣1分，扣完为止。(注：缺陷是指存在不适用本项目实际情况的情形、内容前后不一致、涉及的规范及标准错误、地点区域错误、不符合采购需求等）</w:t>
            </w:r>
          </w:p>
          <w:p w14:paraId="3F6195E0">
            <w:pPr>
              <w:widowControl/>
              <w:adjustRightInd w:val="0"/>
              <w:snapToGrid w:val="0"/>
              <w:spacing w:line="360" w:lineRule="auto"/>
              <w:rPr>
                <w:rFonts w:hint="default" w:ascii="宋体" w:hAnsi="宋体" w:cs="宋体"/>
                <w:bCs/>
                <w:kern w:val="0"/>
                <w:szCs w:val="21"/>
                <w:lang w:val="en-US"/>
              </w:rPr>
            </w:pPr>
            <w:r>
              <w:rPr>
                <w:rFonts w:hint="default" w:ascii="宋体" w:hAnsi="宋体" w:cs="宋体"/>
                <w:b/>
                <w:bCs w:val="0"/>
                <w:kern w:val="0"/>
                <w:szCs w:val="21"/>
                <w:lang w:val="en-US"/>
              </w:rPr>
              <w:t>评审依据：投标文件中提供售后服务方案加盖投标人公章，未提供或者提供不符者不得分。</w:t>
            </w:r>
          </w:p>
        </w:tc>
      </w:tr>
      <w:tr w14:paraId="2141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52" w:type="dxa"/>
            <w:vMerge w:val="continue"/>
            <w:tcBorders>
              <w:left w:val="single" w:color="auto" w:sz="4" w:space="0"/>
              <w:right w:val="single" w:color="auto" w:sz="4" w:space="0"/>
            </w:tcBorders>
            <w:noWrap w:val="0"/>
            <w:vAlign w:val="center"/>
          </w:tcPr>
          <w:p w14:paraId="6EBFA079">
            <w:pPr>
              <w:widowControl/>
              <w:adjustRightInd w:val="0"/>
              <w:snapToGrid w:val="0"/>
              <w:spacing w:line="360" w:lineRule="auto"/>
              <w:rPr>
                <w:rFonts w:hint="eastAsia" w:ascii="宋体" w:hAnsi="宋体" w:cs="宋体"/>
                <w:szCs w:val="21"/>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E9B4C76">
            <w:pPr>
              <w:widowControl/>
              <w:adjustRightInd w:val="0"/>
              <w:snapToGrid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售后服务认证</w:t>
            </w:r>
          </w:p>
        </w:tc>
        <w:tc>
          <w:tcPr>
            <w:tcW w:w="672" w:type="dxa"/>
            <w:tcBorders>
              <w:top w:val="single" w:color="auto" w:sz="4" w:space="0"/>
              <w:left w:val="single" w:color="auto" w:sz="4" w:space="0"/>
              <w:bottom w:val="single" w:color="auto" w:sz="4" w:space="0"/>
              <w:right w:val="single" w:color="auto" w:sz="4" w:space="0"/>
            </w:tcBorders>
            <w:noWrap w:val="0"/>
            <w:vAlign w:val="center"/>
          </w:tcPr>
          <w:p w14:paraId="766D0229">
            <w:pPr>
              <w:widowControl/>
              <w:adjustRightInd w:val="0"/>
              <w:snapToGrid w:val="0"/>
              <w:spacing w:line="360" w:lineRule="auto"/>
              <w:jc w:val="center"/>
              <w:rPr>
                <w:rFonts w:hint="default" w:ascii="宋体" w:hAnsi="宋体" w:cs="宋体"/>
                <w:szCs w:val="21"/>
                <w:lang w:val="en-US" w:eastAsia="zh-CN"/>
              </w:rPr>
            </w:pPr>
            <w:r>
              <w:rPr>
                <w:rFonts w:hint="eastAsia" w:ascii="宋体" w:hAnsi="宋体" w:cs="宋体"/>
                <w:szCs w:val="21"/>
                <w:lang w:val="en-US" w:eastAsia="zh-CN"/>
              </w:rPr>
              <w:t>10分</w:t>
            </w:r>
          </w:p>
        </w:tc>
        <w:tc>
          <w:tcPr>
            <w:tcW w:w="6968" w:type="dxa"/>
            <w:tcBorders>
              <w:top w:val="single" w:color="auto" w:sz="4" w:space="0"/>
              <w:left w:val="single" w:color="auto" w:sz="4" w:space="0"/>
              <w:bottom w:val="single" w:color="auto" w:sz="4" w:space="0"/>
              <w:right w:val="single" w:color="auto" w:sz="4" w:space="0"/>
            </w:tcBorders>
            <w:noWrap w:val="0"/>
            <w:vAlign w:val="center"/>
          </w:tcPr>
          <w:p w14:paraId="18676108">
            <w:pPr>
              <w:spacing w:line="380" w:lineRule="exact"/>
              <w:jc w:val="left"/>
              <w:rPr>
                <w:rFonts w:hint="eastAsia" w:ascii="宋体" w:hAnsi="宋体" w:cs="宋体"/>
                <w:szCs w:val="21"/>
              </w:rPr>
            </w:pPr>
            <w:r>
              <w:rPr>
                <w:rFonts w:hint="eastAsia" w:ascii="宋体" w:hAnsi="宋体" w:cs="宋体"/>
                <w:szCs w:val="21"/>
              </w:rPr>
              <w:t>所投产品制造商具有CTEAS服务能力持续有效认证证书（认证覆盖所投产品），证书五星级以上得1分，十星级（含十星级）以上得3分，十二星得10分。</w:t>
            </w:r>
          </w:p>
          <w:p w14:paraId="0CD29858">
            <w:pPr>
              <w:spacing w:line="380" w:lineRule="exact"/>
              <w:jc w:val="left"/>
              <w:rPr>
                <w:rFonts w:hint="eastAsia" w:ascii="宋体" w:hAnsi="宋体" w:cs="宋体"/>
                <w:b/>
                <w:kern w:val="0"/>
                <w:szCs w:val="21"/>
              </w:rPr>
            </w:pPr>
            <w:r>
              <w:rPr>
                <w:rFonts w:hint="eastAsia" w:ascii="宋体" w:hAnsi="宋体" w:cs="宋体"/>
                <w:b/>
                <w:bCs/>
                <w:szCs w:val="21"/>
              </w:rPr>
              <w:t>评审依据：提供国家市场监督管理总局全国认证认可信息公共服务平台的查询结果网页截图、网查链接网页截图和有效证书扫描件加盖所投产品制造商公章。</w:t>
            </w:r>
          </w:p>
        </w:tc>
      </w:tr>
    </w:tbl>
    <w:p w14:paraId="40C282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A193B"/>
    <w:multiLevelType w:val="singleLevel"/>
    <w:tmpl w:val="6DEA19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AA49E1"/>
    <w:rsid w:val="53AA4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2025-07-23T06:36:00Z</dcterms:created>
  <dc:creator>JF</dc:creator>
  <cp:lastModifiedBy>JF</cp:lastModifiedBy>
  <dcterms:modified xsi:type="dcterms:W3CDTF">2025-07-23T06:40:47Z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4F85BF8FBFE645C5BDB1DD7D838BB70E_11</vt:lpwstr>
  </property>
  <property fmtid="{D5CDD505-2E9C-101B-9397-08002B2CF9AE}" pid="4" name="KSOTemplateDocerSaveRecord">
    <vt:lpwstr>eyJoZGlkIjoiMzEzNWJlMDE2N2QwZTc2MGZiNjM2NGQ2YzZmODZkNzAiLCJ1c2VySWQiOiIxNTg2MjYxOTc0In0=</vt:lpwstr>
  </property>
</Properties>
</file>