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90A68">
      <w:pPr>
        <w:snapToGrid w:val="0"/>
        <w:spacing w:line="336" w:lineRule="auto"/>
        <w:ind w:right="519" w:rightChars="247"/>
        <w:rPr>
          <w:rFonts w:hint="eastAsia" w:ascii="宋体" w:hAnsi="宋体"/>
          <w:b/>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附件</w:t>
      </w:r>
    </w:p>
    <w:p w14:paraId="728947F0">
      <w:pPr>
        <w:snapToGrid w:val="0"/>
        <w:spacing w:line="336" w:lineRule="auto"/>
        <w:ind w:right="519" w:rightChars="247"/>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一、项目内容、技术参数要求</w:t>
      </w:r>
    </w:p>
    <w:tbl>
      <w:tblPr>
        <w:tblStyle w:val="4"/>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186"/>
        <w:gridCol w:w="4035"/>
        <w:gridCol w:w="641"/>
        <w:gridCol w:w="873"/>
        <w:gridCol w:w="1370"/>
        <w:gridCol w:w="1324"/>
      </w:tblGrid>
      <w:tr w14:paraId="4BCC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3D5CE184">
            <w:pPr>
              <w:snapToGrid w:val="0"/>
              <w:spacing w:line="336" w:lineRule="auto"/>
              <w:ind w:right="-128" w:rightChars="-61"/>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rPr>
              <w:t>序号</w:t>
            </w:r>
          </w:p>
        </w:tc>
        <w:tc>
          <w:tcPr>
            <w:tcW w:w="1186" w:type="dxa"/>
            <w:vAlign w:val="center"/>
          </w:tcPr>
          <w:p w14:paraId="1214DD9F">
            <w:pPr>
              <w:tabs>
                <w:tab w:val="left" w:pos="1480"/>
              </w:tabs>
              <w:snapToGrid w:val="0"/>
              <w:spacing w:line="336" w:lineRule="auto"/>
              <w:ind w:right="-128" w:rightChars="-61"/>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rPr>
              <w:t>项目名称</w:t>
            </w:r>
          </w:p>
        </w:tc>
        <w:tc>
          <w:tcPr>
            <w:tcW w:w="4035" w:type="dxa"/>
            <w:vAlign w:val="center"/>
          </w:tcPr>
          <w:p w14:paraId="31F553C8">
            <w:pPr>
              <w:tabs>
                <w:tab w:val="left" w:pos="1900"/>
              </w:tabs>
              <w:snapToGrid w:val="0"/>
              <w:spacing w:line="336" w:lineRule="auto"/>
              <w:ind w:right="-128" w:rightChars="-61"/>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rPr>
              <w:t>项目特征描述</w:t>
            </w:r>
          </w:p>
        </w:tc>
        <w:tc>
          <w:tcPr>
            <w:tcW w:w="641" w:type="dxa"/>
            <w:vAlign w:val="center"/>
          </w:tcPr>
          <w:p w14:paraId="765E7C60">
            <w:pPr>
              <w:tabs>
                <w:tab w:val="left" w:pos="2100"/>
              </w:tabs>
              <w:snapToGrid w:val="0"/>
              <w:spacing w:line="336" w:lineRule="auto"/>
              <w:ind w:right="-128" w:rightChars="-61"/>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rPr>
              <w:t>单位</w:t>
            </w:r>
          </w:p>
        </w:tc>
        <w:tc>
          <w:tcPr>
            <w:tcW w:w="873" w:type="dxa"/>
            <w:vAlign w:val="center"/>
          </w:tcPr>
          <w:p w14:paraId="5F3AFE99">
            <w:pPr>
              <w:snapToGrid w:val="0"/>
              <w:spacing w:line="336" w:lineRule="auto"/>
              <w:ind w:right="-128" w:rightChars="-61"/>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数</w:t>
            </w:r>
            <w:r>
              <w:rPr>
                <w:rFonts w:hint="eastAsia" w:ascii="宋体" w:hAnsi="宋体" w:eastAsia="宋体" w:cs="宋体"/>
                <w:b w:val="0"/>
                <w:bCs/>
                <w:color w:val="auto"/>
                <w:sz w:val="24"/>
                <w:szCs w:val="24"/>
                <w:highlight w:val="none"/>
                <w:vertAlign w:val="baseline"/>
              </w:rPr>
              <w:t>量</w:t>
            </w:r>
          </w:p>
        </w:tc>
        <w:tc>
          <w:tcPr>
            <w:tcW w:w="1370" w:type="dxa"/>
            <w:vAlign w:val="center"/>
          </w:tcPr>
          <w:p w14:paraId="1DAA38B0">
            <w:pPr>
              <w:snapToGrid w:val="0"/>
              <w:spacing w:line="336" w:lineRule="auto"/>
              <w:ind w:right="-128" w:rightChars="-61"/>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预算单价（元）</w:t>
            </w:r>
          </w:p>
        </w:tc>
        <w:tc>
          <w:tcPr>
            <w:tcW w:w="1324" w:type="dxa"/>
            <w:vAlign w:val="center"/>
          </w:tcPr>
          <w:p w14:paraId="6172FBE0">
            <w:pPr>
              <w:snapToGrid w:val="0"/>
              <w:spacing w:line="336" w:lineRule="auto"/>
              <w:ind w:right="-126" w:rightChars="-60"/>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预算总价（元）</w:t>
            </w:r>
          </w:p>
        </w:tc>
      </w:tr>
      <w:tr w14:paraId="3F0B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28CD70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186" w:type="dxa"/>
            <w:vAlign w:val="center"/>
          </w:tcPr>
          <w:p w14:paraId="7EDA3E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草籽（黑麦草）</w:t>
            </w:r>
          </w:p>
        </w:tc>
        <w:tc>
          <w:tcPr>
            <w:tcW w:w="4035" w:type="dxa"/>
            <w:vAlign w:val="top"/>
          </w:tcPr>
          <w:p w14:paraId="7359DAF3">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需播草籽面积125万平米，0.02公斤/平米测算</w:t>
            </w:r>
          </w:p>
          <w:p w14:paraId="71C621C9">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kern w:val="2"/>
                <w:sz w:val="24"/>
                <w:szCs w:val="24"/>
                <w:vertAlign w:val="baseline"/>
                <w:lang w:val="en-US" w:eastAsia="zh-CN" w:bidi="ar-SA"/>
              </w:rPr>
              <w:t>1.</w:t>
            </w:r>
            <w:r>
              <w:rPr>
                <w:rFonts w:hint="eastAsia" w:ascii="宋体" w:hAnsi="宋体" w:eastAsia="宋体" w:cs="宋体"/>
                <w:b w:val="0"/>
                <w:bCs/>
                <w:color w:val="auto"/>
                <w:sz w:val="24"/>
                <w:szCs w:val="24"/>
                <w:highlight w:val="none"/>
                <w:vertAlign w:val="baseline"/>
                <w:lang w:val="en-US" w:eastAsia="zh-CN"/>
              </w:rPr>
              <w:t>多年生矮生草坪型；</w:t>
            </w:r>
          </w:p>
          <w:p w14:paraId="205B1B09">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2.草色深绿； </w:t>
            </w:r>
          </w:p>
          <w:p w14:paraId="3C70F6E9">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3.净度≥98%；</w:t>
            </w:r>
          </w:p>
          <w:p w14:paraId="002EE496">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4.发芽率≥85%；</w:t>
            </w:r>
          </w:p>
          <w:p w14:paraId="7E197A85">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5.质量：≤22.7kg/袋；</w:t>
            </w:r>
          </w:p>
          <w:p w14:paraId="70B2AC53">
            <w:pPr>
              <w:keepNext w:val="0"/>
              <w:keepLines w:val="0"/>
              <w:widowControl/>
              <w:suppressLineNumbers w:val="0"/>
              <w:jc w:val="left"/>
              <w:textAlignment w:val="center"/>
              <w:rPr>
                <w:rFonts w:hint="eastAsia" w:ascii="宋体" w:hAnsi="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6.产地：</w:t>
            </w:r>
            <w:r>
              <w:rPr>
                <w:rFonts w:hint="eastAsia" w:ascii="宋体" w:hAnsi="宋体" w:cs="宋体"/>
                <w:b w:val="0"/>
                <w:bCs/>
                <w:color w:val="auto"/>
                <w:sz w:val="24"/>
                <w:szCs w:val="24"/>
                <w:highlight w:val="none"/>
                <w:vertAlign w:val="baseline"/>
                <w:lang w:val="en-US" w:eastAsia="zh-CN"/>
              </w:rPr>
              <w:t>进口</w:t>
            </w:r>
          </w:p>
          <w:p w14:paraId="4723FB9E">
            <w:pPr>
              <w:keepNext w:val="0"/>
              <w:keepLines w:val="0"/>
              <w:widowControl/>
              <w:suppressLineNumbers w:val="0"/>
              <w:jc w:val="left"/>
              <w:textAlignment w:val="center"/>
              <w:rPr>
                <w:rFonts w:hint="default" w:ascii="宋体" w:hAnsi="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7.</w:t>
            </w:r>
            <w:r>
              <w:rPr>
                <w:rFonts w:hint="eastAsia" w:ascii="宋体" w:hAnsi="宋体" w:eastAsia="宋体" w:cs="宋体"/>
                <w:b w:val="0"/>
                <w:bCs/>
                <w:i w:val="0"/>
                <w:iCs w:val="0"/>
                <w:color w:val="auto"/>
                <w:kern w:val="0"/>
                <w:sz w:val="22"/>
                <w:szCs w:val="22"/>
                <w:u w:val="none"/>
                <w:lang w:val="en-US" w:eastAsia="zh-CN" w:bidi="ar"/>
              </w:rPr>
              <w:t>蓝标00级无杂草种子；</w:t>
            </w:r>
          </w:p>
          <w:p w14:paraId="469B5091">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注：投标人须提供种子芽率报告、产地证明及检验检疫证明。</w:t>
            </w:r>
          </w:p>
        </w:tc>
        <w:tc>
          <w:tcPr>
            <w:tcW w:w="641" w:type="dxa"/>
            <w:vAlign w:val="center"/>
          </w:tcPr>
          <w:p w14:paraId="26B41A0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873" w:type="dxa"/>
            <w:vAlign w:val="center"/>
          </w:tcPr>
          <w:p w14:paraId="48102E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25000 </w:t>
            </w:r>
          </w:p>
        </w:tc>
        <w:tc>
          <w:tcPr>
            <w:tcW w:w="1370" w:type="dxa"/>
            <w:vAlign w:val="center"/>
          </w:tcPr>
          <w:p w14:paraId="2E160F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11.62 </w:t>
            </w:r>
          </w:p>
        </w:tc>
        <w:tc>
          <w:tcPr>
            <w:tcW w:w="1324" w:type="dxa"/>
            <w:vAlign w:val="center"/>
          </w:tcPr>
          <w:p w14:paraId="462C99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290500 </w:t>
            </w:r>
          </w:p>
        </w:tc>
      </w:tr>
      <w:tr w14:paraId="31A3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22899F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186" w:type="dxa"/>
            <w:vAlign w:val="center"/>
          </w:tcPr>
          <w:p w14:paraId="1FB8A5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百日草</w:t>
            </w:r>
          </w:p>
        </w:tc>
        <w:tc>
          <w:tcPr>
            <w:tcW w:w="4035" w:type="dxa"/>
            <w:vAlign w:val="center"/>
          </w:tcPr>
          <w:p w14:paraId="1844E969">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公园面积4.6万平米，按0.005公斤/平米测算（需土工布和打封闭药）</w:t>
            </w:r>
          </w:p>
          <w:p w14:paraId="1F576FA6">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1.颜色：大花重瓣单色（有黄色、 粉红色、红色、玫红色、橙色、紫色）；</w:t>
            </w:r>
          </w:p>
          <w:p w14:paraId="32CAA5AB">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kern w:val="2"/>
                <w:sz w:val="24"/>
                <w:szCs w:val="24"/>
                <w:vertAlign w:val="baseline"/>
                <w:lang w:val="en-US" w:eastAsia="zh-CN" w:bidi="ar-SA"/>
              </w:rPr>
              <w:t>2.</w:t>
            </w:r>
            <w:r>
              <w:rPr>
                <w:rFonts w:hint="eastAsia" w:ascii="宋体" w:hAnsi="宋体" w:eastAsia="宋体" w:cs="宋体"/>
                <w:b w:val="0"/>
                <w:bCs/>
                <w:color w:val="auto"/>
                <w:sz w:val="24"/>
                <w:szCs w:val="24"/>
                <w:highlight w:val="none"/>
                <w:vertAlign w:val="baseline"/>
                <w:lang w:val="en-US" w:eastAsia="zh-CN"/>
              </w:rPr>
              <w:t>株高 30-40cm；</w:t>
            </w:r>
          </w:p>
          <w:p w14:paraId="41E6FC8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kern w:val="2"/>
                <w:sz w:val="24"/>
                <w:szCs w:val="24"/>
                <w:vertAlign w:val="baseline"/>
                <w:lang w:val="en-US" w:eastAsia="zh-CN" w:bidi="ar-SA"/>
              </w:rPr>
              <w:t>3.</w:t>
            </w:r>
            <w:r>
              <w:rPr>
                <w:rFonts w:hint="eastAsia" w:ascii="宋体" w:hAnsi="宋体" w:eastAsia="宋体" w:cs="宋体"/>
                <w:b w:val="0"/>
                <w:bCs/>
                <w:color w:val="auto"/>
                <w:sz w:val="24"/>
                <w:szCs w:val="24"/>
                <w:highlight w:val="none"/>
                <w:vertAlign w:val="baseline"/>
                <w:lang w:val="en-US" w:eastAsia="zh-CN"/>
              </w:rPr>
              <w:t>净度≥98%；</w:t>
            </w:r>
          </w:p>
          <w:p w14:paraId="7A14BA60">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kern w:val="2"/>
                <w:sz w:val="24"/>
                <w:szCs w:val="24"/>
                <w:vertAlign w:val="baseline"/>
                <w:lang w:val="en-US" w:eastAsia="zh-CN" w:bidi="ar-SA"/>
              </w:rPr>
              <w:t>4.</w:t>
            </w:r>
            <w:r>
              <w:rPr>
                <w:rFonts w:hint="eastAsia" w:ascii="宋体" w:hAnsi="宋体" w:eastAsia="宋体" w:cs="宋体"/>
                <w:b w:val="0"/>
                <w:bCs/>
                <w:color w:val="auto"/>
                <w:sz w:val="24"/>
                <w:szCs w:val="24"/>
                <w:highlight w:val="none"/>
                <w:vertAlign w:val="baseline"/>
                <w:lang w:val="en-US" w:eastAsia="zh-CN"/>
              </w:rPr>
              <w:t>发芽率≥80%；</w:t>
            </w:r>
          </w:p>
          <w:p w14:paraId="78C02F8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kern w:val="2"/>
                <w:sz w:val="24"/>
                <w:szCs w:val="24"/>
                <w:vertAlign w:val="baseline"/>
                <w:lang w:val="en-US" w:eastAsia="zh-CN" w:bidi="ar-SA"/>
              </w:rPr>
              <w:t>5.</w:t>
            </w:r>
            <w:r>
              <w:rPr>
                <w:rFonts w:hint="eastAsia" w:ascii="宋体" w:hAnsi="宋体" w:eastAsia="宋体" w:cs="宋体"/>
                <w:b w:val="0"/>
                <w:bCs/>
                <w:color w:val="auto"/>
                <w:sz w:val="24"/>
                <w:szCs w:val="24"/>
                <w:highlight w:val="none"/>
                <w:vertAlign w:val="baseline"/>
                <w:lang w:val="en-US" w:eastAsia="zh-CN"/>
              </w:rPr>
              <w:t>质量：≤25kg/袋；</w:t>
            </w:r>
          </w:p>
          <w:p w14:paraId="6E8F22E9">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6.花期 80-100 天。</w:t>
            </w:r>
          </w:p>
        </w:tc>
        <w:tc>
          <w:tcPr>
            <w:tcW w:w="641" w:type="dxa"/>
            <w:vAlign w:val="center"/>
          </w:tcPr>
          <w:p w14:paraId="794ED3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873" w:type="dxa"/>
            <w:vAlign w:val="center"/>
          </w:tcPr>
          <w:p w14:paraId="666741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230 </w:t>
            </w:r>
          </w:p>
        </w:tc>
        <w:tc>
          <w:tcPr>
            <w:tcW w:w="1370" w:type="dxa"/>
            <w:vAlign w:val="center"/>
          </w:tcPr>
          <w:p w14:paraId="33B3FE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58.06 </w:t>
            </w:r>
          </w:p>
        </w:tc>
        <w:tc>
          <w:tcPr>
            <w:tcW w:w="1324" w:type="dxa"/>
            <w:vAlign w:val="center"/>
          </w:tcPr>
          <w:p w14:paraId="3E9093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13353.8 </w:t>
            </w:r>
          </w:p>
        </w:tc>
      </w:tr>
      <w:tr w14:paraId="55B8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0ADB0A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186" w:type="dxa"/>
            <w:vAlign w:val="center"/>
          </w:tcPr>
          <w:p w14:paraId="694D12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硫华菊</w:t>
            </w:r>
          </w:p>
        </w:tc>
        <w:tc>
          <w:tcPr>
            <w:tcW w:w="4035" w:type="dxa"/>
            <w:vAlign w:val="center"/>
          </w:tcPr>
          <w:p w14:paraId="083A9654">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公园面积4.6万平米，按0.005公斤/平米测算（需土工布和打封闭药）</w:t>
            </w:r>
          </w:p>
          <w:p w14:paraId="6ADCB5AE">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kern w:val="2"/>
                <w:sz w:val="24"/>
                <w:szCs w:val="24"/>
                <w:vertAlign w:val="baseline"/>
                <w:lang w:val="en-US" w:eastAsia="zh-CN" w:bidi="ar-SA"/>
              </w:rPr>
              <w:t>1.</w:t>
            </w:r>
            <w:r>
              <w:rPr>
                <w:rFonts w:hint="eastAsia" w:ascii="宋体" w:hAnsi="宋体" w:eastAsia="宋体" w:cs="宋体"/>
                <w:b w:val="0"/>
                <w:bCs/>
                <w:color w:val="auto"/>
                <w:sz w:val="24"/>
                <w:szCs w:val="24"/>
                <w:highlight w:val="none"/>
                <w:vertAlign w:val="baseline"/>
                <w:lang w:val="en-US" w:eastAsia="zh-CN"/>
              </w:rPr>
              <w:t>颜色：混色；</w:t>
            </w:r>
          </w:p>
          <w:p w14:paraId="7F8F9F6C">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2.株高 60-80cm； </w:t>
            </w:r>
          </w:p>
          <w:p w14:paraId="51031C7E">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3.净度≥98%；</w:t>
            </w:r>
          </w:p>
          <w:p w14:paraId="573C7664">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4.发芽率≥80%；</w:t>
            </w:r>
          </w:p>
          <w:p w14:paraId="4BA5C899">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5.质量：≤25kg/袋；</w:t>
            </w:r>
          </w:p>
          <w:p w14:paraId="775DF390">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6.花期 60-80天。</w:t>
            </w:r>
          </w:p>
        </w:tc>
        <w:tc>
          <w:tcPr>
            <w:tcW w:w="641" w:type="dxa"/>
            <w:vAlign w:val="center"/>
          </w:tcPr>
          <w:p w14:paraId="41A48C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kg</w:t>
            </w:r>
          </w:p>
        </w:tc>
        <w:tc>
          <w:tcPr>
            <w:tcW w:w="873" w:type="dxa"/>
            <w:vAlign w:val="center"/>
          </w:tcPr>
          <w:p w14:paraId="7F62CB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230 </w:t>
            </w:r>
          </w:p>
        </w:tc>
        <w:tc>
          <w:tcPr>
            <w:tcW w:w="1370" w:type="dxa"/>
            <w:vAlign w:val="center"/>
          </w:tcPr>
          <w:p w14:paraId="263F80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42.87 </w:t>
            </w:r>
          </w:p>
        </w:tc>
        <w:tc>
          <w:tcPr>
            <w:tcW w:w="1324" w:type="dxa"/>
            <w:vAlign w:val="center"/>
          </w:tcPr>
          <w:p w14:paraId="5B5A22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9860.1 </w:t>
            </w:r>
          </w:p>
        </w:tc>
      </w:tr>
      <w:tr w14:paraId="36A9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5BD666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186" w:type="dxa"/>
            <w:vAlign w:val="center"/>
          </w:tcPr>
          <w:p w14:paraId="5C7BDE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鲁冰花</w:t>
            </w:r>
          </w:p>
        </w:tc>
        <w:tc>
          <w:tcPr>
            <w:tcW w:w="4035" w:type="dxa"/>
            <w:vAlign w:val="center"/>
          </w:tcPr>
          <w:p w14:paraId="33A82320">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公园面积4.6万平米，按5棵/平米测算（需打封闭药）</w:t>
            </w:r>
          </w:p>
        </w:tc>
        <w:tc>
          <w:tcPr>
            <w:tcW w:w="641" w:type="dxa"/>
            <w:vAlign w:val="center"/>
          </w:tcPr>
          <w:p w14:paraId="1A2469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棵</w:t>
            </w:r>
          </w:p>
        </w:tc>
        <w:tc>
          <w:tcPr>
            <w:tcW w:w="873" w:type="dxa"/>
            <w:vAlign w:val="center"/>
          </w:tcPr>
          <w:p w14:paraId="7E2647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230000 </w:t>
            </w:r>
          </w:p>
        </w:tc>
        <w:tc>
          <w:tcPr>
            <w:tcW w:w="1370" w:type="dxa"/>
            <w:vAlign w:val="center"/>
          </w:tcPr>
          <w:p w14:paraId="74A244E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1.17 </w:t>
            </w:r>
          </w:p>
        </w:tc>
        <w:tc>
          <w:tcPr>
            <w:tcW w:w="1324" w:type="dxa"/>
            <w:vAlign w:val="center"/>
          </w:tcPr>
          <w:p w14:paraId="774D85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269100 </w:t>
            </w:r>
          </w:p>
        </w:tc>
      </w:tr>
      <w:tr w14:paraId="34E9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1F0F6C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186" w:type="dxa"/>
            <w:vAlign w:val="center"/>
          </w:tcPr>
          <w:p w14:paraId="30CDE8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土工布（防尘网)</w:t>
            </w:r>
          </w:p>
        </w:tc>
        <w:tc>
          <w:tcPr>
            <w:tcW w:w="4035" w:type="dxa"/>
            <w:vAlign w:val="center"/>
          </w:tcPr>
          <w:p w14:paraId="2264C075">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两季需使用，公园面积4.6万平米，1700平米/卷</w:t>
            </w:r>
          </w:p>
          <w:p w14:paraId="07D7B0DD">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kern w:val="2"/>
                <w:sz w:val="24"/>
                <w:szCs w:val="24"/>
                <w:vertAlign w:val="baseline"/>
                <w:lang w:val="en-US" w:eastAsia="zh-CN" w:bidi="ar-SA"/>
              </w:rPr>
              <w:t>1.</w:t>
            </w:r>
            <w:r>
              <w:rPr>
                <w:rFonts w:hint="eastAsia" w:ascii="宋体" w:hAnsi="宋体" w:eastAsia="宋体" w:cs="宋体"/>
                <w:b w:val="0"/>
                <w:bCs/>
                <w:color w:val="auto"/>
                <w:sz w:val="24"/>
                <w:szCs w:val="24"/>
                <w:highlight w:val="none"/>
                <w:vertAlign w:val="baseline"/>
                <w:lang w:val="en-US" w:eastAsia="zh-CN"/>
              </w:rPr>
              <w:t>颜色：绿色抗老化；</w:t>
            </w:r>
          </w:p>
          <w:p w14:paraId="7AC9D5C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kern w:val="2"/>
                <w:sz w:val="24"/>
                <w:szCs w:val="24"/>
                <w:vertAlign w:val="baseline"/>
                <w:lang w:val="en-US" w:eastAsia="zh-CN" w:bidi="ar-SA"/>
              </w:rPr>
              <w:t>2.</w:t>
            </w:r>
            <w:r>
              <w:rPr>
                <w:rFonts w:hint="eastAsia" w:ascii="宋体" w:hAnsi="宋体" w:eastAsia="宋体" w:cs="宋体"/>
                <w:b w:val="0"/>
                <w:bCs/>
                <w:color w:val="auto"/>
                <w:sz w:val="24"/>
                <w:szCs w:val="24"/>
                <w:highlight w:val="none"/>
                <w:vertAlign w:val="baseline"/>
                <w:lang w:val="en-US" w:eastAsia="zh-CN"/>
              </w:rPr>
              <w:t>每平方米克重：≥30；</w:t>
            </w:r>
          </w:p>
          <w:p w14:paraId="6A81D3A4">
            <w:pPr>
              <w:keepNext w:val="0"/>
              <w:keepLines w:val="0"/>
              <w:widowControl/>
              <w:numPr>
                <w:ilvl w:val="0"/>
                <w:numId w:val="0"/>
              </w:numPr>
              <w:suppressLineNumbers w:val="0"/>
              <w:ind w:leftChars="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3.尺寸：宽≥3.2 米，长≥540 米；</w:t>
            </w:r>
          </w:p>
          <w:p w14:paraId="143244C2">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4.重量：≥30公斤/卷</w:t>
            </w:r>
          </w:p>
        </w:tc>
        <w:tc>
          <w:tcPr>
            <w:tcW w:w="641" w:type="dxa"/>
            <w:vAlign w:val="center"/>
          </w:tcPr>
          <w:p w14:paraId="410541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卷</w:t>
            </w:r>
          </w:p>
        </w:tc>
        <w:tc>
          <w:tcPr>
            <w:tcW w:w="873" w:type="dxa"/>
            <w:vAlign w:val="center"/>
          </w:tcPr>
          <w:p w14:paraId="3D4336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54 </w:t>
            </w:r>
          </w:p>
        </w:tc>
        <w:tc>
          <w:tcPr>
            <w:tcW w:w="1370" w:type="dxa"/>
            <w:vAlign w:val="center"/>
          </w:tcPr>
          <w:p w14:paraId="3F12A4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393.55 </w:t>
            </w:r>
          </w:p>
        </w:tc>
        <w:tc>
          <w:tcPr>
            <w:tcW w:w="1324" w:type="dxa"/>
            <w:vAlign w:val="center"/>
          </w:tcPr>
          <w:p w14:paraId="3B817C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21251.7 </w:t>
            </w:r>
          </w:p>
        </w:tc>
      </w:tr>
      <w:tr w14:paraId="2EE3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135678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186" w:type="dxa"/>
            <w:vAlign w:val="center"/>
          </w:tcPr>
          <w:p w14:paraId="56496C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草坪杂草封闭药</w:t>
            </w:r>
          </w:p>
        </w:tc>
        <w:tc>
          <w:tcPr>
            <w:tcW w:w="4035" w:type="dxa"/>
            <w:vAlign w:val="center"/>
          </w:tcPr>
          <w:p w14:paraId="75C0C688">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三季需使用，公园面积4.6万平米，3袋/亩</w:t>
            </w:r>
          </w:p>
          <w:p w14:paraId="08F1F3DB">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1.氨氟乐灵成分含量：65%； </w:t>
            </w:r>
          </w:p>
          <w:p w14:paraId="02612BB9">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2.pH 值范围：7.0～11.0； </w:t>
            </w:r>
          </w:p>
          <w:p w14:paraId="45EF2778">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3.润湿时间：≤3s； </w:t>
            </w:r>
          </w:p>
          <w:p w14:paraId="658DC71A">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4.湿筛试验(通过 75μm 试验筛)：≥98%； </w:t>
            </w:r>
          </w:p>
          <w:p w14:paraId="0F9FC02F">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5.悬浮率：≥90%； </w:t>
            </w:r>
          </w:p>
          <w:p w14:paraId="2E9DEF00">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6.持久起泡性(3min 后)：≤35mL； </w:t>
            </w:r>
          </w:p>
          <w:p w14:paraId="6393F4E7">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7.剂型：水分散粒剂； </w:t>
            </w:r>
          </w:p>
          <w:p w14:paraId="03AD5242">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8.质量：≥20g/袋； </w:t>
            </w:r>
          </w:p>
          <w:p w14:paraId="49B19A94">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9.产品性能：本品为二硝基苯胺类芽前封闭除草剂，通过抑制新萌芽的杂草种子的生长发育来控制敏感杂草，可用于防治草坪上多种禾本科杂草和阔叶杂草,如一年生早熟禾，稗草，马唐，一年生狗尾草,反枝苋,繁缕,龙瓜茅,马齿苋等。</w:t>
            </w:r>
          </w:p>
        </w:tc>
        <w:tc>
          <w:tcPr>
            <w:tcW w:w="641" w:type="dxa"/>
            <w:vAlign w:val="center"/>
          </w:tcPr>
          <w:p w14:paraId="28E34C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袋</w:t>
            </w:r>
          </w:p>
        </w:tc>
        <w:tc>
          <w:tcPr>
            <w:tcW w:w="873" w:type="dxa"/>
            <w:vAlign w:val="center"/>
          </w:tcPr>
          <w:p w14:paraId="13E8FE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621 </w:t>
            </w:r>
          </w:p>
        </w:tc>
        <w:tc>
          <w:tcPr>
            <w:tcW w:w="1370" w:type="dxa"/>
            <w:vAlign w:val="center"/>
          </w:tcPr>
          <w:p w14:paraId="63143C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26.13 </w:t>
            </w:r>
          </w:p>
        </w:tc>
        <w:tc>
          <w:tcPr>
            <w:tcW w:w="1324" w:type="dxa"/>
            <w:vAlign w:val="center"/>
          </w:tcPr>
          <w:p w14:paraId="3CAE712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16226.73 </w:t>
            </w:r>
          </w:p>
        </w:tc>
      </w:tr>
      <w:tr w14:paraId="2298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25D317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186" w:type="dxa"/>
            <w:vAlign w:val="center"/>
          </w:tcPr>
          <w:p w14:paraId="6034B3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ascii="宋体" w:hAnsi="宋体" w:eastAsia="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复合肥料</w:t>
            </w:r>
          </w:p>
        </w:tc>
        <w:tc>
          <w:tcPr>
            <w:tcW w:w="4035" w:type="dxa"/>
            <w:vAlign w:val="center"/>
          </w:tcPr>
          <w:p w14:paraId="1FD8161E">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全区范围绿化养护面积约300万平方米（含产业园）</w:t>
            </w:r>
            <w:r>
              <w:rPr>
                <w:rFonts w:hint="eastAsia" w:ascii="宋体" w:hAnsi="宋体" w:eastAsia="宋体" w:cs="宋体"/>
                <w:b w:val="0"/>
                <w:bCs/>
                <w:color w:val="auto"/>
                <w:sz w:val="24"/>
                <w:szCs w:val="24"/>
                <w:highlight w:val="none"/>
                <w:vertAlign w:val="baseline"/>
                <w:lang w:val="en-US" w:eastAsia="zh-CN"/>
              </w:rPr>
              <w:br w:type="textWrapping"/>
            </w:r>
            <w:r>
              <w:rPr>
                <w:rFonts w:hint="eastAsia" w:ascii="宋体" w:hAnsi="宋体" w:eastAsia="宋体" w:cs="宋体"/>
                <w:b w:val="0"/>
                <w:bCs/>
                <w:color w:val="auto"/>
                <w:sz w:val="24"/>
                <w:szCs w:val="24"/>
                <w:highlight w:val="none"/>
                <w:vertAlign w:val="baseline"/>
                <w:lang w:val="en-US" w:eastAsia="zh-CN"/>
              </w:rPr>
              <w:t>测算标准:100克/平方米</w:t>
            </w:r>
          </w:p>
          <w:p w14:paraId="76129263">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1.符合 GB/T15063-2020 国标，总养分 N+P₂O₅ +K₂O：≥40%； </w:t>
            </w:r>
          </w:p>
          <w:p w14:paraId="7855B0BD">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2.总氮含量：≥28%； </w:t>
            </w:r>
          </w:p>
          <w:p w14:paraId="2E950FAF">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3.磷含量：≥5%； </w:t>
            </w:r>
          </w:p>
          <w:p w14:paraId="4A78AC4A">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4.钾含量：≥7%； </w:t>
            </w:r>
          </w:p>
          <w:p w14:paraId="5ACB1054">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5.水分：≤1.3%； </w:t>
            </w:r>
          </w:p>
          <w:p w14:paraId="10C6B8C7">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6.粒度（1.00mm-4.75mm）100%； </w:t>
            </w:r>
          </w:p>
          <w:p w14:paraId="09FE3E94">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7.添加微量元素≥0.08% 其中: 硼≥0.02% 锌≥0.02% 锰≥0.02% 铁≥0.02% </w:t>
            </w:r>
          </w:p>
          <w:p w14:paraId="2FF85EC4">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8.规格：40kg/袋。</w:t>
            </w:r>
          </w:p>
        </w:tc>
        <w:tc>
          <w:tcPr>
            <w:tcW w:w="641" w:type="dxa"/>
            <w:vAlign w:val="center"/>
          </w:tcPr>
          <w:p w14:paraId="2FF0AA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吨</w:t>
            </w:r>
          </w:p>
        </w:tc>
        <w:tc>
          <w:tcPr>
            <w:tcW w:w="873" w:type="dxa"/>
            <w:vAlign w:val="center"/>
          </w:tcPr>
          <w:p w14:paraId="631AF9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300 </w:t>
            </w:r>
          </w:p>
        </w:tc>
        <w:tc>
          <w:tcPr>
            <w:tcW w:w="1370" w:type="dxa"/>
            <w:vAlign w:val="center"/>
          </w:tcPr>
          <w:p w14:paraId="236E22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3410.07 </w:t>
            </w:r>
          </w:p>
        </w:tc>
        <w:tc>
          <w:tcPr>
            <w:tcW w:w="1324" w:type="dxa"/>
            <w:vAlign w:val="center"/>
          </w:tcPr>
          <w:p w14:paraId="3EF23D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1023021 </w:t>
            </w:r>
          </w:p>
        </w:tc>
      </w:tr>
      <w:tr w14:paraId="2C2F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2EB4CA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186" w:type="dxa"/>
            <w:vAlign w:val="center"/>
          </w:tcPr>
          <w:p w14:paraId="3D529C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尿素</w:t>
            </w:r>
          </w:p>
        </w:tc>
        <w:tc>
          <w:tcPr>
            <w:tcW w:w="4035" w:type="dxa"/>
            <w:vAlign w:val="center"/>
          </w:tcPr>
          <w:p w14:paraId="7CD1569B">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全区范围绿化养护面积约300万平方米（含产业园）</w:t>
            </w:r>
            <w:r>
              <w:rPr>
                <w:rFonts w:hint="eastAsia" w:ascii="宋体" w:hAnsi="宋体" w:eastAsia="宋体" w:cs="宋体"/>
                <w:b w:val="0"/>
                <w:bCs/>
                <w:color w:val="auto"/>
                <w:sz w:val="24"/>
                <w:szCs w:val="24"/>
                <w:highlight w:val="none"/>
                <w:vertAlign w:val="baseline"/>
                <w:lang w:val="en-US" w:eastAsia="zh-CN"/>
              </w:rPr>
              <w:br w:type="textWrapping"/>
            </w:r>
            <w:r>
              <w:rPr>
                <w:rFonts w:hint="eastAsia" w:ascii="宋体" w:hAnsi="宋体" w:eastAsia="宋体" w:cs="宋体"/>
                <w:b w:val="0"/>
                <w:bCs/>
                <w:color w:val="auto"/>
                <w:sz w:val="24"/>
                <w:szCs w:val="24"/>
                <w:highlight w:val="none"/>
                <w:vertAlign w:val="baseline"/>
                <w:lang w:val="en-US" w:eastAsia="zh-CN"/>
              </w:rPr>
              <w:t>测算标准:按需</w:t>
            </w:r>
            <w:r>
              <w:rPr>
                <w:rFonts w:hint="eastAsia" w:ascii="宋体" w:hAnsi="宋体" w:eastAsia="宋体" w:cs="宋体"/>
                <w:b w:val="0"/>
                <w:bCs/>
                <w:color w:val="auto"/>
                <w:sz w:val="24"/>
                <w:szCs w:val="24"/>
                <w:highlight w:val="none"/>
                <w:vertAlign w:val="baseline"/>
                <w:lang w:val="en-US" w:eastAsia="zh-CN"/>
              </w:rPr>
              <w:br w:type="textWrapping"/>
            </w:r>
            <w:r>
              <w:rPr>
                <w:rFonts w:hint="eastAsia" w:ascii="宋体" w:hAnsi="宋体" w:eastAsia="宋体" w:cs="宋体"/>
                <w:b w:val="0"/>
                <w:bCs/>
                <w:color w:val="auto"/>
                <w:sz w:val="24"/>
                <w:szCs w:val="24"/>
                <w:highlight w:val="none"/>
                <w:vertAlign w:val="baseline"/>
                <w:lang w:val="en-US" w:eastAsia="zh-CN"/>
              </w:rPr>
              <w:t>当叶面肥</w:t>
            </w:r>
            <w:r>
              <w:rPr>
                <w:rFonts w:hint="eastAsia" w:ascii="宋体" w:hAnsi="宋体" w:eastAsia="宋体" w:cs="宋体"/>
                <w:b w:val="0"/>
                <w:bCs/>
                <w:color w:val="auto"/>
                <w:sz w:val="24"/>
                <w:szCs w:val="24"/>
                <w:highlight w:val="none"/>
                <w:vertAlign w:val="baseline"/>
                <w:lang w:val="en-US" w:eastAsia="zh-CN"/>
              </w:rPr>
              <w:br w:type="textWrapping"/>
            </w:r>
            <w:r>
              <w:rPr>
                <w:rFonts w:hint="eastAsia" w:ascii="宋体" w:hAnsi="宋体" w:eastAsia="宋体" w:cs="宋体"/>
                <w:b w:val="0"/>
                <w:bCs/>
                <w:color w:val="auto"/>
                <w:sz w:val="24"/>
                <w:szCs w:val="24"/>
                <w:highlight w:val="none"/>
                <w:vertAlign w:val="baseline"/>
                <w:lang w:val="en-US" w:eastAsia="zh-CN"/>
              </w:rPr>
              <w:t>催肥情况下使用</w:t>
            </w:r>
          </w:p>
          <w:p w14:paraId="7D70B67A">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1.符合 GB/T2440-2017 国标，总氮≥46%； </w:t>
            </w:r>
          </w:p>
          <w:p w14:paraId="499E08EE">
            <w:pPr>
              <w:keepNext w:val="0"/>
              <w:keepLines w:val="0"/>
              <w:widowControl/>
              <w:suppressLineNumbers w:val="0"/>
              <w:jc w:val="left"/>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 xml:space="preserve">2.颗粒范围：d1.18mm-3.35mm； </w:t>
            </w:r>
          </w:p>
          <w:p w14:paraId="4E3987CB">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3.规格：50kg/袋。</w:t>
            </w:r>
          </w:p>
        </w:tc>
        <w:tc>
          <w:tcPr>
            <w:tcW w:w="641" w:type="dxa"/>
            <w:vAlign w:val="center"/>
          </w:tcPr>
          <w:p w14:paraId="3CD407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吨</w:t>
            </w:r>
          </w:p>
        </w:tc>
        <w:tc>
          <w:tcPr>
            <w:tcW w:w="873" w:type="dxa"/>
            <w:vAlign w:val="center"/>
          </w:tcPr>
          <w:p w14:paraId="061769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20 </w:t>
            </w:r>
          </w:p>
        </w:tc>
        <w:tc>
          <w:tcPr>
            <w:tcW w:w="1370" w:type="dxa"/>
            <w:vAlign w:val="center"/>
          </w:tcPr>
          <w:p w14:paraId="0CE52C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2332.17 </w:t>
            </w:r>
          </w:p>
        </w:tc>
        <w:tc>
          <w:tcPr>
            <w:tcW w:w="1324" w:type="dxa"/>
            <w:vAlign w:val="center"/>
          </w:tcPr>
          <w:p w14:paraId="04902A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46643.4 </w:t>
            </w:r>
          </w:p>
        </w:tc>
      </w:tr>
      <w:tr w14:paraId="5A4E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29745F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186" w:type="dxa"/>
            <w:vAlign w:val="center"/>
          </w:tcPr>
          <w:p w14:paraId="20115D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香樟</w:t>
            </w:r>
          </w:p>
        </w:tc>
        <w:tc>
          <w:tcPr>
            <w:tcW w:w="4035" w:type="dxa"/>
            <w:vAlign w:val="top"/>
          </w:tcPr>
          <w:p w14:paraId="34A91B68">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直径18-20公分,冠幅H600-700P400-500</w:t>
            </w:r>
          </w:p>
        </w:tc>
        <w:tc>
          <w:tcPr>
            <w:tcW w:w="641" w:type="dxa"/>
            <w:vAlign w:val="center"/>
          </w:tcPr>
          <w:p w14:paraId="7211E0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株</w:t>
            </w:r>
          </w:p>
        </w:tc>
        <w:tc>
          <w:tcPr>
            <w:tcW w:w="873" w:type="dxa"/>
            <w:vAlign w:val="center"/>
          </w:tcPr>
          <w:p w14:paraId="171CAB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366 </w:t>
            </w:r>
          </w:p>
        </w:tc>
        <w:tc>
          <w:tcPr>
            <w:tcW w:w="1370" w:type="dxa"/>
            <w:vAlign w:val="center"/>
          </w:tcPr>
          <w:p w14:paraId="0257E8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1199.45 </w:t>
            </w:r>
          </w:p>
        </w:tc>
        <w:tc>
          <w:tcPr>
            <w:tcW w:w="1324" w:type="dxa"/>
            <w:vAlign w:val="center"/>
          </w:tcPr>
          <w:p w14:paraId="41FFE8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438998.7 </w:t>
            </w:r>
          </w:p>
        </w:tc>
      </w:tr>
      <w:tr w14:paraId="5E3F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1DF653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186" w:type="dxa"/>
            <w:vAlign w:val="center"/>
          </w:tcPr>
          <w:p w14:paraId="6C7D32D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香樟</w:t>
            </w:r>
          </w:p>
        </w:tc>
        <w:tc>
          <w:tcPr>
            <w:tcW w:w="4035" w:type="dxa"/>
            <w:vAlign w:val="top"/>
          </w:tcPr>
          <w:p w14:paraId="67FC7ECE">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直径25-28公分,冠幅H700-800P500-600</w:t>
            </w:r>
          </w:p>
        </w:tc>
        <w:tc>
          <w:tcPr>
            <w:tcW w:w="641" w:type="dxa"/>
            <w:vAlign w:val="center"/>
          </w:tcPr>
          <w:p w14:paraId="5A5683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株</w:t>
            </w:r>
          </w:p>
        </w:tc>
        <w:tc>
          <w:tcPr>
            <w:tcW w:w="873" w:type="dxa"/>
            <w:vAlign w:val="center"/>
          </w:tcPr>
          <w:p w14:paraId="36B652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11 </w:t>
            </w:r>
          </w:p>
        </w:tc>
        <w:tc>
          <w:tcPr>
            <w:tcW w:w="1370" w:type="dxa"/>
            <w:vAlign w:val="center"/>
          </w:tcPr>
          <w:p w14:paraId="5EA6B6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1864.86 </w:t>
            </w:r>
          </w:p>
        </w:tc>
        <w:tc>
          <w:tcPr>
            <w:tcW w:w="1324" w:type="dxa"/>
            <w:vAlign w:val="center"/>
          </w:tcPr>
          <w:p w14:paraId="6C76B3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20513.46 </w:t>
            </w:r>
          </w:p>
        </w:tc>
      </w:tr>
      <w:tr w14:paraId="5263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0F1DD8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186" w:type="dxa"/>
            <w:vAlign w:val="center"/>
          </w:tcPr>
          <w:p w14:paraId="119631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香樟</w:t>
            </w:r>
          </w:p>
        </w:tc>
        <w:tc>
          <w:tcPr>
            <w:tcW w:w="4035" w:type="dxa"/>
            <w:vAlign w:val="top"/>
          </w:tcPr>
          <w:p w14:paraId="44C98836">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直径28-30公分,冠幅H800-900P500-600</w:t>
            </w:r>
          </w:p>
        </w:tc>
        <w:tc>
          <w:tcPr>
            <w:tcW w:w="641" w:type="dxa"/>
            <w:vAlign w:val="center"/>
          </w:tcPr>
          <w:p w14:paraId="71854B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株</w:t>
            </w:r>
          </w:p>
        </w:tc>
        <w:tc>
          <w:tcPr>
            <w:tcW w:w="873" w:type="dxa"/>
            <w:vAlign w:val="center"/>
          </w:tcPr>
          <w:p w14:paraId="3427EA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56 </w:t>
            </w:r>
          </w:p>
        </w:tc>
        <w:tc>
          <w:tcPr>
            <w:tcW w:w="1370" w:type="dxa"/>
            <w:vAlign w:val="center"/>
          </w:tcPr>
          <w:p w14:paraId="3AA3D0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3481.11 </w:t>
            </w:r>
          </w:p>
        </w:tc>
        <w:tc>
          <w:tcPr>
            <w:tcW w:w="1324" w:type="dxa"/>
            <w:vAlign w:val="center"/>
          </w:tcPr>
          <w:p w14:paraId="6C8486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194942.16 </w:t>
            </w:r>
          </w:p>
        </w:tc>
      </w:tr>
      <w:tr w14:paraId="7F68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3D0E556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186" w:type="dxa"/>
            <w:vAlign w:val="center"/>
          </w:tcPr>
          <w:p w14:paraId="135E51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红叶石楠色块苗</w:t>
            </w:r>
          </w:p>
        </w:tc>
        <w:tc>
          <w:tcPr>
            <w:tcW w:w="4035" w:type="dxa"/>
            <w:vAlign w:val="center"/>
          </w:tcPr>
          <w:p w14:paraId="7C2621AD">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红叶石楠色块苗H50-60P20-25,49株/㎡，需3000㎡</w:t>
            </w:r>
          </w:p>
        </w:tc>
        <w:tc>
          <w:tcPr>
            <w:tcW w:w="641" w:type="dxa"/>
            <w:vAlign w:val="center"/>
          </w:tcPr>
          <w:p w14:paraId="4D9908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棵</w:t>
            </w:r>
          </w:p>
        </w:tc>
        <w:tc>
          <w:tcPr>
            <w:tcW w:w="873" w:type="dxa"/>
            <w:vAlign w:val="center"/>
          </w:tcPr>
          <w:p w14:paraId="795BBDB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147000 </w:t>
            </w:r>
          </w:p>
        </w:tc>
        <w:tc>
          <w:tcPr>
            <w:tcW w:w="1370" w:type="dxa"/>
            <w:vAlign w:val="center"/>
          </w:tcPr>
          <w:p w14:paraId="1FC2EC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2.21 </w:t>
            </w:r>
          </w:p>
        </w:tc>
        <w:tc>
          <w:tcPr>
            <w:tcW w:w="1324" w:type="dxa"/>
            <w:vAlign w:val="center"/>
          </w:tcPr>
          <w:p w14:paraId="0262B0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324870 </w:t>
            </w:r>
          </w:p>
        </w:tc>
      </w:tr>
      <w:tr w14:paraId="26B9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6DE11B6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186" w:type="dxa"/>
            <w:vAlign w:val="center"/>
          </w:tcPr>
          <w:p w14:paraId="6AD82B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红花檵木色块苗</w:t>
            </w:r>
          </w:p>
        </w:tc>
        <w:tc>
          <w:tcPr>
            <w:tcW w:w="4035" w:type="dxa"/>
            <w:vAlign w:val="center"/>
          </w:tcPr>
          <w:p w14:paraId="10241132">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红花檵木色块苗H30-35P20-25,49株/㎡，需600㎡</w:t>
            </w:r>
          </w:p>
        </w:tc>
        <w:tc>
          <w:tcPr>
            <w:tcW w:w="641" w:type="dxa"/>
            <w:vAlign w:val="center"/>
          </w:tcPr>
          <w:p w14:paraId="5E104F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棵</w:t>
            </w:r>
          </w:p>
        </w:tc>
        <w:tc>
          <w:tcPr>
            <w:tcW w:w="873" w:type="dxa"/>
            <w:vAlign w:val="center"/>
          </w:tcPr>
          <w:p w14:paraId="17221B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29400 </w:t>
            </w:r>
          </w:p>
        </w:tc>
        <w:tc>
          <w:tcPr>
            <w:tcW w:w="1370" w:type="dxa"/>
            <w:vAlign w:val="center"/>
          </w:tcPr>
          <w:p w14:paraId="2FF4FC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0.78 </w:t>
            </w:r>
          </w:p>
        </w:tc>
        <w:tc>
          <w:tcPr>
            <w:tcW w:w="1324" w:type="dxa"/>
            <w:vAlign w:val="center"/>
          </w:tcPr>
          <w:p w14:paraId="1012C8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22932 </w:t>
            </w:r>
          </w:p>
        </w:tc>
      </w:tr>
      <w:tr w14:paraId="7FBE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75" w:type="dxa"/>
            <w:vAlign w:val="center"/>
          </w:tcPr>
          <w:p w14:paraId="353C95D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186" w:type="dxa"/>
            <w:vAlign w:val="center"/>
          </w:tcPr>
          <w:p w14:paraId="57B400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金森女贞色块苗</w:t>
            </w:r>
          </w:p>
        </w:tc>
        <w:tc>
          <w:tcPr>
            <w:tcW w:w="4035" w:type="dxa"/>
            <w:vAlign w:val="center"/>
          </w:tcPr>
          <w:p w14:paraId="3EF24D06">
            <w:pPr>
              <w:keepNext w:val="0"/>
              <w:keepLines w:val="0"/>
              <w:widowControl/>
              <w:numPr>
                <w:ilvl w:val="0"/>
                <w:numId w:val="0"/>
              </w:numPr>
              <w:suppressLineNumbers w:val="0"/>
              <w:jc w:val="left"/>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金森女贞色块苗H30-35P20-25,49株/㎡，需660㎡</w:t>
            </w:r>
          </w:p>
        </w:tc>
        <w:tc>
          <w:tcPr>
            <w:tcW w:w="641" w:type="dxa"/>
            <w:vAlign w:val="center"/>
          </w:tcPr>
          <w:p w14:paraId="461E47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棵</w:t>
            </w:r>
          </w:p>
        </w:tc>
        <w:tc>
          <w:tcPr>
            <w:tcW w:w="873" w:type="dxa"/>
            <w:vAlign w:val="center"/>
          </w:tcPr>
          <w:p w14:paraId="07BC76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32340 </w:t>
            </w:r>
          </w:p>
        </w:tc>
        <w:tc>
          <w:tcPr>
            <w:tcW w:w="1370" w:type="dxa"/>
            <w:vAlign w:val="center"/>
          </w:tcPr>
          <w:p w14:paraId="3D7129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1.21 </w:t>
            </w:r>
          </w:p>
        </w:tc>
        <w:tc>
          <w:tcPr>
            <w:tcW w:w="1324" w:type="dxa"/>
            <w:vAlign w:val="center"/>
          </w:tcPr>
          <w:p w14:paraId="5F1522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39131.4 </w:t>
            </w:r>
          </w:p>
        </w:tc>
      </w:tr>
    </w:tbl>
    <w:p w14:paraId="4E26F80A">
      <w:pPr>
        <w:snapToGrid w:val="0"/>
        <w:spacing w:line="336" w:lineRule="auto"/>
        <w:ind w:right="519" w:rightChars="247"/>
        <w:rPr>
          <w:rFonts w:hint="default"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备</w:t>
      </w:r>
      <w:r>
        <w:rPr>
          <w:rFonts w:ascii="宋体" w:hAnsi="宋体" w:eastAsia="宋体" w:cs="宋体"/>
          <w:color w:val="auto"/>
          <w:sz w:val="24"/>
          <w:szCs w:val="24"/>
          <w:highlight w:val="none"/>
        </w:rPr>
        <w:t>注</w:t>
      </w:r>
      <w:r>
        <w:rPr>
          <w:rFonts w:ascii="宋体" w:hAnsi="宋体" w:eastAsia="宋体" w:cs="宋体"/>
          <w:color w:val="auto"/>
          <w:spacing w:val="-24"/>
          <w:sz w:val="24"/>
          <w:szCs w:val="24"/>
          <w:highlight w:val="none"/>
        </w:rPr>
        <w:t>：</w:t>
      </w:r>
      <w:r>
        <w:rPr>
          <w:rFonts w:ascii="宋体" w:hAnsi="宋体" w:eastAsia="宋体" w:cs="宋体"/>
          <w:color w:val="auto"/>
          <w:sz w:val="24"/>
          <w:szCs w:val="24"/>
          <w:highlight w:val="none"/>
        </w:rPr>
        <w:t>标▲产品为核心产品。</w:t>
      </w:r>
      <w:r>
        <w:rPr>
          <w:rFonts w:hint="eastAsia" w:ascii="宋体" w:hAnsi="宋体" w:cs="宋体"/>
          <w:color w:val="auto"/>
          <w:sz w:val="24"/>
          <w:szCs w:val="24"/>
          <w:highlight w:val="none"/>
          <w:lang w:val="en-US" w:eastAsia="zh-CN"/>
        </w:rPr>
        <w:t>投标报价不得超出预算单价和预算总价。</w:t>
      </w:r>
    </w:p>
    <w:p w14:paraId="40953168">
      <w:pPr>
        <w:snapToGrid w:val="0"/>
        <w:spacing w:line="336" w:lineRule="auto"/>
        <w:ind w:right="519" w:rightChars="247"/>
        <w:rPr>
          <w:rFonts w:hint="eastAsia" w:ascii="宋体" w:hAnsi="宋体"/>
          <w:b/>
          <w:color w:val="auto"/>
          <w:sz w:val="32"/>
          <w:szCs w:val="32"/>
          <w:highlight w:val="none"/>
        </w:rPr>
      </w:pPr>
    </w:p>
    <w:p w14:paraId="6E654805">
      <w:pPr>
        <w:snapToGrid w:val="0"/>
        <w:spacing w:line="336" w:lineRule="auto"/>
        <w:ind w:right="519" w:rightChars="247"/>
        <w:rPr>
          <w:rFonts w:ascii="宋体" w:hAnsi="宋体"/>
          <w:b/>
          <w:color w:val="auto"/>
          <w:sz w:val="32"/>
          <w:szCs w:val="32"/>
          <w:highlight w:val="none"/>
        </w:rPr>
      </w:pPr>
      <w:r>
        <w:rPr>
          <w:rFonts w:hint="eastAsia" w:ascii="宋体" w:hAnsi="宋体"/>
          <w:b/>
          <w:color w:val="auto"/>
          <w:sz w:val="32"/>
          <w:szCs w:val="32"/>
          <w:highlight w:val="none"/>
        </w:rPr>
        <w:t>二</w:t>
      </w:r>
      <w:r>
        <w:rPr>
          <w:rFonts w:hint="eastAsia" w:ascii="宋体" w:hAnsi="宋体"/>
          <w:b/>
          <w:color w:val="auto"/>
          <w:sz w:val="32"/>
          <w:szCs w:val="32"/>
          <w:highlight w:val="none"/>
        </w:rPr>
        <w:tab/>
      </w:r>
      <w:r>
        <w:rPr>
          <w:rFonts w:hint="eastAsia" w:ascii="宋体" w:hAnsi="宋体"/>
          <w:b/>
          <w:color w:val="auto"/>
          <w:sz w:val="32"/>
          <w:szCs w:val="32"/>
          <w:highlight w:val="none"/>
        </w:rPr>
        <w:t>、商务条款</w:t>
      </w:r>
    </w:p>
    <w:p w14:paraId="56867F49">
      <w:pPr>
        <w:autoSpaceDE w:val="0"/>
        <w:autoSpaceDN w:val="0"/>
        <w:adjustRightInd w:val="0"/>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zh-CN"/>
        </w:rPr>
        <w:t>（一）</w:t>
      </w:r>
      <w:r>
        <w:rPr>
          <w:rFonts w:hint="eastAsia" w:ascii="宋体" w:hAnsi="宋体" w:cs="宋体"/>
          <w:b/>
          <w:bCs/>
          <w:color w:val="auto"/>
          <w:sz w:val="24"/>
          <w:szCs w:val="24"/>
          <w:highlight w:val="none"/>
        </w:rPr>
        <w:t>售后服务要求</w:t>
      </w:r>
    </w:p>
    <w:p w14:paraId="4AC6CDA2">
      <w:pPr>
        <w:pStyle w:val="6"/>
        <w:tabs>
          <w:tab w:val="left" w:pos="9660"/>
          <w:tab w:val="left" w:pos="9781"/>
        </w:tabs>
        <w:snapToGrid w:val="0"/>
        <w:spacing w:before="0" w:line="360" w:lineRule="auto"/>
        <w:ind w:left="271" w:leftChars="129" w:right="-21" w:rightChars="-10" w:firstLine="120" w:firstLineChars="50"/>
        <w:rPr>
          <w:rFonts w:hint="default" w:cs="宋体"/>
          <w:color w:val="auto"/>
          <w:sz w:val="24"/>
          <w:szCs w:val="24"/>
          <w:highlight w:val="none"/>
          <w:lang w:val="en-US" w:eastAsia="zh-CN"/>
        </w:rPr>
      </w:pPr>
      <w:r>
        <w:rPr>
          <w:rFonts w:hint="eastAsia" w:cs="宋体"/>
          <w:color w:val="auto"/>
          <w:sz w:val="24"/>
          <w:highlight w:val="none"/>
          <w:lang w:eastAsia="zh-CN"/>
        </w:rPr>
        <w:t>1.</w:t>
      </w:r>
      <w:r>
        <w:rPr>
          <w:rFonts w:hint="eastAsia" w:cs="宋体"/>
          <w:color w:val="auto"/>
          <w:sz w:val="24"/>
          <w:szCs w:val="24"/>
          <w:highlight w:val="none"/>
          <w:lang w:eastAsia="zh-CN"/>
        </w:rPr>
        <w:t>供应商所投货物必须为全新的、符合国家有关质量标准的产品；所供产品质量保证期为</w:t>
      </w:r>
      <w:r>
        <w:rPr>
          <w:rFonts w:hint="eastAsia" w:cs="宋体"/>
          <w:color w:val="auto"/>
          <w:sz w:val="24"/>
          <w:szCs w:val="24"/>
          <w:highlight w:val="none"/>
          <w:lang w:val="en-US" w:eastAsia="zh-CN"/>
        </w:rPr>
        <w:t>一</w:t>
      </w:r>
      <w:r>
        <w:rPr>
          <w:rFonts w:hint="eastAsia" w:cs="宋体"/>
          <w:color w:val="auto"/>
          <w:sz w:val="24"/>
          <w:szCs w:val="24"/>
          <w:highlight w:val="none"/>
          <w:lang w:eastAsia="zh-CN"/>
        </w:rPr>
        <w:t>年（相关标准大于</w:t>
      </w:r>
      <w:r>
        <w:rPr>
          <w:rFonts w:hint="eastAsia" w:cs="宋体"/>
          <w:color w:val="auto"/>
          <w:sz w:val="24"/>
          <w:szCs w:val="24"/>
          <w:highlight w:val="none"/>
          <w:lang w:val="en-US" w:eastAsia="zh-CN"/>
        </w:rPr>
        <w:t>一</w:t>
      </w:r>
      <w:r>
        <w:rPr>
          <w:rFonts w:hint="eastAsia" w:cs="宋体"/>
          <w:color w:val="auto"/>
          <w:sz w:val="24"/>
          <w:szCs w:val="24"/>
          <w:highlight w:val="none"/>
          <w:lang w:eastAsia="zh-CN"/>
        </w:rPr>
        <w:t>年的，按相关标准执行）。</w:t>
      </w:r>
      <w:r>
        <w:rPr>
          <w:rFonts w:hint="eastAsia" w:ascii="宋体" w:hAnsi="宋体" w:eastAsia="宋体" w:cs="宋体"/>
          <w:b w:val="0"/>
          <w:bCs/>
          <w:color w:val="0000FF"/>
          <w:sz w:val="24"/>
          <w:szCs w:val="24"/>
          <w:highlight w:val="none"/>
          <w:u w:val="single"/>
          <w:vertAlign w:val="baseline"/>
          <w:lang w:val="en-US" w:eastAsia="zh-CN"/>
        </w:rPr>
        <w:t>供货时需提供和开标时同一批次（编号）的货物或提供能证明和开标时参数及品质一致的检测报告等材料</w:t>
      </w:r>
      <w:r>
        <w:rPr>
          <w:rFonts w:hint="eastAsia" w:cs="宋体"/>
          <w:color w:val="0000FF"/>
          <w:sz w:val="24"/>
          <w:szCs w:val="24"/>
          <w:highlight w:val="none"/>
          <w:u w:val="single"/>
          <w:lang w:eastAsia="zh-CN"/>
        </w:rPr>
        <w:t>。</w:t>
      </w:r>
      <w:r>
        <w:rPr>
          <w:rFonts w:hint="eastAsia" w:cs="宋体"/>
          <w:color w:val="auto"/>
          <w:sz w:val="24"/>
          <w:szCs w:val="24"/>
          <w:highlight w:val="none"/>
          <w:lang w:val="en-US" w:eastAsia="zh-CN"/>
        </w:rPr>
        <w:tab/>
      </w:r>
    </w:p>
    <w:p w14:paraId="3604C17D">
      <w:pPr>
        <w:tabs>
          <w:tab w:val="left" w:pos="9660"/>
        </w:tabs>
        <w:autoSpaceDE w:val="0"/>
        <w:autoSpaceDN w:val="0"/>
        <w:adjustRightInd w:val="0"/>
        <w:snapToGrid w:val="0"/>
        <w:spacing w:line="360" w:lineRule="auto"/>
        <w:ind w:right="-21" w:rightChars="-10"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2.质量保证期自采购人（或其授权代表）在验收报告上签署“验收合格”之日起计算；质量保证期内免费维修更换配件。</w:t>
      </w:r>
    </w:p>
    <w:p w14:paraId="7516966F">
      <w:pPr>
        <w:tabs>
          <w:tab w:val="left" w:pos="9660"/>
        </w:tabs>
        <w:autoSpaceDE w:val="0"/>
        <w:autoSpaceDN w:val="0"/>
        <w:adjustRightInd w:val="0"/>
        <w:snapToGrid w:val="0"/>
        <w:spacing w:line="360" w:lineRule="auto"/>
        <w:ind w:right="-21" w:rightChars="-10"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3.在质量保证期内，供应商应常备所供货物的备品备件，接到故障通知后24小时</w:t>
      </w:r>
      <w:r>
        <w:rPr>
          <w:rFonts w:hint="eastAsia" w:ascii="宋体" w:hAnsi="宋体" w:cs="宋体"/>
          <w:color w:val="auto"/>
          <w:sz w:val="24"/>
          <w:szCs w:val="28"/>
          <w:highlight w:val="none"/>
          <w:lang w:bidi="en-US"/>
        </w:rPr>
        <w:t>响应免费维修或更换，由此发生的费用（非人为损坏）由成交供应商承担。质量保修期内所有货物保修服务方式均为成交供应商上门保修，即由成交供应商或原厂家派员到使用现场维修。由此产生的一切费用均由成交供应商承担。</w:t>
      </w:r>
    </w:p>
    <w:p w14:paraId="013F1215">
      <w:pPr>
        <w:autoSpaceDE w:val="0"/>
        <w:autoSpaceDN w:val="0"/>
        <w:adjustRightInd w:val="0"/>
        <w:snapToGrid w:val="0"/>
        <w:spacing w:line="360" w:lineRule="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交货</w:t>
      </w:r>
      <w:r>
        <w:rPr>
          <w:rFonts w:hint="eastAsia" w:ascii="宋体" w:hAnsi="宋体" w:cs="宋体"/>
          <w:b/>
          <w:bCs/>
          <w:color w:val="auto"/>
          <w:sz w:val="24"/>
          <w:szCs w:val="24"/>
          <w:highlight w:val="none"/>
          <w:lang w:val="zh-CN"/>
        </w:rPr>
        <w:t>时间：</w:t>
      </w:r>
      <w:r>
        <w:rPr>
          <w:rFonts w:hint="eastAsia" w:ascii="宋体" w:hAnsi="宋体" w:cs="宋体"/>
          <w:b/>
          <w:bCs/>
          <w:color w:val="auto"/>
          <w:sz w:val="24"/>
          <w:szCs w:val="24"/>
          <w:highlight w:val="none"/>
          <w:lang w:val="en-US" w:eastAsia="zh-CN"/>
        </w:rPr>
        <w:t>接采购人供货通知</w:t>
      </w:r>
      <w:r>
        <w:rPr>
          <w:rFonts w:hint="eastAsia" w:ascii="宋体" w:hAnsi="宋体" w:cs="宋体"/>
          <w:b/>
          <w:bCs/>
          <w:color w:val="auto"/>
          <w:sz w:val="24"/>
          <w:szCs w:val="24"/>
          <w:highlight w:val="none"/>
          <w:lang w:val="zh-CN"/>
        </w:rPr>
        <w:t>后</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lang w:val="zh-CN"/>
        </w:rPr>
        <w:t>天内</w:t>
      </w:r>
      <w:r>
        <w:rPr>
          <w:rFonts w:hint="eastAsia" w:ascii="宋体" w:hAnsi="宋体" w:cs="宋体"/>
          <w:b/>
          <w:bCs/>
          <w:color w:val="auto"/>
          <w:sz w:val="24"/>
          <w:szCs w:val="24"/>
          <w:highlight w:val="none"/>
          <w:lang w:val="en-US" w:eastAsia="zh-CN"/>
        </w:rPr>
        <w:t>交货完毕并验收合格，验收不合格的3个工作日要替换到位，每逾期一天将按中标金额的1%天扣除违约金。</w:t>
      </w:r>
    </w:p>
    <w:p w14:paraId="707BDF6E">
      <w:pPr>
        <w:autoSpaceDE w:val="0"/>
        <w:autoSpaceDN w:val="0"/>
        <w:adjustRightInd w:val="0"/>
        <w:snapToGrid w:val="0"/>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lang w:val="zh-CN"/>
        </w:rPr>
        <w:t>）付款方式：</w:t>
      </w:r>
      <w:r>
        <w:rPr>
          <w:rFonts w:hint="eastAsia" w:ascii="宋体" w:hAnsi="宋体" w:cs="宋体"/>
          <w:b/>
          <w:bCs/>
          <w:color w:val="auto"/>
          <w:sz w:val="24"/>
          <w:szCs w:val="24"/>
          <w:highlight w:val="none"/>
          <w:lang w:val="en-US" w:eastAsia="zh-CN"/>
        </w:rPr>
        <w:t xml:space="preserve">具体以实际发生量据实结算。结算周期每季度根据实际数量结算一次。（注：付款时，中标人按甲方财务付款支付流程办理，同时提供相应的增值税发票；中标人未提供发票税率不足的，招标单位有权扣除（足）相应率税点，且中标人应对提供的发票真实有效性负责）。 </w:t>
      </w:r>
    </w:p>
    <w:p w14:paraId="513AE611">
      <w:pPr>
        <w:autoSpaceDE w:val="0"/>
        <w:autoSpaceDN w:val="0"/>
        <w:adjustRightInd w:val="0"/>
        <w:snapToGrid w:val="0"/>
        <w:spacing w:line="360" w:lineRule="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lang w:val="zh-CN"/>
        </w:rPr>
        <w:t>）交货包装</w:t>
      </w:r>
    </w:p>
    <w:p w14:paraId="0BC7D4AD">
      <w:pPr>
        <w:autoSpaceDE w:val="0"/>
        <w:autoSpaceDN w:val="0"/>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供应商提供的全部货物均应按标准保护措施进行包装，这类包装应适应于远距离运输、防潮、防震、防锈和防野蛮装卸，以确保货物安全无损运抵指定现场。由于包装不善所引起的货物锈蚀、损坏和损失均由供应商负责。</w:t>
      </w:r>
    </w:p>
    <w:p w14:paraId="6893C06C">
      <w:pPr>
        <w:autoSpaceDE w:val="0"/>
        <w:autoSpaceDN w:val="0"/>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2.供应商交货时，须提供设备的全部资料，如产品合格证、装箱单、使用说明书、易损件清单、备品备件清单、第三方检测报告、标准操作规程、维护保养规程等等。</w:t>
      </w:r>
    </w:p>
    <w:p w14:paraId="142BCB0F">
      <w:pPr>
        <w:autoSpaceDE w:val="0"/>
        <w:autoSpaceDN w:val="0"/>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3.供应商提供的全部货物所有附件必须都配备齐全，所供货设备外包箱注明用户信息，原厂设备完整，不得折封，以上参数如有不符直接退货。</w:t>
      </w:r>
    </w:p>
    <w:p w14:paraId="70BDE3DE">
      <w:pPr>
        <w:autoSpaceDE w:val="0"/>
        <w:autoSpaceDN w:val="0"/>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4.如果供应商没有按照合同规定或采购人同意延长的时间交货，每延期一天，按合同总金额的1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 xml:space="preserve">交付违约金；如果供应商在达到最高限额（合同总额5%）后仍不能交付的，采购人可终止合同，因此产生的一切经济损失由供应商承担；因质量问题延期交付设备时，按延期交付产品处理。 </w:t>
      </w:r>
    </w:p>
    <w:p w14:paraId="3816B5E4">
      <w:pPr>
        <w:autoSpaceDE w:val="0"/>
        <w:autoSpaceDN w:val="0"/>
        <w:adjustRightInd w:val="0"/>
        <w:snapToGrid w:val="0"/>
        <w:spacing w:line="360" w:lineRule="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lang w:val="zh-CN"/>
        </w:rPr>
        <w:t>）安装、验收</w:t>
      </w:r>
    </w:p>
    <w:p w14:paraId="671B7581">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1.供应商在交货截止时间（或采购方规定的时间）内交货，有关运输和保险的一切费用由供应商承担。所有货物运抵现场并验收合格后的日期为交货日期。</w:t>
      </w:r>
    </w:p>
    <w:p w14:paraId="0D948568">
      <w:pPr>
        <w:autoSpaceDE w:val="0"/>
        <w:autoSpaceDN w:val="0"/>
        <w:adjustRightInd w:val="0"/>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2.货物到现场后，采购人（或其授权代表）、供应商组织相关人员共同对到货货物的数量、外观、包装质量、技术资料等进行</w:t>
      </w:r>
      <w:r>
        <w:rPr>
          <w:rFonts w:hint="eastAsia" w:ascii="宋体" w:hAnsi="宋体" w:cs="宋体"/>
          <w:color w:val="auto"/>
          <w:sz w:val="24"/>
          <w:highlight w:val="none"/>
          <w:lang w:val="en-US" w:eastAsia="zh-CN"/>
        </w:rPr>
        <w:t>确认</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p>
    <w:p w14:paraId="09557C48">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3.货物供货完成以后，在7个工作日内由采购人或组织技术专家或委托第三方专业机构对货物依照谈判文件上的技术规格要求、以及国家有关标准进行验收；货物性能达到技术要求的，给予</w:t>
      </w:r>
      <w:r>
        <w:rPr>
          <w:rFonts w:hint="eastAsia" w:ascii="宋体" w:hAnsi="宋体" w:cs="宋体"/>
          <w:color w:val="auto"/>
          <w:sz w:val="24"/>
          <w:highlight w:val="none"/>
          <w:lang w:val="en-US" w:eastAsia="zh-CN"/>
        </w:rPr>
        <w:t>验收通过</w:t>
      </w:r>
      <w:r>
        <w:rPr>
          <w:rFonts w:hint="eastAsia" w:ascii="宋体" w:hAnsi="宋体" w:cs="宋体"/>
          <w:color w:val="auto"/>
          <w:sz w:val="24"/>
          <w:highlight w:val="none"/>
        </w:rPr>
        <w:t>；验收合格后由采购人（或其授权代表）签署确认验收合格文件（一式四份）；全部技术资料等应当在验收合格后移交用户单位（业主）。验收时如发现货物的质量、性能不符合采购文件规定标准的，本项目采购人有权在货物验收时予以拒收；因此产生的一切经济损失由供应商承担；</w:t>
      </w:r>
    </w:p>
    <w:p w14:paraId="21381C48">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4.交付验收标准：依次序对照适用标准为：</w:t>
      </w:r>
    </w:p>
    <w:p w14:paraId="0F570C06">
      <w:pPr>
        <w:autoSpaceDE w:val="0"/>
        <w:autoSpaceDN w:val="0"/>
        <w:adjustRightInd w:val="0"/>
        <w:snapToGrid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①符合中华人民共和国国家安全质量标准、环保标准或行业标准；</w:t>
      </w:r>
    </w:p>
    <w:p w14:paraId="4A31CE36">
      <w:pPr>
        <w:autoSpaceDE w:val="0"/>
        <w:autoSpaceDN w:val="0"/>
        <w:adjustRightInd w:val="0"/>
        <w:snapToGrid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②符合谈判文件和投标承诺中采购人认可的合理最佳配置、参数及各项要求；</w:t>
      </w:r>
    </w:p>
    <w:p w14:paraId="1BE733EB">
      <w:pPr>
        <w:autoSpaceDE w:val="0"/>
        <w:autoSpaceDN w:val="0"/>
        <w:adjustRightInd w:val="0"/>
        <w:snapToGrid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③货物来源国官方标准。</w:t>
      </w:r>
    </w:p>
    <w:p w14:paraId="52384236">
      <w:pPr>
        <w:autoSpaceDE w:val="0"/>
        <w:autoSpaceDN w:val="0"/>
        <w:adjustRightInd w:val="0"/>
        <w:snapToGrid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上述标准必须是有关官方机构发布的最新版本的标准；</w:t>
      </w:r>
    </w:p>
    <w:p w14:paraId="5B8EE590">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5.供应商须为验收提供必需的设备、工具及其他便利条件；</w:t>
      </w:r>
    </w:p>
    <w:p w14:paraId="08807777">
      <w:pPr>
        <w:autoSpaceDE w:val="0"/>
        <w:autoSpaceDN w:val="0"/>
        <w:adjustRightInd w:val="0"/>
        <w:snapToGrid w:val="0"/>
        <w:spacing w:line="360" w:lineRule="auto"/>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6.在验收过程中发现数量不足或有质量、技术等问题，供应商应负责按照采购人的要求采取补足、更换或退货等措施妥善处理，并承担由此发生的一切费用和损失；</w:t>
      </w:r>
    </w:p>
    <w:p w14:paraId="4B737F40">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7.对于不合格的货物，供应商必须在7个工作日里及时完成更换并重新对更换货物进行验收。</w:t>
      </w:r>
    </w:p>
    <w:p w14:paraId="206569A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lang w:val="zh-CN"/>
        </w:rPr>
        <w:t>）其它要求</w:t>
      </w:r>
    </w:p>
    <w:p w14:paraId="3697280F">
      <w:pPr>
        <w:keepNext w:val="0"/>
        <w:keepLines w:val="0"/>
        <w:pageBreakBefore w:val="0"/>
        <w:widowControl w:val="0"/>
        <w:kinsoku/>
        <w:wordWrap/>
        <w:overflowPunct/>
        <w:topLinePunct w:val="0"/>
        <w:autoSpaceDE w:val="0"/>
        <w:autoSpaceDN w:val="0"/>
        <w:bidi w:val="0"/>
        <w:snapToGrid w:val="0"/>
        <w:spacing w:line="400" w:lineRule="exact"/>
        <w:ind w:firstLine="566" w:firstLineChars="236"/>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该认真咨询、实地勘察，了解标的现状，并仔细阅读本次招标所提供的相关资料及特别规定。供应商参加投标，即表明供应商对标的的情况和特别规定的认可，投标成功后不得以未咨询或对标的不了解而提出异议或反悔。</w:t>
      </w:r>
    </w:p>
    <w:p w14:paraId="4885430E">
      <w:pPr>
        <w:keepNext w:val="0"/>
        <w:keepLines w:val="0"/>
        <w:pageBreakBefore w:val="0"/>
        <w:widowControl w:val="0"/>
        <w:kinsoku/>
        <w:wordWrap/>
        <w:overflowPunct/>
        <w:topLinePunct w:val="0"/>
        <w:autoSpaceDE w:val="0"/>
        <w:autoSpaceDN w:val="0"/>
        <w:bidi w:val="0"/>
        <w:snapToGrid w:val="0"/>
        <w:spacing w:line="400" w:lineRule="exact"/>
        <w:ind w:firstLine="566" w:firstLineChars="236"/>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应保证采购人在中华人民共和国使用成交供应商所提供的货物或货物的任何一部分时，免受第三方提出的侵犯其专利权、商标权的起诉；如果任何第三方提出侵权指控，成交供应商承担一切与之有关的责任。</w:t>
      </w:r>
    </w:p>
    <w:p w14:paraId="0D983B46">
      <w:pPr>
        <w:keepNext w:val="0"/>
        <w:keepLines w:val="0"/>
        <w:pageBreakBefore w:val="0"/>
        <w:widowControl w:val="0"/>
        <w:kinsoku/>
        <w:wordWrap/>
        <w:overflowPunct/>
        <w:topLinePunct w:val="0"/>
        <w:bidi w:val="0"/>
        <w:snapToGrid w:val="0"/>
        <w:spacing w:line="400" w:lineRule="exact"/>
        <w:ind w:left="239" w:leftChars="114"/>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成交供应商在履行合同时，应按照民法典用工，若出现员工不符合办理“五项保险”条件时，成交供应商应给予上述员工办理有关“商业保险中的意外伤害险”，且意外伤害险所赔付的保额不得低于当期工伤保险的赔付额。</w:t>
      </w:r>
    </w:p>
    <w:p w14:paraId="67FCA6FC">
      <w:pPr>
        <w:keepNext w:val="0"/>
        <w:keepLines w:val="0"/>
        <w:pageBreakBefore w:val="0"/>
        <w:widowControl w:val="0"/>
        <w:kinsoku/>
        <w:wordWrap/>
        <w:overflowPunct/>
        <w:topLinePunct w:val="0"/>
        <w:bidi w:val="0"/>
        <w:snapToGrid w:val="0"/>
        <w:spacing w:line="400" w:lineRule="exact"/>
        <w:ind w:left="239" w:leftChars="114" w:firstLine="480" w:firstLineChars="200"/>
        <w:textAlignment w:val="auto"/>
        <w:rPr>
          <w:rFonts w:hint="eastAsia" w:ascii="宋体" w:hAnsi="宋体" w:cs="宋体"/>
          <w:color w:val="auto"/>
          <w:kern w:val="1"/>
          <w:sz w:val="24"/>
          <w:szCs w:val="24"/>
          <w:highlight w:val="none"/>
        </w:rPr>
      </w:pPr>
      <w:r>
        <w:rPr>
          <w:rFonts w:hint="eastAsia" w:ascii="宋体" w:hAnsi="宋体" w:cs="宋体"/>
          <w:color w:val="auto"/>
          <w:sz w:val="24"/>
          <w:szCs w:val="24"/>
          <w:highlight w:val="none"/>
        </w:rPr>
        <w:t>4、成交供应商</w:t>
      </w:r>
      <w:r>
        <w:rPr>
          <w:rFonts w:hint="eastAsia" w:ascii="宋体" w:hAnsi="宋体" w:cs="宋体"/>
          <w:color w:val="auto"/>
          <w:kern w:val="1"/>
          <w:sz w:val="24"/>
          <w:szCs w:val="24"/>
          <w:highlight w:val="none"/>
        </w:rPr>
        <w:t>在履行合同期间，应对</w:t>
      </w:r>
      <w:r>
        <w:rPr>
          <w:rFonts w:hint="eastAsia" w:ascii="宋体" w:hAnsi="宋体" w:cs="宋体"/>
          <w:color w:val="auto"/>
          <w:sz w:val="24"/>
          <w:szCs w:val="24"/>
          <w:highlight w:val="none"/>
        </w:rPr>
        <w:t>成交供应商</w:t>
      </w:r>
      <w:r>
        <w:rPr>
          <w:rFonts w:hint="eastAsia" w:ascii="宋体" w:hAnsi="宋体" w:cs="宋体"/>
          <w:color w:val="auto"/>
          <w:kern w:val="1"/>
          <w:sz w:val="24"/>
          <w:szCs w:val="24"/>
          <w:highlight w:val="none"/>
        </w:rPr>
        <w:t>（或其雇佣人员）的疏忽、故意或过失而造成采购人的直接或间接损失、第三者的财产损失及安全责任事故等负责，并承担相应费用。</w:t>
      </w:r>
    </w:p>
    <w:p w14:paraId="25902E75">
      <w:pPr>
        <w:keepNext w:val="0"/>
        <w:keepLines w:val="0"/>
        <w:pageBreakBefore w:val="0"/>
        <w:widowControl w:val="0"/>
        <w:kinsoku/>
        <w:wordWrap/>
        <w:overflowPunct/>
        <w:topLinePunct w:val="0"/>
        <w:autoSpaceDE w:val="0"/>
        <w:autoSpaceDN w:val="0"/>
        <w:bidi w:val="0"/>
        <w:adjustRightInd w:val="0"/>
        <w:snapToGrid w:val="0"/>
        <w:spacing w:line="400" w:lineRule="exact"/>
        <w:ind w:firstLine="720" w:firstLineChars="300"/>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cs="宋体"/>
          <w:color w:val="auto"/>
          <w:sz w:val="24"/>
          <w:szCs w:val="24"/>
          <w:highlight w:val="none"/>
        </w:rPr>
        <w:t>5、其他未尽事宜可在合同中约定。</w:t>
      </w:r>
    </w:p>
    <w:p w14:paraId="74CD41BE">
      <w:bookmarkStart w:id="0" w:name="_GoBack"/>
      <w:bookmarkEnd w:id="0"/>
    </w:p>
    <w:sectPr>
      <w:pgSz w:w="11907" w:h="16839"/>
      <w:pgMar w:top="1134" w:right="1134" w:bottom="1134" w:left="1134" w:header="851" w:footer="992" w:gutter="0"/>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23BF6"/>
    <w:rsid w:val="6C591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table" w:styleId="4">
    <w:name w:val="Table Grid"/>
    <w:basedOn w:val="3"/>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 6"/>
    <w:basedOn w:val="1"/>
    <w:autoRedefine/>
    <w:qFormat/>
    <w:uiPriority w:val="1"/>
    <w:pPr>
      <w:spacing w:before="14"/>
      <w:jc w:val="left"/>
      <w:outlineLvl w:val="6"/>
    </w:pPr>
    <w:rPr>
      <w:rFonts w:ascii="宋体" w:hAnsi="宋体"/>
      <w:kern w:val="0"/>
      <w:sz w:val="28"/>
      <w:szCs w:val="2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2025-07-09T04:49:00Z</dcterms:created>
  <dc:creator>Lenovo</dc:creator>
  <cp:lastModifiedBy>AB</cp:lastModifiedBy>
  <dcterms:modified xsi:type="dcterms:W3CDTF">2025-07-17T09:51:27Z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8F09D009EA7246CD840626D723564BE3_12</vt:lpwstr>
  </property>
  <property fmtid="{D5CDD505-2E9C-101B-9397-08002B2CF9AE}" pid="4" name="KSOTemplateDocerSaveRecord">
    <vt:lpwstr>eyJoZGlkIjoiY2U4MGVkYTg5OTA5N2I0MjFiMjAzYzIyZmRhNzRjZGMiLCJ1c2VySWQiOiIxOTA3MzcwNzIifQ==</vt:lpwstr>
  </property>
</Properties>
</file>