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3CFA18">
      <w:pPr>
        <w:pStyle w:val="2"/>
        <w:numPr>
          <w:ilvl w:val="0"/>
          <w:numId w:val="0"/>
        </w:numPr>
        <w:shd w:val="clear" w:color="auto" w:fill="auto"/>
        <w:jc w:val="both"/>
        <w:rPr>
          <w:rFonts w:hint="default" w:ascii="宋体" w:hAnsi="宋体" w:eastAsia="宋体" w:cs="宋体"/>
          <w:b/>
          <w:bCs/>
          <w:color w:val="auto"/>
          <w:kern w:val="2"/>
          <w:sz w:val="32"/>
          <w:szCs w:val="32"/>
          <w:highlight w:val="none"/>
          <w:lang w:val="en-US" w:eastAsia="zh-CN" w:bidi="ar-SA"/>
        </w:rPr>
      </w:pPr>
      <w:r>
        <w:rPr>
          <w:rFonts w:hint="eastAsia" w:ascii="宋体" w:hAnsi="宋体" w:eastAsia="宋体" w:cs="宋体"/>
          <w:b/>
          <w:bCs/>
          <w:color w:val="auto"/>
          <w:kern w:val="2"/>
          <w:sz w:val="32"/>
          <w:szCs w:val="32"/>
          <w:highlight w:val="none"/>
          <w:lang w:val="en-US" w:eastAsia="zh-CN" w:bidi="ar-SA"/>
        </w:rPr>
        <w:t>附件</w:t>
      </w:r>
    </w:p>
    <w:p w14:paraId="728947F0">
      <w:pPr>
        <w:pStyle w:val="2"/>
        <w:numPr>
          <w:ilvl w:val="0"/>
          <w:numId w:val="0"/>
        </w:numPr>
        <w:shd w:val="clear" w:color="auto" w:fill="auto"/>
        <w:jc w:val="both"/>
        <w:rPr>
          <w:rFonts w:hint="eastAsia" w:ascii="宋体" w:hAnsi="宋体" w:eastAsia="宋体" w:cs="宋体"/>
          <w:b/>
          <w:bCs/>
          <w:color w:val="auto"/>
          <w:kern w:val="2"/>
          <w:sz w:val="32"/>
          <w:szCs w:val="32"/>
          <w:highlight w:val="none"/>
          <w:lang w:val="en-US" w:eastAsia="zh-CN" w:bidi="ar-SA"/>
        </w:rPr>
      </w:pPr>
      <w:r>
        <w:rPr>
          <w:rFonts w:hint="eastAsia" w:ascii="宋体" w:hAnsi="宋体" w:eastAsia="宋体" w:cs="宋体"/>
          <w:b/>
          <w:bCs/>
          <w:color w:val="auto"/>
          <w:kern w:val="2"/>
          <w:sz w:val="32"/>
          <w:szCs w:val="32"/>
          <w:lang w:val="en-US" w:eastAsia="zh-CN" w:bidi="ar-SA"/>
        </w:rPr>
        <w:t>一、</w:t>
      </w:r>
      <w:r>
        <w:rPr>
          <w:rFonts w:hint="eastAsia" w:ascii="宋体" w:hAnsi="宋体" w:eastAsia="宋体" w:cs="宋体"/>
          <w:b/>
          <w:bCs/>
          <w:color w:val="auto"/>
          <w:kern w:val="2"/>
          <w:sz w:val="32"/>
          <w:szCs w:val="32"/>
          <w:highlight w:val="none"/>
          <w:lang w:val="en-US" w:eastAsia="zh-CN" w:bidi="ar-SA"/>
        </w:rPr>
        <w:t>资格要求</w:t>
      </w:r>
    </w:p>
    <w:p w14:paraId="562C399D">
      <w:pPr>
        <w:spacing w:line="43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1、满足《中华人民共和国政府采购法》第二十二条规定：</w:t>
      </w:r>
    </w:p>
    <w:p w14:paraId="1E3A54DF">
      <w:pPr>
        <w:spacing w:line="43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（一）具有独立承担民事责任的能力：提供法人或者其他组织的营业执照，法人授权委托书及委托代理人身份证（法定代表人参加则只需提供身份证），自然人投标提供身份证明；</w:t>
      </w:r>
    </w:p>
    <w:p w14:paraId="7C29954D">
      <w:pPr>
        <w:spacing w:line="43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（二）具有良好的商业信誉和健全的财务会计制度：提供202</w:t>
      </w: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年度或202</w:t>
      </w:r>
      <w:r>
        <w:rPr>
          <w:rFonts w:hint="eastAsia" w:ascii="宋体" w:hAnsi="宋体" w:eastAsia="宋体" w:cs="宋体"/>
          <w:color w:val="auto"/>
          <w:kern w:val="0"/>
          <w:sz w:val="24"/>
          <w:szCs w:val="24"/>
          <w:highlight w:val="none"/>
          <w:lang w:val="en-US" w:eastAsia="zh-CN"/>
        </w:rPr>
        <w:t>4</w:t>
      </w:r>
      <w:r>
        <w:rPr>
          <w:rFonts w:hint="eastAsia" w:ascii="宋体" w:hAnsi="宋体" w:eastAsia="宋体" w:cs="宋体"/>
          <w:color w:val="auto"/>
          <w:kern w:val="0"/>
          <w:sz w:val="24"/>
          <w:szCs w:val="24"/>
          <w:highlight w:val="none"/>
        </w:rPr>
        <w:t>年度审计报告，或者提供</w:t>
      </w:r>
      <w:r>
        <w:rPr>
          <w:rFonts w:hint="eastAsia" w:ascii="宋体" w:hAnsi="宋体" w:eastAsia="宋体" w:cs="宋体"/>
          <w:color w:val="auto"/>
          <w:kern w:val="0"/>
          <w:sz w:val="24"/>
          <w:szCs w:val="24"/>
          <w:highlight w:val="none"/>
          <w:lang w:val="en-US" w:eastAsia="zh-CN"/>
        </w:rPr>
        <w:t>开标</w:t>
      </w:r>
      <w:r>
        <w:rPr>
          <w:rFonts w:hint="eastAsia" w:ascii="宋体" w:hAnsi="宋体" w:eastAsia="宋体" w:cs="宋体"/>
          <w:color w:val="auto"/>
          <w:kern w:val="0"/>
          <w:sz w:val="24"/>
          <w:szCs w:val="24"/>
          <w:highlight w:val="none"/>
        </w:rPr>
        <w:t>截止时间前一个月内开户银行出具的资信证明，提供任一种均可；提供资信证明的须同时提供开户许可证或基本存款账户信息。</w:t>
      </w:r>
    </w:p>
    <w:p w14:paraId="31CF7D45">
      <w:pPr>
        <w:spacing w:line="43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（三）具有履行合同所必需的设备和专业技术能力：提供承诺函；</w:t>
      </w:r>
    </w:p>
    <w:p w14:paraId="5F697FC4">
      <w:pPr>
        <w:spacing w:line="43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（四）有依法缴纳税收和社会保障资金的良好记录：</w:t>
      </w:r>
    </w:p>
    <w:p w14:paraId="6A109FAB">
      <w:pPr>
        <w:spacing w:line="43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有依法缴纳税收的良好记录【提供开标前六个月内任意一个月的依法缴纳税收的证明复印件加盖公章（纳税发票、银行纳税转帐凭证、税务局出具的纳税证明、税务局出具的免税证明、税务局出具的无欠税证明，提供任一种均可）】；</w:t>
      </w:r>
    </w:p>
    <w:p w14:paraId="210D7203">
      <w:pPr>
        <w:spacing w:line="43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有依法缴纳社会保障资金的良好记录【提供开标前六个月内任意一个月的缴纳社会保障资金的证明复印件加盖公章（社保缴纳发票、缴纳社保的银行转帐凭证、社保局或税务局出具的正常缴纳社保证明，提供任一种均可）】；</w:t>
      </w:r>
    </w:p>
    <w:p w14:paraId="42EFF738">
      <w:pPr>
        <w:spacing w:line="43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（五）参加政府招标活动前三年内，在经营活动中没有重大违法记录：提供供应商的自我书面声明；</w:t>
      </w:r>
    </w:p>
    <w:p w14:paraId="6A14BC5E">
      <w:pPr>
        <w:spacing w:line="43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（六）法律、行政法规规定的其他条件:</w:t>
      </w:r>
    </w:p>
    <w:p w14:paraId="0AEBF37F">
      <w:pPr>
        <w:keepNext w:val="0"/>
        <w:keepLines w:val="0"/>
        <w:pageBreakBefore w:val="0"/>
        <w:widowControl/>
        <w:kinsoku/>
        <w:wordWrap/>
        <w:overflowPunct/>
        <w:topLinePunct w:val="0"/>
        <w:autoSpaceDE/>
        <w:autoSpaceDN/>
        <w:bidi w:val="0"/>
        <w:adjustRightInd w:val="0"/>
        <w:snapToGrid w:val="0"/>
        <w:spacing w:line="440" w:lineRule="exact"/>
        <w:ind w:firstLine="484" w:firstLineChars="202"/>
        <w:jc w:val="left"/>
        <w:textAlignment w:val="auto"/>
        <w:rPr>
          <w:rFonts w:hint="eastAsia" w:ascii="宋体" w:eastAsia="宋体" w:cs="宋体"/>
          <w:color w:val="auto"/>
          <w:sz w:val="24"/>
          <w:szCs w:val="24"/>
          <w:highlight w:val="none"/>
        </w:rPr>
      </w:pPr>
      <w:r>
        <w:rPr>
          <w:rFonts w:hint="eastAsia" w:ascii="宋体" w:cs="宋体"/>
          <w:color w:val="auto"/>
          <w:sz w:val="24"/>
          <w:szCs w:val="24"/>
          <w:highlight w:val="none"/>
          <w:lang w:val="en-US" w:eastAsia="zh-CN"/>
        </w:rPr>
        <w:t>1.①</w:t>
      </w:r>
      <w:r>
        <w:rPr>
          <w:rFonts w:hint="eastAsia" w:ascii="宋体" w:eastAsia="宋体" w:cs="宋体"/>
          <w:color w:val="auto"/>
          <w:sz w:val="24"/>
          <w:szCs w:val="24"/>
          <w:highlight w:val="none"/>
        </w:rPr>
        <w:t>通过信用中国网站和中国政府采购网查询相关主体信用记录，被列入失信被执行人、重大税收违法失信主体、政府采购严重违法失信行为记录名单的供应商（处罚期限尚未届满的），不得参与本项目的采购活动</w:t>
      </w:r>
      <w:r>
        <w:rPr>
          <w:rFonts w:hint="eastAsia" w:ascii="宋体" w:cs="宋体"/>
          <w:color w:val="auto"/>
          <w:sz w:val="24"/>
          <w:szCs w:val="24"/>
          <w:highlight w:val="none"/>
          <w:lang w:eastAsia="zh-CN"/>
        </w:rPr>
        <w:t>；</w:t>
      </w:r>
      <w:r>
        <w:rPr>
          <w:rFonts w:hint="eastAsia" w:ascii="宋体" w:eastAsia="宋体" w:cs="宋体"/>
          <w:color w:val="auto"/>
          <w:sz w:val="24"/>
          <w:szCs w:val="24"/>
          <w:highlight w:val="none"/>
        </w:rPr>
        <w:t>（告知项</w:t>
      </w:r>
      <w:r>
        <w:rPr>
          <w:rFonts w:hint="eastAsia" w:ascii="宋体" w:cs="宋体"/>
          <w:color w:val="auto"/>
          <w:sz w:val="24"/>
          <w:szCs w:val="24"/>
          <w:highlight w:val="none"/>
          <w:lang w:eastAsia="zh-CN"/>
        </w:rPr>
        <w:t>，</w:t>
      </w:r>
      <w:r>
        <w:rPr>
          <w:rFonts w:hint="eastAsia" w:ascii="宋体" w:cs="宋体"/>
          <w:color w:val="auto"/>
          <w:sz w:val="24"/>
          <w:szCs w:val="24"/>
          <w:highlight w:val="none"/>
          <w:lang w:val="en-US" w:eastAsia="zh-CN"/>
        </w:rPr>
        <w:t>无需提供证明材料</w:t>
      </w:r>
      <w:r>
        <w:rPr>
          <w:rFonts w:hint="eastAsia" w:ascii="宋体" w:eastAsia="宋体" w:cs="宋体"/>
          <w:color w:val="auto"/>
          <w:sz w:val="24"/>
          <w:szCs w:val="24"/>
          <w:highlight w:val="none"/>
        </w:rPr>
        <w:t>）</w:t>
      </w:r>
    </w:p>
    <w:p w14:paraId="7A482A14">
      <w:pPr>
        <w:keepNext w:val="0"/>
        <w:keepLines w:val="0"/>
        <w:pageBreakBefore w:val="0"/>
        <w:widowControl/>
        <w:kinsoku/>
        <w:wordWrap/>
        <w:overflowPunct/>
        <w:topLinePunct w:val="0"/>
        <w:autoSpaceDE/>
        <w:autoSpaceDN/>
        <w:bidi w:val="0"/>
        <w:adjustRightInd w:val="0"/>
        <w:snapToGrid w:val="0"/>
        <w:spacing w:line="440" w:lineRule="exact"/>
        <w:ind w:firstLine="484" w:firstLineChars="202"/>
        <w:jc w:val="left"/>
        <w:textAlignment w:val="auto"/>
        <w:rPr>
          <w:rFonts w:hint="eastAsia" w:ascii="宋体" w:eastAsia="宋体" w:cs="宋体"/>
          <w:color w:val="auto"/>
          <w:sz w:val="24"/>
          <w:szCs w:val="24"/>
          <w:highlight w:val="none"/>
        </w:rPr>
      </w:pPr>
      <w:r>
        <w:rPr>
          <w:rFonts w:hint="eastAsia" w:ascii="宋体" w:cs="宋体"/>
          <w:color w:val="auto"/>
          <w:sz w:val="24"/>
          <w:szCs w:val="24"/>
          <w:highlight w:val="none"/>
          <w:lang w:val="en-US" w:eastAsia="zh-CN"/>
        </w:rPr>
        <w:t>②</w:t>
      </w:r>
      <w:r>
        <w:rPr>
          <w:rFonts w:hint="eastAsia" w:ascii="宋体" w:eastAsia="宋体" w:cs="宋体"/>
          <w:color w:val="auto"/>
          <w:sz w:val="24"/>
          <w:szCs w:val="24"/>
          <w:highlight w:val="none"/>
        </w:rPr>
        <w:t>单位负责人为同一人或者存在直接控股、管理关系的不同供应商，不得参加同一合同项下的采购活动；（告知项</w:t>
      </w:r>
      <w:r>
        <w:rPr>
          <w:rFonts w:hint="eastAsia" w:ascii="宋体" w:cs="宋体"/>
          <w:color w:val="auto"/>
          <w:sz w:val="24"/>
          <w:szCs w:val="24"/>
          <w:highlight w:val="none"/>
          <w:lang w:eastAsia="zh-CN"/>
        </w:rPr>
        <w:t>，</w:t>
      </w:r>
      <w:r>
        <w:rPr>
          <w:rFonts w:hint="eastAsia" w:ascii="宋体" w:cs="宋体"/>
          <w:color w:val="auto"/>
          <w:sz w:val="24"/>
          <w:szCs w:val="24"/>
          <w:highlight w:val="none"/>
          <w:lang w:val="en-US" w:eastAsia="zh-CN"/>
        </w:rPr>
        <w:t>无需提供证明材料</w:t>
      </w:r>
      <w:r>
        <w:rPr>
          <w:rFonts w:hint="eastAsia" w:ascii="宋体" w:eastAsia="宋体" w:cs="宋体"/>
          <w:color w:val="auto"/>
          <w:sz w:val="24"/>
          <w:szCs w:val="24"/>
          <w:highlight w:val="none"/>
        </w:rPr>
        <w:t>）</w:t>
      </w:r>
    </w:p>
    <w:p w14:paraId="3F010BB9">
      <w:pPr>
        <w:keepNext w:val="0"/>
        <w:keepLines w:val="0"/>
        <w:pageBreakBefore w:val="0"/>
        <w:widowControl/>
        <w:kinsoku/>
        <w:wordWrap/>
        <w:overflowPunct/>
        <w:topLinePunct w:val="0"/>
        <w:autoSpaceDE/>
        <w:autoSpaceDN/>
        <w:bidi w:val="0"/>
        <w:adjustRightInd w:val="0"/>
        <w:snapToGrid w:val="0"/>
        <w:spacing w:line="440" w:lineRule="exact"/>
        <w:ind w:firstLine="484" w:firstLineChars="202"/>
        <w:jc w:val="left"/>
        <w:textAlignment w:val="auto"/>
        <w:rPr>
          <w:rFonts w:hint="eastAsia" w:ascii="宋体" w:cs="宋体"/>
          <w:color w:val="auto"/>
          <w:sz w:val="24"/>
          <w:szCs w:val="24"/>
          <w:highlight w:val="none"/>
          <w:lang w:val="en-US" w:eastAsia="zh-CN"/>
        </w:rPr>
      </w:pPr>
      <w:r>
        <w:rPr>
          <w:rFonts w:hint="eastAsia" w:ascii="宋体" w:cs="宋体"/>
          <w:color w:val="auto"/>
          <w:sz w:val="24"/>
          <w:szCs w:val="24"/>
          <w:highlight w:val="none"/>
          <w:lang w:val="en-US" w:eastAsia="zh-CN"/>
        </w:rPr>
        <w:t>③</w:t>
      </w:r>
      <w:r>
        <w:rPr>
          <w:rFonts w:hint="eastAsia" w:ascii="宋体" w:eastAsia="宋体" w:cs="宋体"/>
          <w:color w:val="auto"/>
          <w:sz w:val="24"/>
          <w:szCs w:val="24"/>
          <w:highlight w:val="none"/>
        </w:rPr>
        <w:t>为采购项目提供整体设计、规范编制或者项目管理、监理、检测等服务的供应商，不得再参加该采购项目的其他采购活动。（告知项</w:t>
      </w:r>
      <w:r>
        <w:rPr>
          <w:rFonts w:hint="eastAsia" w:ascii="宋体" w:cs="宋体"/>
          <w:color w:val="auto"/>
          <w:sz w:val="24"/>
          <w:szCs w:val="24"/>
          <w:highlight w:val="none"/>
          <w:lang w:eastAsia="zh-CN"/>
        </w:rPr>
        <w:t>，</w:t>
      </w:r>
      <w:r>
        <w:rPr>
          <w:rFonts w:hint="eastAsia" w:ascii="宋体" w:cs="宋体"/>
          <w:color w:val="auto"/>
          <w:sz w:val="24"/>
          <w:szCs w:val="24"/>
          <w:highlight w:val="none"/>
          <w:lang w:val="en-US" w:eastAsia="zh-CN"/>
        </w:rPr>
        <w:t>无需提供证明材料）</w:t>
      </w:r>
    </w:p>
    <w:p w14:paraId="1F1F25C1">
      <w:pPr>
        <w:spacing w:line="430" w:lineRule="exact"/>
        <w:ind w:firstLine="480" w:firstLineChars="200"/>
        <w:rPr>
          <w:rFonts w:hint="default" w:eastAsia="宋体"/>
          <w:b/>
          <w:bCs/>
          <w:lang w:val="en-US" w:eastAsia="zh-CN"/>
        </w:rPr>
      </w:pPr>
      <w:r>
        <w:rPr>
          <w:rFonts w:hint="eastAsia" w:ascii="宋体" w:hAnsi="宋体" w:cs="宋体"/>
          <w:color w:val="auto"/>
          <w:kern w:val="0"/>
          <w:sz w:val="24"/>
          <w:szCs w:val="24"/>
          <w:highlight w:val="none"/>
          <w:lang w:val="en-US" w:eastAsia="zh-CN"/>
        </w:rPr>
        <w:t>2、本项目特定资格要求</w:t>
      </w:r>
      <w:r>
        <w:rPr>
          <w:rFonts w:hint="eastAsia" w:ascii="宋体" w:hAnsi="宋体" w:eastAsia="宋体" w:cs="宋体"/>
          <w:color w:val="auto"/>
          <w:kern w:val="0"/>
          <w:sz w:val="24"/>
          <w:szCs w:val="24"/>
          <w:highlight w:val="none"/>
        </w:rPr>
        <w:t>:</w:t>
      </w:r>
      <w:r>
        <w:rPr>
          <w:rFonts w:hint="eastAsia" w:ascii="宋体" w:hAnsi="宋体" w:eastAsia="宋体" w:cs="宋体"/>
          <w:b/>
          <w:bCs/>
          <w:color w:val="auto"/>
          <w:kern w:val="0"/>
          <w:sz w:val="24"/>
          <w:szCs w:val="24"/>
          <w:highlight w:val="none"/>
          <w:lang w:val="en-US" w:eastAsia="zh-CN"/>
        </w:rPr>
        <w:t>无。</w:t>
      </w:r>
    </w:p>
    <w:p w14:paraId="5B5B1D95">
      <w:pPr>
        <w:keepNext w:val="0"/>
        <w:keepLines w:val="0"/>
        <w:pageBreakBefore w:val="0"/>
        <w:widowControl/>
        <w:numPr>
          <w:ilvl w:val="0"/>
          <w:numId w:val="0"/>
        </w:numPr>
        <w:kinsoku/>
        <w:wordWrap/>
        <w:overflowPunct/>
        <w:topLinePunct w:val="0"/>
        <w:autoSpaceDE/>
        <w:autoSpaceDN/>
        <w:bidi w:val="0"/>
        <w:adjustRightInd w:val="0"/>
        <w:snapToGrid w:val="0"/>
        <w:spacing w:line="440" w:lineRule="exact"/>
        <w:ind w:firstLine="484" w:firstLineChars="202"/>
        <w:jc w:val="left"/>
        <w:textAlignment w:val="auto"/>
        <w:rPr>
          <w:rFonts w:hint="default"/>
          <w:lang w:val="en-US" w:eastAsia="zh-CN"/>
        </w:rPr>
      </w:pPr>
      <w:r>
        <w:rPr>
          <w:rFonts w:hint="eastAsia" w:ascii="宋体" w:hAnsi="Times New Roman" w:eastAsia="宋体" w:cs="宋体"/>
          <w:b w:val="0"/>
          <w:bCs w:val="0"/>
          <w:color w:val="auto"/>
          <w:kern w:val="2"/>
          <w:sz w:val="24"/>
          <w:szCs w:val="24"/>
          <w:highlight w:val="none"/>
          <w:lang w:val="en-US" w:eastAsia="zh-CN" w:bidi="ar-SA"/>
        </w:rPr>
        <w:t>3、本项目不接受联合体投标，中标供应商不允许转包。（告知项，无需提供证明材料）</w:t>
      </w:r>
    </w:p>
    <w:p w14:paraId="0B7B0A40">
      <w:pPr>
        <w:numPr>
          <w:ilvl w:val="0"/>
          <w:numId w:val="0"/>
        </w:numPr>
        <w:rPr>
          <w:rFonts w:hint="default"/>
          <w:lang w:val="en-US"/>
        </w:rPr>
      </w:pPr>
    </w:p>
    <w:p w14:paraId="7061FF01">
      <w:pPr>
        <w:pStyle w:val="2"/>
        <w:numPr>
          <w:ilvl w:val="0"/>
          <w:numId w:val="0"/>
        </w:numPr>
        <w:shd w:val="clear" w:color="auto" w:fill="auto"/>
        <w:jc w:val="both"/>
        <w:rPr>
          <w:rFonts w:hint="default" w:ascii="宋体" w:hAnsi="宋体" w:eastAsia="宋体" w:cs="宋体"/>
          <w:b/>
          <w:bCs/>
          <w:color w:val="auto"/>
          <w:kern w:val="2"/>
          <w:sz w:val="32"/>
          <w:szCs w:val="32"/>
          <w:highlight w:val="none"/>
          <w:lang w:val="en-US" w:eastAsia="zh-CN" w:bidi="ar-SA"/>
        </w:rPr>
      </w:pPr>
      <w:r>
        <w:rPr>
          <w:rFonts w:hint="eastAsia" w:ascii="宋体" w:hAnsi="宋体" w:eastAsia="宋体" w:cs="宋体"/>
          <w:b/>
          <w:bCs/>
          <w:color w:val="auto"/>
          <w:kern w:val="2"/>
          <w:sz w:val="32"/>
          <w:szCs w:val="32"/>
          <w:highlight w:val="none"/>
          <w:lang w:val="en-US" w:eastAsia="zh-CN" w:bidi="ar-SA"/>
        </w:rPr>
        <w:t>二、材料清单及预算</w:t>
      </w:r>
    </w:p>
    <w:tbl>
      <w:tblPr>
        <w:tblStyle w:val="6"/>
        <w:tblW w:w="513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0"/>
        <w:gridCol w:w="3155"/>
        <w:gridCol w:w="1404"/>
        <w:gridCol w:w="1709"/>
        <w:gridCol w:w="1657"/>
      </w:tblGrid>
      <w:tr w14:paraId="30BF8D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5"/>
            <w:noWrap w:val="0"/>
            <w:vAlign w:val="top"/>
          </w:tcPr>
          <w:p w14:paraId="31322C11">
            <w:pPr>
              <w:jc w:val="center"/>
              <w:rPr>
                <w:rFonts w:hint="eastAsia" w:ascii="宋体" w:hAnsi="宋体" w:eastAsia="宋体" w:cs="宋体"/>
                <w:i w:val="0"/>
                <w:iCs w:val="0"/>
                <w:caps w:val="0"/>
                <w:color w:val="333333"/>
                <w:spacing w:val="0"/>
                <w:kern w:val="0"/>
                <w:sz w:val="24"/>
                <w:szCs w:val="24"/>
                <w:shd w:val="clear" w:color="auto" w:fill="FFFFFF"/>
                <w:lang w:val="en-US" w:eastAsia="zh-CN" w:bidi="ar"/>
              </w:rPr>
            </w:pPr>
            <w:r>
              <w:rPr>
                <w:rFonts w:hint="eastAsia" w:ascii="宋体" w:hAnsi="宋体" w:eastAsia="宋体" w:cs="宋体"/>
                <w:i w:val="0"/>
                <w:iCs w:val="0"/>
                <w:caps w:val="0"/>
                <w:color w:val="333333"/>
                <w:spacing w:val="0"/>
                <w:kern w:val="0"/>
                <w:sz w:val="24"/>
                <w:szCs w:val="24"/>
                <w:shd w:val="clear" w:color="auto" w:fill="FFFFFF"/>
                <w:lang w:val="en-US" w:eastAsia="zh-CN" w:bidi="ar"/>
              </w:rPr>
              <w:t>开挖及材料清单</w:t>
            </w:r>
          </w:p>
        </w:tc>
      </w:tr>
      <w:tr w14:paraId="72EAC2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469" w:type="pct"/>
            <w:noWrap w:val="0"/>
            <w:vAlign w:val="top"/>
          </w:tcPr>
          <w:p w14:paraId="175F4C0F">
            <w:pPr>
              <w:jc w:val="center"/>
              <w:rPr>
                <w:rFonts w:hint="eastAsia" w:ascii="宋体" w:hAnsi="宋体" w:eastAsia="宋体" w:cs="宋体"/>
                <w:i w:val="0"/>
                <w:iCs w:val="0"/>
                <w:caps w:val="0"/>
                <w:color w:val="333333"/>
                <w:spacing w:val="0"/>
                <w:kern w:val="0"/>
                <w:sz w:val="24"/>
                <w:szCs w:val="24"/>
                <w:shd w:val="clear" w:color="auto" w:fill="FFFFFF"/>
                <w:lang w:val="en-US" w:eastAsia="zh-CN" w:bidi="ar"/>
              </w:rPr>
            </w:pPr>
            <w:r>
              <w:rPr>
                <w:rFonts w:hint="eastAsia" w:ascii="宋体" w:hAnsi="宋体" w:eastAsia="宋体" w:cs="宋体"/>
                <w:i w:val="0"/>
                <w:iCs w:val="0"/>
                <w:caps w:val="0"/>
                <w:color w:val="333333"/>
                <w:spacing w:val="0"/>
                <w:kern w:val="0"/>
                <w:sz w:val="24"/>
                <w:szCs w:val="24"/>
                <w:shd w:val="clear" w:color="auto" w:fill="FFFFFF"/>
                <w:lang w:val="en-US" w:eastAsia="zh-CN" w:bidi="ar"/>
              </w:rPr>
              <w:t>序号</w:t>
            </w:r>
          </w:p>
        </w:tc>
        <w:tc>
          <w:tcPr>
            <w:tcW w:w="1804" w:type="pct"/>
            <w:noWrap w:val="0"/>
            <w:vAlign w:val="top"/>
          </w:tcPr>
          <w:p w14:paraId="4329379C">
            <w:pPr>
              <w:jc w:val="center"/>
              <w:rPr>
                <w:rFonts w:hint="eastAsia" w:ascii="宋体" w:hAnsi="宋体" w:eastAsia="宋体" w:cs="宋体"/>
                <w:i w:val="0"/>
                <w:iCs w:val="0"/>
                <w:caps w:val="0"/>
                <w:color w:val="333333"/>
                <w:spacing w:val="0"/>
                <w:kern w:val="0"/>
                <w:sz w:val="24"/>
                <w:szCs w:val="24"/>
                <w:shd w:val="clear" w:color="auto" w:fill="FFFFFF"/>
                <w:lang w:val="en-US" w:eastAsia="zh-CN" w:bidi="ar"/>
              </w:rPr>
            </w:pPr>
            <w:r>
              <w:rPr>
                <w:rFonts w:hint="eastAsia" w:ascii="宋体" w:hAnsi="宋体" w:eastAsia="宋体" w:cs="宋体"/>
                <w:i w:val="0"/>
                <w:iCs w:val="0"/>
                <w:caps w:val="0"/>
                <w:color w:val="333333"/>
                <w:spacing w:val="0"/>
                <w:kern w:val="0"/>
                <w:sz w:val="24"/>
                <w:szCs w:val="24"/>
                <w:shd w:val="clear" w:color="auto" w:fill="FFFFFF"/>
                <w:lang w:val="en-US" w:eastAsia="zh-CN" w:bidi="ar"/>
              </w:rPr>
              <w:t>名称</w:t>
            </w:r>
          </w:p>
        </w:tc>
        <w:tc>
          <w:tcPr>
            <w:tcW w:w="803" w:type="pct"/>
            <w:noWrap w:val="0"/>
            <w:vAlign w:val="top"/>
          </w:tcPr>
          <w:p w14:paraId="22BFF03B">
            <w:pPr>
              <w:jc w:val="center"/>
              <w:rPr>
                <w:rFonts w:hint="eastAsia" w:ascii="宋体" w:hAnsi="宋体" w:eastAsia="宋体" w:cs="宋体"/>
                <w:i w:val="0"/>
                <w:iCs w:val="0"/>
                <w:caps w:val="0"/>
                <w:color w:val="333333"/>
                <w:spacing w:val="0"/>
                <w:kern w:val="0"/>
                <w:sz w:val="24"/>
                <w:szCs w:val="24"/>
                <w:shd w:val="clear" w:color="auto" w:fill="FFFFFF"/>
                <w:lang w:val="en-US" w:eastAsia="zh-CN" w:bidi="ar"/>
              </w:rPr>
            </w:pPr>
            <w:r>
              <w:rPr>
                <w:rFonts w:hint="eastAsia" w:ascii="宋体" w:hAnsi="宋体" w:eastAsia="宋体" w:cs="宋体"/>
                <w:i w:val="0"/>
                <w:iCs w:val="0"/>
                <w:caps w:val="0"/>
                <w:color w:val="333333"/>
                <w:spacing w:val="0"/>
                <w:kern w:val="0"/>
                <w:sz w:val="24"/>
                <w:szCs w:val="24"/>
                <w:shd w:val="clear" w:color="auto" w:fill="FFFFFF"/>
                <w:lang w:val="en-US" w:eastAsia="zh-CN" w:bidi="ar"/>
              </w:rPr>
              <w:t>单位</w:t>
            </w:r>
          </w:p>
        </w:tc>
        <w:tc>
          <w:tcPr>
            <w:tcW w:w="977" w:type="pct"/>
            <w:noWrap w:val="0"/>
            <w:vAlign w:val="top"/>
          </w:tcPr>
          <w:p w14:paraId="234ECB02">
            <w:pPr>
              <w:jc w:val="center"/>
              <w:rPr>
                <w:rFonts w:hint="default" w:ascii="宋体" w:hAnsi="宋体" w:eastAsia="宋体" w:cs="宋体"/>
                <w:i w:val="0"/>
                <w:iCs w:val="0"/>
                <w:caps w:val="0"/>
                <w:color w:val="333333"/>
                <w:spacing w:val="0"/>
                <w:kern w:val="0"/>
                <w:sz w:val="24"/>
                <w:szCs w:val="24"/>
                <w:shd w:val="clear" w:color="auto" w:fill="FFFFFF"/>
                <w:lang w:val="en-US" w:eastAsia="zh-CN" w:bidi="ar"/>
              </w:rPr>
            </w:pPr>
            <w:r>
              <w:rPr>
                <w:rFonts w:hint="eastAsia" w:ascii="宋体" w:hAnsi="宋体" w:eastAsia="宋体" w:cs="宋体"/>
                <w:i w:val="0"/>
                <w:iCs w:val="0"/>
                <w:caps w:val="0"/>
                <w:color w:val="333333"/>
                <w:spacing w:val="0"/>
                <w:kern w:val="0"/>
                <w:sz w:val="24"/>
                <w:szCs w:val="24"/>
                <w:shd w:val="clear" w:color="auto" w:fill="FFFFFF"/>
                <w:lang w:val="en-US" w:eastAsia="zh-CN" w:bidi="ar"/>
              </w:rPr>
              <w:t>控制单价（元）</w:t>
            </w:r>
          </w:p>
        </w:tc>
        <w:tc>
          <w:tcPr>
            <w:tcW w:w="944" w:type="pct"/>
            <w:noWrap w:val="0"/>
            <w:vAlign w:val="top"/>
          </w:tcPr>
          <w:p w14:paraId="0F707229">
            <w:pPr>
              <w:jc w:val="center"/>
              <w:rPr>
                <w:rFonts w:hint="default" w:ascii="宋体" w:hAnsi="宋体" w:eastAsia="宋体" w:cs="宋体"/>
                <w:i w:val="0"/>
                <w:iCs w:val="0"/>
                <w:caps w:val="0"/>
                <w:color w:val="333333"/>
                <w:spacing w:val="0"/>
                <w:kern w:val="0"/>
                <w:sz w:val="24"/>
                <w:szCs w:val="24"/>
                <w:shd w:val="clear" w:color="auto" w:fill="FFFFFF"/>
                <w:lang w:val="en-US" w:eastAsia="zh-CN" w:bidi="ar"/>
              </w:rPr>
            </w:pPr>
            <w:r>
              <w:rPr>
                <w:rFonts w:hint="eastAsia" w:ascii="宋体" w:hAnsi="宋体" w:eastAsia="宋体" w:cs="宋体"/>
                <w:i w:val="0"/>
                <w:iCs w:val="0"/>
                <w:caps w:val="0"/>
                <w:color w:val="333333"/>
                <w:spacing w:val="0"/>
                <w:kern w:val="0"/>
                <w:sz w:val="24"/>
                <w:szCs w:val="24"/>
                <w:shd w:val="clear" w:color="auto" w:fill="FFFFFF"/>
                <w:lang w:val="en-US" w:eastAsia="zh-CN" w:bidi="ar"/>
              </w:rPr>
              <w:t>备注</w:t>
            </w:r>
          </w:p>
        </w:tc>
      </w:tr>
      <w:tr w14:paraId="132F3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2" w:hRule="atLeast"/>
        </w:trPr>
        <w:tc>
          <w:tcPr>
            <w:tcW w:w="469" w:type="pct"/>
            <w:noWrap w:val="0"/>
            <w:vAlign w:val="top"/>
          </w:tcPr>
          <w:p w14:paraId="36923BAF">
            <w:pPr>
              <w:jc w:val="center"/>
              <w:rPr>
                <w:rFonts w:hint="eastAsia" w:ascii="宋体" w:hAnsi="宋体" w:eastAsia="宋体" w:cs="宋体"/>
                <w:i w:val="0"/>
                <w:iCs w:val="0"/>
                <w:caps w:val="0"/>
                <w:color w:val="333333"/>
                <w:spacing w:val="0"/>
                <w:kern w:val="0"/>
                <w:sz w:val="24"/>
                <w:szCs w:val="24"/>
                <w:shd w:val="clear" w:color="auto" w:fill="FFFFFF"/>
                <w:lang w:val="en-US" w:eastAsia="zh-CN" w:bidi="ar"/>
              </w:rPr>
            </w:pPr>
            <w:r>
              <w:rPr>
                <w:rFonts w:hint="eastAsia" w:ascii="宋体" w:hAnsi="宋体" w:eastAsia="宋体" w:cs="宋体"/>
                <w:i w:val="0"/>
                <w:iCs w:val="0"/>
                <w:caps w:val="0"/>
                <w:color w:val="333333"/>
                <w:spacing w:val="0"/>
                <w:kern w:val="0"/>
                <w:sz w:val="24"/>
                <w:szCs w:val="24"/>
                <w:shd w:val="clear" w:color="auto" w:fill="FFFFFF"/>
                <w:lang w:val="en-US" w:eastAsia="zh-CN" w:bidi="ar"/>
              </w:rPr>
              <w:t>1</w:t>
            </w:r>
          </w:p>
        </w:tc>
        <w:tc>
          <w:tcPr>
            <w:tcW w:w="1804" w:type="pct"/>
            <w:noWrap w:val="0"/>
            <w:vAlign w:val="center"/>
          </w:tcPr>
          <w:p w14:paraId="3A5EBFAD">
            <w:pPr>
              <w:jc w:val="center"/>
              <w:rPr>
                <w:rFonts w:hint="eastAsia" w:ascii="宋体" w:hAnsi="宋体" w:eastAsia="宋体" w:cs="宋体"/>
                <w:i w:val="0"/>
                <w:iCs w:val="0"/>
                <w:caps w:val="0"/>
                <w:color w:val="333333"/>
                <w:spacing w:val="0"/>
                <w:kern w:val="0"/>
                <w:sz w:val="24"/>
                <w:szCs w:val="24"/>
                <w:shd w:val="clear" w:color="auto" w:fill="FFFFFF"/>
                <w:lang w:val="en-US" w:eastAsia="zh-CN" w:bidi="ar"/>
              </w:rPr>
            </w:pPr>
            <w:r>
              <w:rPr>
                <w:rFonts w:hint="eastAsia" w:ascii="宋体" w:hAnsi="宋体" w:eastAsia="宋体" w:cs="宋体"/>
                <w:i w:val="0"/>
                <w:iCs w:val="0"/>
                <w:caps w:val="0"/>
                <w:color w:val="333333"/>
                <w:spacing w:val="0"/>
                <w:kern w:val="0"/>
                <w:sz w:val="24"/>
                <w:szCs w:val="24"/>
                <w:shd w:val="clear" w:color="auto" w:fill="FFFFFF"/>
                <w:lang w:val="en-US" w:eastAsia="zh-CN" w:bidi="ar"/>
              </w:rPr>
              <w:t>75-8轮胎挖机台班</w:t>
            </w:r>
          </w:p>
        </w:tc>
        <w:tc>
          <w:tcPr>
            <w:tcW w:w="803" w:type="pct"/>
            <w:noWrap w:val="0"/>
            <w:vAlign w:val="center"/>
          </w:tcPr>
          <w:p w14:paraId="7C74228A">
            <w:pPr>
              <w:jc w:val="center"/>
              <w:rPr>
                <w:rFonts w:hint="eastAsia" w:ascii="宋体" w:hAnsi="宋体" w:eastAsia="宋体" w:cs="宋体"/>
                <w:i w:val="0"/>
                <w:iCs w:val="0"/>
                <w:caps w:val="0"/>
                <w:color w:val="333333"/>
                <w:spacing w:val="0"/>
                <w:kern w:val="0"/>
                <w:sz w:val="24"/>
                <w:szCs w:val="24"/>
                <w:shd w:val="clear" w:color="auto" w:fill="FFFFFF"/>
                <w:lang w:val="en-US" w:eastAsia="zh-CN" w:bidi="ar"/>
              </w:rPr>
            </w:pPr>
            <w:r>
              <w:rPr>
                <w:rFonts w:hint="eastAsia" w:ascii="宋体" w:hAnsi="宋体" w:eastAsia="宋体" w:cs="宋体"/>
                <w:i w:val="0"/>
                <w:iCs w:val="0"/>
                <w:caps w:val="0"/>
                <w:color w:val="333333"/>
                <w:spacing w:val="0"/>
                <w:kern w:val="0"/>
                <w:sz w:val="24"/>
                <w:szCs w:val="24"/>
                <w:shd w:val="clear" w:color="auto" w:fill="FFFFFF"/>
                <w:lang w:val="en-US" w:eastAsia="zh-CN" w:bidi="ar"/>
              </w:rPr>
              <w:t>8小时/台班</w:t>
            </w:r>
          </w:p>
        </w:tc>
        <w:tc>
          <w:tcPr>
            <w:tcW w:w="977" w:type="pct"/>
            <w:noWrap w:val="0"/>
            <w:vAlign w:val="center"/>
          </w:tcPr>
          <w:p w14:paraId="7D1D0782">
            <w:pPr>
              <w:keepNext w:val="0"/>
              <w:keepLines w:val="0"/>
              <w:widowControl/>
              <w:suppressLineNumbers w:val="0"/>
              <w:jc w:val="center"/>
              <w:textAlignment w:val="center"/>
              <w:rPr>
                <w:rFonts w:hint="eastAsia" w:ascii="宋体" w:hAnsi="宋体" w:eastAsia="宋体" w:cs="宋体"/>
                <w:i w:val="0"/>
                <w:iCs w:val="0"/>
                <w:caps w:val="0"/>
                <w:color w:val="333333"/>
                <w:spacing w:val="0"/>
                <w:kern w:val="0"/>
                <w:sz w:val="24"/>
                <w:szCs w:val="24"/>
                <w:shd w:val="clear" w:color="auto" w:fill="FFFFFF"/>
                <w:lang w:val="en-US" w:eastAsia="zh-CN" w:bidi="ar"/>
              </w:rPr>
            </w:pPr>
            <w:r>
              <w:rPr>
                <w:rFonts w:hint="default" w:ascii="宋体" w:hAnsi="宋体" w:eastAsia="宋体" w:cs="宋体"/>
                <w:i w:val="0"/>
                <w:iCs w:val="0"/>
                <w:color w:val="000000"/>
                <w:kern w:val="0"/>
                <w:sz w:val="24"/>
                <w:szCs w:val="24"/>
                <w:u w:val="none"/>
                <w:lang w:val="en" w:eastAsia="zh-CN" w:bidi="ar"/>
              </w:rPr>
              <w:t>1460</w:t>
            </w:r>
          </w:p>
        </w:tc>
        <w:tc>
          <w:tcPr>
            <w:tcW w:w="944" w:type="pct"/>
            <w:noWrap w:val="0"/>
            <w:vAlign w:val="top"/>
          </w:tcPr>
          <w:p w14:paraId="4E46BC80">
            <w:pPr>
              <w:jc w:val="left"/>
              <w:rPr>
                <w:rFonts w:hint="eastAsia"/>
                <w:lang w:val="en-US" w:eastAsia="zh-CN"/>
              </w:rPr>
            </w:pPr>
            <w:r>
              <w:rPr>
                <w:rFonts w:hint="eastAsia"/>
                <w:lang w:val="en-US" w:eastAsia="zh-CN"/>
              </w:rPr>
              <w:t>备注：8个小时为一个台班，4小时内（含4小时）为0.5个台班</w:t>
            </w:r>
          </w:p>
          <w:p w14:paraId="679F1B02">
            <w:pPr>
              <w:jc w:val="center"/>
              <w:rPr>
                <w:rFonts w:hint="eastAsia" w:ascii="宋体" w:hAnsi="宋体" w:eastAsia="宋体" w:cs="宋体"/>
                <w:i w:val="0"/>
                <w:iCs w:val="0"/>
                <w:caps w:val="0"/>
                <w:color w:val="333333"/>
                <w:spacing w:val="0"/>
                <w:kern w:val="0"/>
                <w:sz w:val="24"/>
                <w:szCs w:val="24"/>
                <w:shd w:val="clear" w:color="auto" w:fill="FFFFFF"/>
                <w:lang w:val="en-US" w:eastAsia="zh-CN" w:bidi="ar"/>
              </w:rPr>
            </w:pPr>
            <w:r>
              <w:rPr>
                <w:rFonts w:hint="eastAsia"/>
                <w:lang w:val="en-US" w:eastAsia="zh-CN"/>
              </w:rPr>
              <w:t>以到达现场开工时间来计算。</w:t>
            </w:r>
          </w:p>
        </w:tc>
      </w:tr>
      <w:tr w14:paraId="224A80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9" w:type="pct"/>
            <w:noWrap w:val="0"/>
            <w:vAlign w:val="top"/>
          </w:tcPr>
          <w:p w14:paraId="7730319A">
            <w:pPr>
              <w:jc w:val="center"/>
              <w:rPr>
                <w:rFonts w:hint="eastAsia" w:ascii="宋体" w:hAnsi="宋体" w:eastAsia="宋体" w:cs="宋体"/>
                <w:i w:val="0"/>
                <w:iCs w:val="0"/>
                <w:caps w:val="0"/>
                <w:color w:val="333333"/>
                <w:spacing w:val="0"/>
                <w:kern w:val="0"/>
                <w:sz w:val="24"/>
                <w:szCs w:val="24"/>
                <w:shd w:val="clear" w:color="auto" w:fill="FFFFFF"/>
                <w:lang w:val="en-US" w:eastAsia="zh-CN" w:bidi="ar"/>
              </w:rPr>
            </w:pPr>
            <w:r>
              <w:rPr>
                <w:rFonts w:hint="eastAsia" w:ascii="宋体" w:hAnsi="宋体" w:eastAsia="宋体" w:cs="宋体"/>
                <w:i w:val="0"/>
                <w:iCs w:val="0"/>
                <w:caps w:val="0"/>
                <w:color w:val="333333"/>
                <w:spacing w:val="0"/>
                <w:kern w:val="0"/>
                <w:sz w:val="24"/>
                <w:szCs w:val="24"/>
                <w:shd w:val="clear" w:color="auto" w:fill="FFFFFF"/>
                <w:lang w:val="en-US" w:eastAsia="zh-CN" w:bidi="ar"/>
              </w:rPr>
              <w:t>2</w:t>
            </w:r>
          </w:p>
        </w:tc>
        <w:tc>
          <w:tcPr>
            <w:tcW w:w="1804" w:type="pct"/>
            <w:noWrap w:val="0"/>
            <w:vAlign w:val="top"/>
          </w:tcPr>
          <w:p w14:paraId="7AB36041">
            <w:pPr>
              <w:jc w:val="center"/>
              <w:rPr>
                <w:rFonts w:hint="eastAsia" w:ascii="宋体" w:hAnsi="宋体" w:eastAsia="宋体" w:cs="宋体"/>
                <w:i w:val="0"/>
                <w:iCs w:val="0"/>
                <w:caps w:val="0"/>
                <w:color w:val="333333"/>
                <w:spacing w:val="0"/>
                <w:kern w:val="0"/>
                <w:sz w:val="24"/>
                <w:szCs w:val="24"/>
                <w:shd w:val="clear" w:color="auto" w:fill="FFFFFF"/>
                <w:lang w:val="en-US" w:eastAsia="zh-CN" w:bidi="ar"/>
              </w:rPr>
            </w:pPr>
            <w:r>
              <w:rPr>
                <w:rFonts w:hint="eastAsia" w:ascii="宋体" w:hAnsi="宋体" w:eastAsia="宋体" w:cs="宋体"/>
                <w:i w:val="0"/>
                <w:iCs w:val="0"/>
                <w:caps w:val="0"/>
                <w:color w:val="333333"/>
                <w:spacing w:val="0"/>
                <w:kern w:val="0"/>
                <w:sz w:val="24"/>
                <w:szCs w:val="24"/>
                <w:shd w:val="clear" w:color="auto" w:fill="FFFFFF"/>
                <w:lang w:val="en-US" w:eastAsia="zh-CN" w:bidi="ar"/>
              </w:rPr>
              <w:t>75-8 打炮头</w:t>
            </w:r>
          </w:p>
        </w:tc>
        <w:tc>
          <w:tcPr>
            <w:tcW w:w="803" w:type="pct"/>
            <w:noWrap w:val="0"/>
            <w:vAlign w:val="center"/>
          </w:tcPr>
          <w:p w14:paraId="5A2D71D3">
            <w:pPr>
              <w:jc w:val="center"/>
              <w:rPr>
                <w:rFonts w:hint="eastAsia" w:ascii="宋体" w:hAnsi="宋体" w:eastAsia="宋体" w:cs="宋体"/>
                <w:i w:val="0"/>
                <w:iCs w:val="0"/>
                <w:caps w:val="0"/>
                <w:color w:val="333333"/>
                <w:spacing w:val="0"/>
                <w:kern w:val="0"/>
                <w:sz w:val="24"/>
                <w:szCs w:val="24"/>
                <w:shd w:val="clear" w:color="auto" w:fill="FFFFFF"/>
                <w:lang w:val="en-US" w:eastAsia="zh-CN" w:bidi="ar"/>
              </w:rPr>
            </w:pPr>
            <w:r>
              <w:rPr>
                <w:rFonts w:hint="eastAsia" w:ascii="宋体" w:hAnsi="宋体" w:eastAsia="宋体" w:cs="宋体"/>
                <w:i w:val="0"/>
                <w:iCs w:val="0"/>
                <w:caps w:val="0"/>
                <w:color w:val="333333"/>
                <w:spacing w:val="0"/>
                <w:kern w:val="0"/>
                <w:sz w:val="24"/>
                <w:szCs w:val="24"/>
                <w:shd w:val="clear" w:color="auto" w:fill="FFFFFF"/>
                <w:lang w:val="en-US" w:eastAsia="zh-CN" w:bidi="ar"/>
              </w:rPr>
              <w:t>工时</w:t>
            </w:r>
          </w:p>
        </w:tc>
        <w:tc>
          <w:tcPr>
            <w:tcW w:w="977" w:type="pct"/>
            <w:noWrap w:val="0"/>
            <w:vAlign w:val="center"/>
          </w:tcPr>
          <w:p w14:paraId="06D1DCD8">
            <w:pPr>
              <w:keepNext w:val="0"/>
              <w:keepLines w:val="0"/>
              <w:widowControl/>
              <w:suppressLineNumbers w:val="0"/>
              <w:jc w:val="center"/>
              <w:textAlignment w:val="center"/>
              <w:rPr>
                <w:rFonts w:hint="eastAsia" w:ascii="宋体" w:hAnsi="宋体" w:eastAsia="宋体" w:cs="宋体"/>
                <w:i w:val="0"/>
                <w:iCs w:val="0"/>
                <w:caps w:val="0"/>
                <w:color w:val="333333"/>
                <w:spacing w:val="0"/>
                <w:kern w:val="0"/>
                <w:sz w:val="24"/>
                <w:szCs w:val="24"/>
                <w:shd w:val="clear" w:color="auto" w:fill="FFFFFF"/>
                <w:lang w:val="en-US" w:eastAsia="zh-CN" w:bidi="ar"/>
              </w:rPr>
            </w:pPr>
            <w:r>
              <w:rPr>
                <w:rFonts w:hint="default" w:ascii="宋体" w:hAnsi="宋体" w:eastAsia="宋体" w:cs="宋体"/>
                <w:i w:val="0"/>
                <w:iCs w:val="0"/>
                <w:color w:val="000000"/>
                <w:kern w:val="0"/>
                <w:sz w:val="24"/>
                <w:szCs w:val="24"/>
                <w:u w:val="none"/>
                <w:lang w:val="en" w:eastAsia="zh-CN" w:bidi="ar"/>
              </w:rPr>
              <w:t>230</w:t>
            </w:r>
          </w:p>
        </w:tc>
        <w:tc>
          <w:tcPr>
            <w:tcW w:w="944" w:type="pct"/>
            <w:noWrap w:val="0"/>
            <w:vAlign w:val="top"/>
          </w:tcPr>
          <w:p w14:paraId="15541249">
            <w:pPr>
              <w:pStyle w:val="3"/>
              <w:rPr>
                <w:rFonts w:hint="eastAsia" w:ascii="宋体" w:hAnsi="宋体" w:eastAsia="宋体" w:cs="宋体"/>
                <w:i w:val="0"/>
                <w:iCs w:val="0"/>
                <w:caps w:val="0"/>
                <w:color w:val="333333"/>
                <w:spacing w:val="0"/>
                <w:kern w:val="0"/>
                <w:sz w:val="24"/>
                <w:szCs w:val="24"/>
                <w:shd w:val="clear" w:color="auto" w:fill="FFFFFF"/>
                <w:lang w:val="en-US" w:eastAsia="zh-CN" w:bidi="ar"/>
              </w:rPr>
            </w:pPr>
            <w:r>
              <w:rPr>
                <w:rFonts w:hint="eastAsia"/>
                <w:lang w:val="en-US" w:eastAsia="zh-CN"/>
              </w:rPr>
              <w:t>以到达现场开工时间来计算。</w:t>
            </w:r>
          </w:p>
        </w:tc>
      </w:tr>
      <w:tr w14:paraId="6FDFDB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9" w:type="pct"/>
            <w:noWrap w:val="0"/>
            <w:vAlign w:val="top"/>
          </w:tcPr>
          <w:p w14:paraId="7B1717C5">
            <w:pPr>
              <w:jc w:val="center"/>
              <w:rPr>
                <w:rFonts w:hint="eastAsia" w:ascii="宋体" w:hAnsi="宋体" w:eastAsia="宋体" w:cs="宋体"/>
                <w:i w:val="0"/>
                <w:iCs w:val="0"/>
                <w:caps w:val="0"/>
                <w:color w:val="333333"/>
                <w:spacing w:val="0"/>
                <w:kern w:val="0"/>
                <w:sz w:val="24"/>
                <w:szCs w:val="24"/>
                <w:shd w:val="clear" w:color="auto" w:fill="FFFFFF"/>
                <w:lang w:val="en-US" w:eastAsia="zh-CN" w:bidi="ar"/>
              </w:rPr>
            </w:pPr>
            <w:r>
              <w:rPr>
                <w:rFonts w:hint="eastAsia" w:ascii="宋体" w:hAnsi="宋体" w:eastAsia="宋体" w:cs="宋体"/>
                <w:i w:val="0"/>
                <w:iCs w:val="0"/>
                <w:caps w:val="0"/>
                <w:color w:val="333333"/>
                <w:spacing w:val="0"/>
                <w:kern w:val="0"/>
                <w:sz w:val="24"/>
                <w:szCs w:val="24"/>
                <w:shd w:val="clear" w:color="auto" w:fill="FFFFFF"/>
                <w:lang w:val="en-US" w:eastAsia="zh-CN" w:bidi="ar"/>
              </w:rPr>
              <w:t>3</w:t>
            </w:r>
          </w:p>
        </w:tc>
        <w:tc>
          <w:tcPr>
            <w:tcW w:w="1804" w:type="pct"/>
            <w:noWrap w:val="0"/>
            <w:vAlign w:val="top"/>
          </w:tcPr>
          <w:p w14:paraId="232F9389">
            <w:pPr>
              <w:jc w:val="center"/>
              <w:rPr>
                <w:rFonts w:hint="eastAsia" w:ascii="宋体" w:hAnsi="宋体" w:eastAsia="宋体" w:cs="宋体"/>
                <w:i w:val="0"/>
                <w:iCs w:val="0"/>
                <w:caps w:val="0"/>
                <w:color w:val="333333"/>
                <w:spacing w:val="0"/>
                <w:kern w:val="0"/>
                <w:sz w:val="24"/>
                <w:szCs w:val="24"/>
                <w:shd w:val="clear" w:color="auto" w:fill="FFFFFF"/>
                <w:lang w:val="en-US" w:eastAsia="zh-CN" w:bidi="ar"/>
              </w:rPr>
            </w:pPr>
            <w:r>
              <w:rPr>
                <w:rFonts w:hint="eastAsia" w:ascii="宋体" w:hAnsi="宋体" w:eastAsia="宋体" w:cs="宋体"/>
                <w:i w:val="0"/>
                <w:iCs w:val="0"/>
                <w:caps w:val="0"/>
                <w:color w:val="333333"/>
                <w:spacing w:val="0"/>
                <w:kern w:val="0"/>
                <w:sz w:val="24"/>
                <w:szCs w:val="24"/>
                <w:shd w:val="clear" w:color="auto" w:fill="FFFFFF"/>
                <w:lang w:val="en-US" w:eastAsia="zh-CN" w:bidi="ar"/>
              </w:rPr>
              <w:t>零星电焊台班（含材料、发电机）</w:t>
            </w:r>
          </w:p>
        </w:tc>
        <w:tc>
          <w:tcPr>
            <w:tcW w:w="803" w:type="pct"/>
            <w:noWrap w:val="0"/>
            <w:vAlign w:val="center"/>
          </w:tcPr>
          <w:p w14:paraId="09D4D1E9">
            <w:pPr>
              <w:jc w:val="center"/>
              <w:rPr>
                <w:rFonts w:hint="eastAsia" w:ascii="宋体" w:hAnsi="宋体" w:eastAsia="宋体" w:cs="宋体"/>
                <w:i w:val="0"/>
                <w:iCs w:val="0"/>
                <w:caps w:val="0"/>
                <w:color w:val="333333"/>
                <w:spacing w:val="0"/>
                <w:kern w:val="0"/>
                <w:sz w:val="24"/>
                <w:szCs w:val="24"/>
                <w:shd w:val="clear" w:color="auto" w:fill="FFFFFF"/>
                <w:lang w:val="en-US" w:eastAsia="zh-CN" w:bidi="ar"/>
              </w:rPr>
            </w:pPr>
            <w:r>
              <w:rPr>
                <w:rFonts w:hint="eastAsia" w:ascii="宋体" w:hAnsi="宋体" w:eastAsia="宋体" w:cs="宋体"/>
                <w:i w:val="0"/>
                <w:iCs w:val="0"/>
                <w:caps w:val="0"/>
                <w:color w:val="333333"/>
                <w:spacing w:val="0"/>
                <w:kern w:val="0"/>
                <w:sz w:val="24"/>
                <w:szCs w:val="24"/>
                <w:shd w:val="clear" w:color="auto" w:fill="FFFFFF"/>
                <w:lang w:val="en-US" w:eastAsia="zh-CN" w:bidi="ar"/>
              </w:rPr>
              <w:t>工时</w:t>
            </w:r>
          </w:p>
        </w:tc>
        <w:tc>
          <w:tcPr>
            <w:tcW w:w="977" w:type="pct"/>
            <w:noWrap w:val="0"/>
            <w:vAlign w:val="center"/>
          </w:tcPr>
          <w:p w14:paraId="07F91460">
            <w:pPr>
              <w:keepNext w:val="0"/>
              <w:keepLines w:val="0"/>
              <w:widowControl/>
              <w:suppressLineNumbers w:val="0"/>
              <w:jc w:val="center"/>
              <w:textAlignment w:val="center"/>
              <w:rPr>
                <w:rFonts w:hint="eastAsia" w:ascii="宋体" w:hAnsi="宋体" w:eastAsia="宋体" w:cs="宋体"/>
                <w:i w:val="0"/>
                <w:iCs w:val="0"/>
                <w:caps w:val="0"/>
                <w:color w:val="333333"/>
                <w:spacing w:val="0"/>
                <w:kern w:val="0"/>
                <w:sz w:val="24"/>
                <w:szCs w:val="24"/>
                <w:shd w:val="clear" w:color="auto" w:fill="FFFFFF"/>
                <w:lang w:val="en-US" w:eastAsia="zh-CN" w:bidi="ar"/>
              </w:rPr>
            </w:pPr>
            <w:r>
              <w:rPr>
                <w:rFonts w:hint="eastAsia" w:ascii="宋体" w:hAnsi="宋体" w:eastAsia="宋体" w:cs="宋体"/>
                <w:i w:val="0"/>
                <w:iCs w:val="0"/>
                <w:color w:val="000000"/>
                <w:kern w:val="0"/>
                <w:sz w:val="24"/>
                <w:szCs w:val="24"/>
                <w:u w:val="none"/>
                <w:lang w:val="en-US" w:eastAsia="zh-CN" w:bidi="ar"/>
              </w:rPr>
              <w:t>86</w:t>
            </w:r>
          </w:p>
        </w:tc>
        <w:tc>
          <w:tcPr>
            <w:tcW w:w="944" w:type="pct"/>
            <w:noWrap w:val="0"/>
            <w:vAlign w:val="top"/>
          </w:tcPr>
          <w:p w14:paraId="33EAE71A">
            <w:pPr>
              <w:pStyle w:val="3"/>
              <w:rPr>
                <w:rFonts w:hint="eastAsia" w:ascii="宋体" w:hAnsi="宋体" w:eastAsia="宋体" w:cs="宋体"/>
                <w:i w:val="0"/>
                <w:iCs w:val="0"/>
                <w:caps w:val="0"/>
                <w:color w:val="333333"/>
                <w:spacing w:val="0"/>
                <w:kern w:val="0"/>
                <w:sz w:val="24"/>
                <w:szCs w:val="24"/>
                <w:shd w:val="clear" w:color="auto" w:fill="FFFFFF"/>
                <w:lang w:val="en-US" w:eastAsia="zh-CN" w:bidi="ar"/>
              </w:rPr>
            </w:pPr>
            <w:r>
              <w:rPr>
                <w:rFonts w:hint="eastAsia"/>
                <w:lang w:val="en-US" w:eastAsia="zh-CN"/>
              </w:rPr>
              <w:t>以到达现场开工时间来计算。</w:t>
            </w:r>
          </w:p>
        </w:tc>
      </w:tr>
      <w:tr w14:paraId="346F19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9" w:type="pct"/>
            <w:noWrap w:val="0"/>
            <w:vAlign w:val="top"/>
          </w:tcPr>
          <w:p w14:paraId="3BF33BF7">
            <w:pPr>
              <w:jc w:val="center"/>
              <w:rPr>
                <w:rFonts w:hint="eastAsia" w:ascii="宋体" w:hAnsi="宋体" w:eastAsia="宋体" w:cs="宋体"/>
                <w:i w:val="0"/>
                <w:iCs w:val="0"/>
                <w:caps w:val="0"/>
                <w:color w:val="333333"/>
                <w:spacing w:val="0"/>
                <w:kern w:val="0"/>
                <w:sz w:val="24"/>
                <w:szCs w:val="24"/>
                <w:shd w:val="clear" w:color="auto" w:fill="FFFFFF"/>
                <w:lang w:val="en-US" w:eastAsia="zh-CN" w:bidi="ar"/>
              </w:rPr>
            </w:pPr>
            <w:r>
              <w:rPr>
                <w:rFonts w:hint="eastAsia" w:ascii="宋体" w:hAnsi="宋体" w:eastAsia="宋体" w:cs="宋体"/>
                <w:i w:val="0"/>
                <w:iCs w:val="0"/>
                <w:caps w:val="0"/>
                <w:color w:val="333333"/>
                <w:spacing w:val="0"/>
                <w:kern w:val="0"/>
                <w:sz w:val="24"/>
                <w:szCs w:val="24"/>
                <w:shd w:val="clear" w:color="auto" w:fill="FFFFFF"/>
                <w:lang w:val="en-US" w:eastAsia="zh-CN" w:bidi="ar"/>
              </w:rPr>
              <w:t>4</w:t>
            </w:r>
          </w:p>
        </w:tc>
        <w:tc>
          <w:tcPr>
            <w:tcW w:w="1804" w:type="pct"/>
            <w:noWrap w:val="0"/>
            <w:vAlign w:val="top"/>
          </w:tcPr>
          <w:p w14:paraId="55422936">
            <w:pPr>
              <w:jc w:val="center"/>
              <w:rPr>
                <w:rFonts w:hint="eastAsia" w:ascii="宋体" w:hAnsi="宋体" w:eastAsia="宋体" w:cs="宋体"/>
                <w:i w:val="0"/>
                <w:iCs w:val="0"/>
                <w:caps w:val="0"/>
                <w:color w:val="333333"/>
                <w:spacing w:val="0"/>
                <w:kern w:val="0"/>
                <w:sz w:val="24"/>
                <w:szCs w:val="24"/>
                <w:shd w:val="clear" w:color="auto" w:fill="FFFFFF"/>
                <w:lang w:val="en-US" w:eastAsia="zh-CN" w:bidi="ar"/>
              </w:rPr>
            </w:pPr>
            <w:r>
              <w:rPr>
                <w:rFonts w:hint="eastAsia" w:ascii="宋体" w:hAnsi="宋体" w:eastAsia="宋体" w:cs="宋体"/>
                <w:i w:val="0"/>
                <w:iCs w:val="0"/>
                <w:caps w:val="0"/>
                <w:color w:val="333333"/>
                <w:spacing w:val="0"/>
                <w:kern w:val="0"/>
                <w:sz w:val="24"/>
                <w:szCs w:val="24"/>
                <w:shd w:val="clear" w:color="auto" w:fill="FFFFFF"/>
                <w:lang w:val="en-US" w:eastAsia="zh-CN" w:bidi="ar"/>
              </w:rPr>
              <w:t>余土外运（四方车）</w:t>
            </w:r>
          </w:p>
        </w:tc>
        <w:tc>
          <w:tcPr>
            <w:tcW w:w="803" w:type="pct"/>
            <w:noWrap w:val="0"/>
            <w:vAlign w:val="top"/>
          </w:tcPr>
          <w:p w14:paraId="613C35BB">
            <w:pPr>
              <w:jc w:val="center"/>
              <w:rPr>
                <w:rFonts w:hint="default" w:ascii="宋体" w:hAnsi="宋体" w:eastAsia="宋体" w:cs="宋体"/>
                <w:i w:val="0"/>
                <w:iCs w:val="0"/>
                <w:caps w:val="0"/>
                <w:color w:val="333333"/>
                <w:spacing w:val="0"/>
                <w:kern w:val="0"/>
                <w:sz w:val="24"/>
                <w:szCs w:val="24"/>
                <w:highlight w:val="none"/>
                <w:shd w:val="clear" w:color="auto" w:fill="FFFFFF"/>
                <w:lang w:val="en-US" w:eastAsia="zh-CN" w:bidi="ar"/>
              </w:rPr>
            </w:pPr>
            <w:r>
              <w:rPr>
                <w:rFonts w:hint="eastAsia" w:ascii="宋体" w:hAnsi="宋体" w:eastAsia="宋体" w:cs="宋体"/>
                <w:i w:val="0"/>
                <w:iCs w:val="0"/>
                <w:caps w:val="0"/>
                <w:color w:val="333333"/>
                <w:spacing w:val="0"/>
                <w:kern w:val="0"/>
                <w:sz w:val="24"/>
                <w:szCs w:val="24"/>
                <w:highlight w:val="none"/>
                <w:shd w:val="clear" w:color="auto" w:fill="FFFFFF"/>
                <w:lang w:val="en-US" w:eastAsia="zh-CN" w:bidi="ar"/>
              </w:rPr>
              <w:t>元/立方*运距（KM)</w:t>
            </w:r>
          </w:p>
        </w:tc>
        <w:tc>
          <w:tcPr>
            <w:tcW w:w="977" w:type="pct"/>
            <w:vMerge w:val="restart"/>
            <w:noWrap w:val="0"/>
            <w:vAlign w:val="top"/>
          </w:tcPr>
          <w:p w14:paraId="3AE6590D">
            <w:pPr>
              <w:jc w:val="center"/>
              <w:rPr>
                <w:rFonts w:hint="eastAsia" w:ascii="宋体" w:hAnsi="宋体" w:eastAsia="宋体" w:cs="宋体"/>
                <w:i w:val="0"/>
                <w:iCs w:val="0"/>
                <w:caps w:val="0"/>
                <w:color w:val="333333"/>
                <w:spacing w:val="0"/>
                <w:kern w:val="0"/>
                <w:sz w:val="24"/>
                <w:szCs w:val="24"/>
                <w:highlight w:val="yellow"/>
                <w:shd w:val="clear" w:color="auto" w:fill="FFFFFF"/>
                <w:lang w:val="en-US" w:eastAsia="zh-CN" w:bidi="ar"/>
              </w:rPr>
            </w:pPr>
          </w:p>
          <w:p w14:paraId="6C682F1F">
            <w:pPr>
              <w:jc w:val="center"/>
              <w:rPr>
                <w:rFonts w:hint="eastAsia" w:ascii="宋体" w:hAnsi="宋体" w:eastAsia="宋体" w:cs="宋体"/>
                <w:i w:val="0"/>
                <w:iCs w:val="0"/>
                <w:caps w:val="0"/>
                <w:color w:val="333333"/>
                <w:spacing w:val="0"/>
                <w:kern w:val="0"/>
                <w:sz w:val="24"/>
                <w:szCs w:val="24"/>
                <w:highlight w:val="yellow"/>
                <w:shd w:val="clear" w:color="auto" w:fill="FFFFFF"/>
                <w:lang w:val="en-US" w:eastAsia="zh-CN" w:bidi="ar"/>
              </w:rPr>
            </w:pPr>
          </w:p>
          <w:p w14:paraId="057D0B86">
            <w:pPr>
              <w:jc w:val="center"/>
              <w:rPr>
                <w:rFonts w:hint="default" w:ascii="宋体" w:hAnsi="宋体" w:eastAsia="宋体" w:cs="宋体"/>
                <w:i w:val="0"/>
                <w:iCs w:val="0"/>
                <w:caps w:val="0"/>
                <w:color w:val="333333"/>
                <w:spacing w:val="0"/>
                <w:kern w:val="0"/>
                <w:sz w:val="24"/>
                <w:szCs w:val="24"/>
                <w:highlight w:val="yellow"/>
                <w:shd w:val="clear" w:color="auto" w:fill="FFFFFF"/>
                <w:lang w:val="en-US" w:eastAsia="zh-CN" w:bidi="ar"/>
              </w:rPr>
            </w:pPr>
            <w:r>
              <w:rPr>
                <w:rFonts w:hint="eastAsia" w:ascii="宋体" w:hAnsi="宋体" w:eastAsia="宋体" w:cs="宋体"/>
                <w:i w:val="0"/>
                <w:iCs w:val="0"/>
                <w:caps w:val="0"/>
                <w:color w:val="333333"/>
                <w:spacing w:val="0"/>
                <w:kern w:val="0"/>
                <w:sz w:val="24"/>
                <w:szCs w:val="24"/>
                <w:highlight w:val="yellow"/>
                <w:shd w:val="clear" w:color="auto" w:fill="FFFFFF"/>
                <w:lang w:val="en-US" w:eastAsia="zh-CN" w:bidi="ar"/>
              </w:rPr>
              <w:t>以市场信息价为准（即以合同期间供货当月《江西省造价信息》发布的同期计价政策为依据）</w:t>
            </w:r>
          </w:p>
        </w:tc>
        <w:tc>
          <w:tcPr>
            <w:tcW w:w="944" w:type="pct"/>
            <w:noWrap w:val="0"/>
            <w:vAlign w:val="top"/>
          </w:tcPr>
          <w:p w14:paraId="5F5FB36E">
            <w:pPr>
              <w:jc w:val="center"/>
              <w:rPr>
                <w:rFonts w:hint="eastAsia" w:ascii="宋体" w:hAnsi="宋体" w:eastAsia="宋体" w:cs="宋体"/>
                <w:i w:val="0"/>
                <w:iCs w:val="0"/>
                <w:caps w:val="0"/>
                <w:color w:val="333333"/>
                <w:spacing w:val="0"/>
                <w:kern w:val="0"/>
                <w:sz w:val="24"/>
                <w:szCs w:val="24"/>
                <w:highlight w:val="yellow"/>
                <w:shd w:val="clear" w:color="auto" w:fill="FFFFFF"/>
                <w:lang w:val="en-US" w:eastAsia="zh-CN" w:bidi="ar"/>
              </w:rPr>
            </w:pPr>
          </w:p>
        </w:tc>
      </w:tr>
      <w:tr w14:paraId="0CC7F0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9" w:type="pct"/>
            <w:noWrap w:val="0"/>
            <w:vAlign w:val="top"/>
          </w:tcPr>
          <w:p w14:paraId="6DBE99FA">
            <w:pPr>
              <w:jc w:val="center"/>
              <w:rPr>
                <w:rFonts w:hint="eastAsia" w:ascii="宋体" w:hAnsi="宋体" w:eastAsia="宋体" w:cs="宋体"/>
                <w:i w:val="0"/>
                <w:iCs w:val="0"/>
                <w:caps w:val="0"/>
                <w:color w:val="333333"/>
                <w:spacing w:val="0"/>
                <w:kern w:val="0"/>
                <w:sz w:val="24"/>
                <w:szCs w:val="24"/>
                <w:shd w:val="clear" w:color="auto" w:fill="FFFFFF"/>
                <w:lang w:val="en-US" w:eastAsia="zh-CN" w:bidi="ar"/>
              </w:rPr>
            </w:pPr>
            <w:r>
              <w:rPr>
                <w:rFonts w:hint="eastAsia" w:ascii="宋体" w:hAnsi="宋体" w:eastAsia="宋体" w:cs="宋体"/>
                <w:i w:val="0"/>
                <w:iCs w:val="0"/>
                <w:caps w:val="0"/>
                <w:color w:val="333333"/>
                <w:spacing w:val="0"/>
                <w:kern w:val="0"/>
                <w:sz w:val="24"/>
                <w:szCs w:val="24"/>
                <w:shd w:val="clear" w:color="auto" w:fill="FFFFFF"/>
                <w:lang w:val="en-US" w:eastAsia="zh-CN" w:bidi="ar"/>
              </w:rPr>
              <w:t>5</w:t>
            </w:r>
          </w:p>
        </w:tc>
        <w:tc>
          <w:tcPr>
            <w:tcW w:w="1804" w:type="pct"/>
            <w:noWrap w:val="0"/>
            <w:vAlign w:val="top"/>
          </w:tcPr>
          <w:p w14:paraId="2027E8CD">
            <w:pPr>
              <w:jc w:val="center"/>
              <w:rPr>
                <w:rFonts w:hint="eastAsia" w:ascii="宋体" w:hAnsi="宋体" w:eastAsia="宋体" w:cs="宋体"/>
                <w:i w:val="0"/>
                <w:iCs w:val="0"/>
                <w:caps w:val="0"/>
                <w:color w:val="333333"/>
                <w:spacing w:val="0"/>
                <w:kern w:val="0"/>
                <w:sz w:val="24"/>
                <w:szCs w:val="24"/>
                <w:shd w:val="clear" w:color="auto" w:fill="FFFFFF"/>
                <w:lang w:val="en-US" w:eastAsia="zh-CN" w:bidi="ar"/>
              </w:rPr>
            </w:pPr>
            <w:r>
              <w:rPr>
                <w:rFonts w:hint="eastAsia" w:ascii="宋体" w:hAnsi="宋体" w:eastAsia="宋体" w:cs="宋体"/>
                <w:i w:val="0"/>
                <w:iCs w:val="0"/>
                <w:caps w:val="0"/>
                <w:color w:val="333333"/>
                <w:spacing w:val="0"/>
                <w:kern w:val="0"/>
                <w:sz w:val="24"/>
                <w:szCs w:val="24"/>
                <w:shd w:val="clear" w:color="auto" w:fill="FFFFFF"/>
                <w:lang w:val="en-US" w:eastAsia="zh-CN" w:bidi="ar"/>
              </w:rPr>
              <w:t>余土外运（两方车）</w:t>
            </w:r>
          </w:p>
        </w:tc>
        <w:tc>
          <w:tcPr>
            <w:tcW w:w="803" w:type="pct"/>
            <w:noWrap w:val="0"/>
            <w:vAlign w:val="top"/>
          </w:tcPr>
          <w:p w14:paraId="045898DD">
            <w:pPr>
              <w:jc w:val="center"/>
              <w:rPr>
                <w:rFonts w:hint="eastAsia" w:ascii="宋体" w:hAnsi="宋体" w:eastAsia="宋体" w:cs="宋体"/>
                <w:i w:val="0"/>
                <w:iCs w:val="0"/>
                <w:caps w:val="0"/>
                <w:color w:val="333333"/>
                <w:spacing w:val="0"/>
                <w:kern w:val="0"/>
                <w:sz w:val="24"/>
                <w:szCs w:val="24"/>
                <w:highlight w:val="none"/>
                <w:shd w:val="clear" w:color="auto" w:fill="FFFFFF"/>
                <w:lang w:val="en-US" w:eastAsia="zh-CN" w:bidi="ar"/>
              </w:rPr>
            </w:pPr>
            <w:r>
              <w:rPr>
                <w:rFonts w:hint="eastAsia" w:ascii="宋体" w:hAnsi="宋体" w:eastAsia="宋体" w:cs="宋体"/>
                <w:i w:val="0"/>
                <w:iCs w:val="0"/>
                <w:caps w:val="0"/>
                <w:color w:val="333333"/>
                <w:spacing w:val="0"/>
                <w:kern w:val="0"/>
                <w:sz w:val="24"/>
                <w:szCs w:val="24"/>
                <w:highlight w:val="none"/>
                <w:shd w:val="clear" w:color="auto" w:fill="FFFFFF"/>
                <w:lang w:val="en-US" w:eastAsia="zh-CN" w:bidi="ar"/>
              </w:rPr>
              <w:t>元/立方*运距（KM)</w:t>
            </w:r>
          </w:p>
        </w:tc>
        <w:tc>
          <w:tcPr>
            <w:tcW w:w="977" w:type="pct"/>
            <w:vMerge w:val="continue"/>
            <w:noWrap w:val="0"/>
            <w:vAlign w:val="top"/>
          </w:tcPr>
          <w:p w14:paraId="41798F95">
            <w:pPr>
              <w:jc w:val="center"/>
              <w:rPr>
                <w:rFonts w:hint="eastAsia" w:ascii="宋体" w:hAnsi="宋体" w:eastAsia="宋体" w:cs="宋体"/>
                <w:i w:val="0"/>
                <w:iCs w:val="0"/>
                <w:caps w:val="0"/>
                <w:color w:val="333333"/>
                <w:spacing w:val="0"/>
                <w:kern w:val="0"/>
                <w:sz w:val="24"/>
                <w:szCs w:val="24"/>
                <w:highlight w:val="yellow"/>
                <w:shd w:val="clear" w:color="auto" w:fill="FFFFFF"/>
                <w:lang w:val="en-US" w:eastAsia="zh-CN" w:bidi="ar"/>
              </w:rPr>
            </w:pPr>
          </w:p>
        </w:tc>
        <w:tc>
          <w:tcPr>
            <w:tcW w:w="944" w:type="pct"/>
            <w:noWrap w:val="0"/>
            <w:vAlign w:val="top"/>
          </w:tcPr>
          <w:p w14:paraId="0A999278">
            <w:pPr>
              <w:jc w:val="center"/>
              <w:rPr>
                <w:rFonts w:hint="eastAsia" w:ascii="宋体" w:hAnsi="宋体" w:eastAsia="宋体" w:cs="宋体"/>
                <w:i w:val="0"/>
                <w:iCs w:val="0"/>
                <w:caps w:val="0"/>
                <w:color w:val="333333"/>
                <w:spacing w:val="0"/>
                <w:kern w:val="0"/>
                <w:sz w:val="24"/>
                <w:szCs w:val="24"/>
                <w:highlight w:val="yellow"/>
                <w:shd w:val="clear" w:color="auto" w:fill="FFFFFF"/>
                <w:lang w:val="en-US" w:eastAsia="zh-CN" w:bidi="ar"/>
              </w:rPr>
            </w:pPr>
          </w:p>
        </w:tc>
      </w:tr>
      <w:tr w14:paraId="5629A6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9" w:type="pct"/>
            <w:noWrap w:val="0"/>
            <w:vAlign w:val="top"/>
          </w:tcPr>
          <w:p w14:paraId="7203D29B">
            <w:pPr>
              <w:jc w:val="center"/>
              <w:rPr>
                <w:rFonts w:hint="eastAsia" w:ascii="宋体" w:hAnsi="宋体" w:eastAsia="宋体" w:cs="宋体"/>
                <w:i w:val="0"/>
                <w:iCs w:val="0"/>
                <w:caps w:val="0"/>
                <w:color w:val="333333"/>
                <w:spacing w:val="0"/>
                <w:kern w:val="0"/>
                <w:sz w:val="24"/>
                <w:szCs w:val="24"/>
                <w:shd w:val="clear" w:color="auto" w:fill="FFFFFF"/>
                <w:lang w:val="en-US" w:eastAsia="zh-CN" w:bidi="ar"/>
              </w:rPr>
            </w:pPr>
            <w:r>
              <w:rPr>
                <w:rFonts w:hint="eastAsia" w:ascii="宋体" w:hAnsi="宋体" w:eastAsia="宋体" w:cs="宋体"/>
                <w:i w:val="0"/>
                <w:iCs w:val="0"/>
                <w:caps w:val="0"/>
                <w:color w:val="333333"/>
                <w:spacing w:val="0"/>
                <w:kern w:val="0"/>
                <w:sz w:val="24"/>
                <w:szCs w:val="24"/>
                <w:shd w:val="clear" w:color="auto" w:fill="FFFFFF"/>
                <w:lang w:val="en-US" w:eastAsia="zh-CN" w:bidi="ar"/>
              </w:rPr>
              <w:t>6</w:t>
            </w:r>
          </w:p>
        </w:tc>
        <w:tc>
          <w:tcPr>
            <w:tcW w:w="1804" w:type="pct"/>
            <w:noWrap w:val="0"/>
            <w:vAlign w:val="top"/>
          </w:tcPr>
          <w:p w14:paraId="32C66744">
            <w:pPr>
              <w:jc w:val="center"/>
              <w:rPr>
                <w:rFonts w:hint="eastAsia" w:ascii="宋体" w:hAnsi="宋体" w:eastAsia="宋体" w:cs="宋体"/>
                <w:i w:val="0"/>
                <w:iCs w:val="0"/>
                <w:caps w:val="0"/>
                <w:color w:val="333333"/>
                <w:spacing w:val="0"/>
                <w:kern w:val="0"/>
                <w:sz w:val="24"/>
                <w:szCs w:val="24"/>
                <w:shd w:val="clear" w:color="auto" w:fill="FFFFFF"/>
                <w:lang w:val="en-US" w:eastAsia="zh-CN" w:bidi="ar"/>
              </w:rPr>
            </w:pPr>
            <w:r>
              <w:rPr>
                <w:rFonts w:hint="eastAsia" w:ascii="宋体" w:hAnsi="宋体" w:eastAsia="宋体" w:cs="宋体"/>
                <w:i w:val="0"/>
                <w:iCs w:val="0"/>
                <w:caps w:val="0"/>
                <w:color w:val="333333"/>
                <w:spacing w:val="0"/>
                <w:kern w:val="0"/>
                <w:sz w:val="24"/>
                <w:szCs w:val="24"/>
                <w:shd w:val="clear" w:color="auto" w:fill="FFFFFF"/>
                <w:lang w:val="en-US" w:eastAsia="zh-CN" w:bidi="ar"/>
              </w:rPr>
              <w:t>水泥</w:t>
            </w:r>
          </w:p>
        </w:tc>
        <w:tc>
          <w:tcPr>
            <w:tcW w:w="803" w:type="pct"/>
            <w:noWrap w:val="0"/>
            <w:vAlign w:val="top"/>
          </w:tcPr>
          <w:p w14:paraId="3DCAF7F4">
            <w:pPr>
              <w:jc w:val="center"/>
              <w:rPr>
                <w:rFonts w:hint="eastAsia" w:ascii="宋体" w:hAnsi="宋体" w:eastAsia="宋体" w:cs="宋体"/>
                <w:i w:val="0"/>
                <w:iCs w:val="0"/>
                <w:caps w:val="0"/>
                <w:color w:val="333333"/>
                <w:spacing w:val="0"/>
                <w:kern w:val="0"/>
                <w:sz w:val="24"/>
                <w:szCs w:val="24"/>
                <w:shd w:val="clear" w:color="auto" w:fill="FFFFFF"/>
                <w:lang w:val="en-US" w:eastAsia="zh-CN" w:bidi="ar"/>
              </w:rPr>
            </w:pPr>
            <w:r>
              <w:rPr>
                <w:rFonts w:hint="eastAsia" w:ascii="宋体" w:hAnsi="宋体" w:eastAsia="宋体" w:cs="宋体"/>
                <w:i w:val="0"/>
                <w:iCs w:val="0"/>
                <w:caps w:val="0"/>
                <w:color w:val="333333"/>
                <w:spacing w:val="0"/>
                <w:kern w:val="0"/>
                <w:sz w:val="24"/>
                <w:szCs w:val="24"/>
                <w:shd w:val="clear" w:color="auto" w:fill="FFFFFF"/>
                <w:lang w:val="en-US" w:eastAsia="zh-CN" w:bidi="ar"/>
              </w:rPr>
              <w:t>吨</w:t>
            </w:r>
          </w:p>
        </w:tc>
        <w:tc>
          <w:tcPr>
            <w:tcW w:w="977" w:type="pct"/>
            <w:vMerge w:val="continue"/>
            <w:noWrap w:val="0"/>
            <w:vAlign w:val="top"/>
          </w:tcPr>
          <w:p w14:paraId="68138CAC">
            <w:pPr>
              <w:jc w:val="center"/>
              <w:rPr>
                <w:rFonts w:hint="default" w:ascii="宋体" w:hAnsi="宋体" w:eastAsia="宋体" w:cs="宋体"/>
                <w:i w:val="0"/>
                <w:iCs w:val="0"/>
                <w:caps w:val="0"/>
                <w:color w:val="333333"/>
                <w:spacing w:val="0"/>
                <w:kern w:val="0"/>
                <w:sz w:val="24"/>
                <w:szCs w:val="24"/>
                <w:highlight w:val="yellow"/>
                <w:shd w:val="clear" w:color="auto" w:fill="FFFFFF"/>
                <w:lang w:val="en-US" w:eastAsia="zh-CN" w:bidi="ar"/>
              </w:rPr>
            </w:pPr>
          </w:p>
        </w:tc>
        <w:tc>
          <w:tcPr>
            <w:tcW w:w="944" w:type="pct"/>
            <w:noWrap w:val="0"/>
            <w:vAlign w:val="top"/>
          </w:tcPr>
          <w:p w14:paraId="6C715383">
            <w:pPr>
              <w:jc w:val="center"/>
              <w:rPr>
                <w:rFonts w:hint="eastAsia" w:ascii="宋体" w:hAnsi="宋体" w:eastAsia="宋体" w:cs="宋体"/>
                <w:i w:val="0"/>
                <w:iCs w:val="0"/>
                <w:caps w:val="0"/>
                <w:color w:val="333333"/>
                <w:spacing w:val="0"/>
                <w:kern w:val="0"/>
                <w:sz w:val="24"/>
                <w:szCs w:val="24"/>
                <w:highlight w:val="yellow"/>
                <w:shd w:val="clear" w:color="auto" w:fill="FFFFFF"/>
                <w:lang w:val="en-US" w:eastAsia="zh-CN" w:bidi="ar"/>
              </w:rPr>
            </w:pPr>
          </w:p>
        </w:tc>
      </w:tr>
      <w:tr w14:paraId="54FD92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9" w:type="pct"/>
            <w:noWrap w:val="0"/>
            <w:vAlign w:val="top"/>
          </w:tcPr>
          <w:p w14:paraId="2FD3F59A">
            <w:pPr>
              <w:jc w:val="center"/>
              <w:rPr>
                <w:rFonts w:hint="eastAsia" w:ascii="宋体" w:hAnsi="宋体" w:eastAsia="宋体" w:cs="宋体"/>
                <w:i w:val="0"/>
                <w:iCs w:val="0"/>
                <w:caps w:val="0"/>
                <w:color w:val="333333"/>
                <w:spacing w:val="0"/>
                <w:kern w:val="0"/>
                <w:sz w:val="24"/>
                <w:szCs w:val="24"/>
                <w:shd w:val="clear" w:color="auto" w:fill="FFFFFF"/>
                <w:lang w:val="en-US" w:eastAsia="zh-CN" w:bidi="ar"/>
              </w:rPr>
            </w:pPr>
            <w:r>
              <w:rPr>
                <w:rFonts w:hint="eastAsia" w:ascii="宋体" w:hAnsi="宋体" w:eastAsia="宋体" w:cs="宋体"/>
                <w:i w:val="0"/>
                <w:iCs w:val="0"/>
                <w:caps w:val="0"/>
                <w:color w:val="333333"/>
                <w:spacing w:val="0"/>
                <w:kern w:val="0"/>
                <w:sz w:val="24"/>
                <w:szCs w:val="24"/>
                <w:shd w:val="clear" w:color="auto" w:fill="FFFFFF"/>
                <w:lang w:val="en-US" w:eastAsia="zh-CN" w:bidi="ar"/>
              </w:rPr>
              <w:t>7</w:t>
            </w:r>
          </w:p>
        </w:tc>
        <w:tc>
          <w:tcPr>
            <w:tcW w:w="1804" w:type="pct"/>
            <w:noWrap w:val="0"/>
            <w:vAlign w:val="top"/>
          </w:tcPr>
          <w:p w14:paraId="2D76A77B">
            <w:pPr>
              <w:jc w:val="center"/>
              <w:rPr>
                <w:rFonts w:hint="eastAsia" w:ascii="宋体" w:hAnsi="宋体" w:eastAsia="宋体" w:cs="宋体"/>
                <w:i w:val="0"/>
                <w:iCs w:val="0"/>
                <w:caps w:val="0"/>
                <w:color w:val="333333"/>
                <w:spacing w:val="0"/>
                <w:kern w:val="0"/>
                <w:sz w:val="24"/>
                <w:szCs w:val="24"/>
                <w:shd w:val="clear" w:color="auto" w:fill="FFFFFF"/>
                <w:lang w:val="en-US" w:eastAsia="zh-CN" w:bidi="ar"/>
              </w:rPr>
            </w:pPr>
            <w:r>
              <w:rPr>
                <w:rFonts w:hint="eastAsia" w:ascii="宋体" w:hAnsi="宋体" w:eastAsia="宋体" w:cs="宋体"/>
                <w:i w:val="0"/>
                <w:iCs w:val="0"/>
                <w:caps w:val="0"/>
                <w:color w:val="333333"/>
                <w:spacing w:val="0"/>
                <w:kern w:val="0"/>
                <w:sz w:val="24"/>
                <w:szCs w:val="24"/>
                <w:shd w:val="clear" w:color="auto" w:fill="FFFFFF"/>
                <w:lang w:val="en-US" w:eastAsia="zh-CN" w:bidi="ar"/>
              </w:rPr>
              <w:t>砂石</w:t>
            </w:r>
          </w:p>
        </w:tc>
        <w:tc>
          <w:tcPr>
            <w:tcW w:w="803" w:type="pct"/>
            <w:noWrap w:val="0"/>
            <w:vAlign w:val="top"/>
          </w:tcPr>
          <w:p w14:paraId="6F395CA3">
            <w:pPr>
              <w:jc w:val="center"/>
              <w:rPr>
                <w:rFonts w:hint="eastAsia" w:ascii="宋体" w:hAnsi="宋体" w:eastAsia="宋体" w:cs="宋体"/>
                <w:i w:val="0"/>
                <w:iCs w:val="0"/>
                <w:caps w:val="0"/>
                <w:color w:val="333333"/>
                <w:spacing w:val="0"/>
                <w:kern w:val="0"/>
                <w:sz w:val="24"/>
                <w:szCs w:val="24"/>
                <w:shd w:val="clear" w:color="auto" w:fill="FFFFFF"/>
                <w:lang w:val="en-US" w:eastAsia="zh-CN" w:bidi="ar"/>
              </w:rPr>
            </w:pPr>
            <w:r>
              <w:rPr>
                <w:rFonts w:hint="eastAsia" w:ascii="宋体" w:hAnsi="宋体" w:eastAsia="宋体" w:cs="宋体"/>
                <w:i w:val="0"/>
                <w:iCs w:val="0"/>
                <w:caps w:val="0"/>
                <w:color w:val="333333"/>
                <w:spacing w:val="0"/>
                <w:kern w:val="0"/>
                <w:sz w:val="24"/>
                <w:szCs w:val="24"/>
                <w:shd w:val="clear" w:color="auto" w:fill="FFFFFF"/>
                <w:lang w:val="en-US" w:eastAsia="zh-CN" w:bidi="ar"/>
              </w:rPr>
              <w:t>立方</w:t>
            </w:r>
          </w:p>
        </w:tc>
        <w:tc>
          <w:tcPr>
            <w:tcW w:w="977" w:type="pct"/>
            <w:vMerge w:val="continue"/>
            <w:noWrap w:val="0"/>
            <w:vAlign w:val="top"/>
          </w:tcPr>
          <w:p w14:paraId="5D910697">
            <w:pPr>
              <w:jc w:val="center"/>
              <w:rPr>
                <w:rFonts w:hint="eastAsia" w:ascii="宋体" w:hAnsi="宋体" w:eastAsia="宋体" w:cs="宋体"/>
                <w:i w:val="0"/>
                <w:iCs w:val="0"/>
                <w:caps w:val="0"/>
                <w:color w:val="333333"/>
                <w:spacing w:val="0"/>
                <w:kern w:val="0"/>
                <w:sz w:val="24"/>
                <w:szCs w:val="24"/>
                <w:highlight w:val="yellow"/>
                <w:shd w:val="clear" w:color="auto" w:fill="FFFFFF"/>
                <w:lang w:val="en-US" w:eastAsia="zh-CN" w:bidi="ar"/>
              </w:rPr>
            </w:pPr>
          </w:p>
        </w:tc>
        <w:tc>
          <w:tcPr>
            <w:tcW w:w="944" w:type="pct"/>
            <w:noWrap w:val="0"/>
            <w:vAlign w:val="top"/>
          </w:tcPr>
          <w:p w14:paraId="3820CE90">
            <w:pPr>
              <w:jc w:val="center"/>
              <w:rPr>
                <w:rFonts w:hint="eastAsia" w:ascii="宋体" w:hAnsi="宋体" w:eastAsia="宋体" w:cs="宋体"/>
                <w:i w:val="0"/>
                <w:iCs w:val="0"/>
                <w:caps w:val="0"/>
                <w:color w:val="333333"/>
                <w:spacing w:val="0"/>
                <w:kern w:val="0"/>
                <w:sz w:val="24"/>
                <w:szCs w:val="24"/>
                <w:highlight w:val="yellow"/>
                <w:shd w:val="clear" w:color="auto" w:fill="FFFFFF"/>
                <w:lang w:val="en-US" w:eastAsia="zh-CN" w:bidi="ar"/>
              </w:rPr>
            </w:pPr>
          </w:p>
        </w:tc>
      </w:tr>
      <w:tr w14:paraId="69326E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9" w:type="pct"/>
            <w:noWrap w:val="0"/>
            <w:vAlign w:val="top"/>
          </w:tcPr>
          <w:p w14:paraId="204B3314">
            <w:pPr>
              <w:jc w:val="center"/>
              <w:rPr>
                <w:rFonts w:hint="eastAsia" w:ascii="宋体" w:hAnsi="宋体" w:eastAsia="宋体" w:cs="宋体"/>
                <w:i w:val="0"/>
                <w:iCs w:val="0"/>
                <w:caps w:val="0"/>
                <w:color w:val="333333"/>
                <w:spacing w:val="0"/>
                <w:kern w:val="0"/>
                <w:sz w:val="24"/>
                <w:szCs w:val="24"/>
                <w:shd w:val="clear" w:color="auto" w:fill="FFFFFF"/>
                <w:lang w:val="en-US" w:eastAsia="zh-CN" w:bidi="ar"/>
              </w:rPr>
            </w:pPr>
            <w:r>
              <w:rPr>
                <w:rFonts w:hint="eastAsia" w:ascii="宋体" w:hAnsi="宋体" w:eastAsia="宋体" w:cs="宋体"/>
                <w:i w:val="0"/>
                <w:iCs w:val="0"/>
                <w:caps w:val="0"/>
                <w:color w:val="333333"/>
                <w:spacing w:val="0"/>
                <w:kern w:val="0"/>
                <w:sz w:val="24"/>
                <w:szCs w:val="24"/>
                <w:shd w:val="clear" w:color="auto" w:fill="FFFFFF"/>
                <w:lang w:val="en-US" w:eastAsia="zh-CN" w:bidi="ar"/>
              </w:rPr>
              <w:t>8</w:t>
            </w:r>
          </w:p>
        </w:tc>
        <w:tc>
          <w:tcPr>
            <w:tcW w:w="1804" w:type="pct"/>
            <w:noWrap w:val="0"/>
            <w:vAlign w:val="top"/>
          </w:tcPr>
          <w:p w14:paraId="6FD119C0">
            <w:pPr>
              <w:jc w:val="center"/>
              <w:rPr>
                <w:rFonts w:hint="eastAsia" w:ascii="宋体" w:hAnsi="宋体" w:eastAsia="宋体" w:cs="宋体"/>
                <w:i w:val="0"/>
                <w:iCs w:val="0"/>
                <w:caps w:val="0"/>
                <w:color w:val="333333"/>
                <w:spacing w:val="0"/>
                <w:kern w:val="0"/>
                <w:sz w:val="24"/>
                <w:szCs w:val="24"/>
                <w:shd w:val="clear" w:color="auto" w:fill="FFFFFF"/>
                <w:lang w:val="en-US" w:eastAsia="zh-CN" w:bidi="ar"/>
              </w:rPr>
            </w:pPr>
            <w:r>
              <w:rPr>
                <w:rFonts w:hint="eastAsia" w:ascii="宋体" w:hAnsi="宋体" w:eastAsia="宋体" w:cs="宋体"/>
                <w:i w:val="0"/>
                <w:iCs w:val="0"/>
                <w:caps w:val="0"/>
                <w:color w:val="333333"/>
                <w:spacing w:val="0"/>
                <w:kern w:val="0"/>
                <w:sz w:val="24"/>
                <w:szCs w:val="24"/>
                <w:shd w:val="clear" w:color="auto" w:fill="FFFFFF"/>
                <w:lang w:val="en-US" w:eastAsia="zh-CN" w:bidi="ar"/>
              </w:rPr>
              <w:t>草皮（苗木）</w:t>
            </w:r>
          </w:p>
        </w:tc>
        <w:tc>
          <w:tcPr>
            <w:tcW w:w="803" w:type="pct"/>
            <w:noWrap w:val="0"/>
            <w:vAlign w:val="top"/>
          </w:tcPr>
          <w:p w14:paraId="45A721E9">
            <w:pPr>
              <w:jc w:val="center"/>
              <w:rPr>
                <w:rFonts w:hint="eastAsia" w:ascii="宋体" w:hAnsi="宋体" w:eastAsia="宋体" w:cs="宋体"/>
                <w:i w:val="0"/>
                <w:iCs w:val="0"/>
                <w:caps w:val="0"/>
                <w:color w:val="333333"/>
                <w:spacing w:val="0"/>
                <w:kern w:val="0"/>
                <w:sz w:val="24"/>
                <w:szCs w:val="24"/>
                <w:shd w:val="clear" w:color="auto" w:fill="FFFFFF"/>
                <w:lang w:val="en-US" w:eastAsia="zh-CN" w:bidi="ar"/>
              </w:rPr>
            </w:pPr>
            <w:r>
              <w:rPr>
                <w:rFonts w:hint="eastAsia" w:ascii="宋体" w:hAnsi="宋体" w:eastAsia="宋体" w:cs="宋体"/>
                <w:i w:val="0"/>
                <w:iCs w:val="0"/>
                <w:caps w:val="0"/>
                <w:color w:val="333333"/>
                <w:spacing w:val="0"/>
                <w:kern w:val="0"/>
                <w:sz w:val="24"/>
                <w:szCs w:val="24"/>
                <w:shd w:val="clear" w:color="auto" w:fill="FFFFFF"/>
                <w:lang w:val="en-US" w:eastAsia="zh-CN" w:bidi="ar"/>
              </w:rPr>
              <w:t>平米</w:t>
            </w:r>
          </w:p>
        </w:tc>
        <w:tc>
          <w:tcPr>
            <w:tcW w:w="977" w:type="pct"/>
            <w:vMerge w:val="continue"/>
            <w:noWrap w:val="0"/>
            <w:vAlign w:val="top"/>
          </w:tcPr>
          <w:p w14:paraId="617D8764">
            <w:pPr>
              <w:jc w:val="center"/>
              <w:rPr>
                <w:rFonts w:hint="eastAsia" w:ascii="宋体" w:hAnsi="宋体" w:eastAsia="宋体" w:cs="宋体"/>
                <w:i w:val="0"/>
                <w:iCs w:val="0"/>
                <w:caps w:val="0"/>
                <w:color w:val="333333"/>
                <w:spacing w:val="0"/>
                <w:kern w:val="0"/>
                <w:sz w:val="24"/>
                <w:szCs w:val="24"/>
                <w:highlight w:val="yellow"/>
                <w:shd w:val="clear" w:color="auto" w:fill="FFFFFF"/>
                <w:lang w:val="en-US" w:eastAsia="zh-CN" w:bidi="ar"/>
              </w:rPr>
            </w:pPr>
          </w:p>
        </w:tc>
        <w:tc>
          <w:tcPr>
            <w:tcW w:w="944" w:type="pct"/>
            <w:noWrap w:val="0"/>
            <w:vAlign w:val="top"/>
          </w:tcPr>
          <w:p w14:paraId="43BDA7A1">
            <w:pPr>
              <w:jc w:val="center"/>
              <w:rPr>
                <w:rFonts w:hint="eastAsia" w:ascii="宋体" w:hAnsi="宋体" w:eastAsia="宋体" w:cs="宋体"/>
                <w:i w:val="0"/>
                <w:iCs w:val="0"/>
                <w:caps w:val="0"/>
                <w:color w:val="333333"/>
                <w:spacing w:val="0"/>
                <w:kern w:val="0"/>
                <w:sz w:val="24"/>
                <w:szCs w:val="24"/>
                <w:highlight w:val="yellow"/>
                <w:shd w:val="clear" w:color="auto" w:fill="FFFFFF"/>
                <w:lang w:val="en-US" w:eastAsia="zh-CN" w:bidi="ar"/>
              </w:rPr>
            </w:pPr>
          </w:p>
        </w:tc>
      </w:tr>
      <w:tr w14:paraId="3A4C5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9" w:type="pct"/>
            <w:noWrap w:val="0"/>
            <w:vAlign w:val="top"/>
          </w:tcPr>
          <w:p w14:paraId="759B4337">
            <w:pPr>
              <w:jc w:val="center"/>
              <w:rPr>
                <w:rFonts w:hint="eastAsia" w:ascii="宋体" w:hAnsi="宋体" w:eastAsia="宋体" w:cs="宋体"/>
                <w:i w:val="0"/>
                <w:iCs w:val="0"/>
                <w:caps w:val="0"/>
                <w:color w:val="333333"/>
                <w:spacing w:val="0"/>
                <w:kern w:val="0"/>
                <w:sz w:val="24"/>
                <w:szCs w:val="24"/>
                <w:shd w:val="clear" w:color="auto" w:fill="FFFFFF"/>
                <w:lang w:val="en-US" w:eastAsia="zh-CN" w:bidi="ar"/>
              </w:rPr>
            </w:pPr>
            <w:r>
              <w:rPr>
                <w:rFonts w:hint="eastAsia" w:ascii="宋体" w:hAnsi="宋体" w:eastAsia="宋体" w:cs="宋体"/>
                <w:i w:val="0"/>
                <w:iCs w:val="0"/>
                <w:caps w:val="0"/>
                <w:color w:val="333333"/>
                <w:spacing w:val="0"/>
                <w:kern w:val="0"/>
                <w:sz w:val="24"/>
                <w:szCs w:val="24"/>
                <w:shd w:val="clear" w:color="auto" w:fill="FFFFFF"/>
                <w:lang w:val="en-US" w:eastAsia="zh-CN" w:bidi="ar"/>
              </w:rPr>
              <w:t>9</w:t>
            </w:r>
          </w:p>
        </w:tc>
        <w:tc>
          <w:tcPr>
            <w:tcW w:w="1804" w:type="pct"/>
            <w:noWrap w:val="0"/>
            <w:vAlign w:val="top"/>
          </w:tcPr>
          <w:p w14:paraId="45ECA616">
            <w:pPr>
              <w:jc w:val="center"/>
              <w:rPr>
                <w:rFonts w:hint="eastAsia" w:ascii="宋体" w:hAnsi="宋体" w:eastAsia="宋体" w:cs="宋体"/>
                <w:i w:val="0"/>
                <w:iCs w:val="0"/>
                <w:caps w:val="0"/>
                <w:color w:val="333333"/>
                <w:spacing w:val="0"/>
                <w:kern w:val="0"/>
                <w:sz w:val="24"/>
                <w:szCs w:val="24"/>
                <w:shd w:val="clear" w:color="auto" w:fill="FFFFFF"/>
                <w:lang w:val="en-US" w:eastAsia="zh-CN" w:bidi="ar"/>
              </w:rPr>
            </w:pPr>
            <w:r>
              <w:rPr>
                <w:rFonts w:hint="eastAsia" w:ascii="宋体" w:hAnsi="宋体" w:eastAsia="宋体" w:cs="宋体"/>
                <w:i w:val="0"/>
                <w:iCs w:val="0"/>
                <w:caps w:val="0"/>
                <w:color w:val="333333"/>
                <w:spacing w:val="0"/>
                <w:kern w:val="0"/>
                <w:sz w:val="24"/>
                <w:szCs w:val="24"/>
                <w:shd w:val="clear" w:color="auto" w:fill="FFFFFF"/>
                <w:lang w:val="en-US" w:eastAsia="zh-CN" w:bidi="ar"/>
              </w:rPr>
              <w:t>吸水砖</w:t>
            </w:r>
          </w:p>
        </w:tc>
        <w:tc>
          <w:tcPr>
            <w:tcW w:w="803" w:type="pct"/>
            <w:noWrap w:val="0"/>
            <w:vAlign w:val="top"/>
          </w:tcPr>
          <w:p w14:paraId="540C0138">
            <w:pPr>
              <w:jc w:val="center"/>
              <w:rPr>
                <w:rFonts w:hint="default" w:ascii="宋体" w:hAnsi="宋体" w:eastAsia="宋体" w:cs="宋体"/>
                <w:i w:val="0"/>
                <w:iCs w:val="0"/>
                <w:caps w:val="0"/>
                <w:color w:val="333333"/>
                <w:spacing w:val="0"/>
                <w:kern w:val="0"/>
                <w:sz w:val="24"/>
                <w:szCs w:val="24"/>
                <w:shd w:val="clear" w:color="auto" w:fill="FFFFFF"/>
                <w:lang w:val="en-US" w:eastAsia="zh-CN" w:bidi="ar"/>
              </w:rPr>
            </w:pPr>
            <w:r>
              <w:rPr>
                <w:rFonts w:hint="eastAsia" w:ascii="宋体" w:hAnsi="宋体" w:eastAsia="宋体" w:cs="宋体"/>
                <w:i w:val="0"/>
                <w:iCs w:val="0"/>
                <w:caps w:val="0"/>
                <w:color w:val="333333"/>
                <w:spacing w:val="0"/>
                <w:kern w:val="0"/>
                <w:sz w:val="24"/>
                <w:szCs w:val="24"/>
                <w:shd w:val="clear" w:color="auto" w:fill="FFFFFF"/>
                <w:lang w:val="en-US" w:eastAsia="zh-CN" w:bidi="ar"/>
              </w:rPr>
              <w:t>立方</w:t>
            </w:r>
          </w:p>
        </w:tc>
        <w:tc>
          <w:tcPr>
            <w:tcW w:w="977" w:type="pct"/>
            <w:vMerge w:val="continue"/>
            <w:noWrap w:val="0"/>
            <w:vAlign w:val="top"/>
          </w:tcPr>
          <w:p w14:paraId="2E473425">
            <w:pPr>
              <w:jc w:val="center"/>
              <w:rPr>
                <w:rFonts w:hint="eastAsia" w:ascii="宋体" w:hAnsi="宋体" w:eastAsia="宋体" w:cs="宋体"/>
                <w:i w:val="0"/>
                <w:iCs w:val="0"/>
                <w:caps w:val="0"/>
                <w:color w:val="333333"/>
                <w:spacing w:val="0"/>
                <w:kern w:val="0"/>
                <w:sz w:val="24"/>
                <w:szCs w:val="24"/>
                <w:highlight w:val="yellow"/>
                <w:shd w:val="clear" w:color="auto" w:fill="FFFFFF"/>
                <w:lang w:val="en-US" w:eastAsia="zh-CN" w:bidi="ar"/>
              </w:rPr>
            </w:pPr>
          </w:p>
        </w:tc>
        <w:tc>
          <w:tcPr>
            <w:tcW w:w="944" w:type="pct"/>
            <w:noWrap w:val="0"/>
            <w:vAlign w:val="top"/>
          </w:tcPr>
          <w:p w14:paraId="64708055">
            <w:pPr>
              <w:jc w:val="center"/>
              <w:rPr>
                <w:rFonts w:hint="eastAsia" w:ascii="宋体" w:hAnsi="宋体" w:eastAsia="宋体" w:cs="宋体"/>
                <w:i w:val="0"/>
                <w:iCs w:val="0"/>
                <w:caps w:val="0"/>
                <w:color w:val="333333"/>
                <w:spacing w:val="0"/>
                <w:kern w:val="0"/>
                <w:sz w:val="24"/>
                <w:szCs w:val="24"/>
                <w:highlight w:val="yellow"/>
                <w:shd w:val="clear" w:color="auto" w:fill="FFFFFF"/>
                <w:lang w:val="en-US" w:eastAsia="zh-CN" w:bidi="ar"/>
              </w:rPr>
            </w:pPr>
          </w:p>
        </w:tc>
      </w:tr>
      <w:tr w14:paraId="38FA07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9" w:type="pct"/>
            <w:noWrap w:val="0"/>
            <w:vAlign w:val="top"/>
          </w:tcPr>
          <w:p w14:paraId="42FCFC10">
            <w:pPr>
              <w:jc w:val="center"/>
              <w:rPr>
                <w:rFonts w:hint="eastAsia" w:ascii="宋体" w:hAnsi="宋体" w:eastAsia="宋体" w:cs="宋体"/>
                <w:i w:val="0"/>
                <w:iCs w:val="0"/>
                <w:caps w:val="0"/>
                <w:color w:val="333333"/>
                <w:spacing w:val="0"/>
                <w:kern w:val="0"/>
                <w:sz w:val="24"/>
                <w:szCs w:val="24"/>
                <w:shd w:val="clear" w:color="auto" w:fill="FFFFFF"/>
                <w:lang w:val="en-US" w:eastAsia="zh-CN" w:bidi="ar"/>
              </w:rPr>
            </w:pPr>
            <w:r>
              <w:rPr>
                <w:rFonts w:hint="eastAsia" w:ascii="宋体" w:hAnsi="宋体" w:eastAsia="宋体" w:cs="宋体"/>
                <w:i w:val="0"/>
                <w:iCs w:val="0"/>
                <w:caps w:val="0"/>
                <w:color w:val="333333"/>
                <w:spacing w:val="0"/>
                <w:kern w:val="0"/>
                <w:sz w:val="24"/>
                <w:szCs w:val="24"/>
                <w:shd w:val="clear" w:color="auto" w:fill="FFFFFF"/>
                <w:lang w:val="en-US" w:eastAsia="zh-CN" w:bidi="ar"/>
              </w:rPr>
              <w:t>10</w:t>
            </w:r>
          </w:p>
        </w:tc>
        <w:tc>
          <w:tcPr>
            <w:tcW w:w="1804" w:type="pct"/>
            <w:noWrap w:val="0"/>
            <w:vAlign w:val="top"/>
          </w:tcPr>
          <w:p w14:paraId="55A74AC0">
            <w:pPr>
              <w:jc w:val="center"/>
              <w:rPr>
                <w:rFonts w:hint="eastAsia" w:ascii="宋体" w:hAnsi="宋体" w:eastAsia="宋体" w:cs="宋体"/>
                <w:i w:val="0"/>
                <w:iCs w:val="0"/>
                <w:caps w:val="0"/>
                <w:color w:val="333333"/>
                <w:spacing w:val="0"/>
                <w:kern w:val="0"/>
                <w:sz w:val="24"/>
                <w:szCs w:val="24"/>
                <w:shd w:val="clear" w:color="auto" w:fill="FFFFFF"/>
                <w:lang w:val="en-US" w:eastAsia="zh-CN" w:bidi="ar"/>
              </w:rPr>
            </w:pPr>
            <w:r>
              <w:rPr>
                <w:rFonts w:hint="eastAsia" w:ascii="宋体" w:hAnsi="宋体" w:eastAsia="宋体" w:cs="宋体"/>
                <w:i w:val="0"/>
                <w:iCs w:val="0"/>
                <w:caps w:val="0"/>
                <w:color w:val="333333"/>
                <w:spacing w:val="0"/>
                <w:kern w:val="0"/>
                <w:sz w:val="24"/>
                <w:szCs w:val="24"/>
                <w:shd w:val="clear" w:color="auto" w:fill="FFFFFF"/>
                <w:lang w:val="en-US" w:eastAsia="zh-CN" w:bidi="ar"/>
              </w:rPr>
              <w:t>红砖</w:t>
            </w:r>
          </w:p>
        </w:tc>
        <w:tc>
          <w:tcPr>
            <w:tcW w:w="803" w:type="pct"/>
            <w:noWrap w:val="0"/>
            <w:vAlign w:val="top"/>
          </w:tcPr>
          <w:p w14:paraId="44AC067D">
            <w:pPr>
              <w:jc w:val="center"/>
              <w:rPr>
                <w:rFonts w:hint="eastAsia" w:ascii="宋体" w:hAnsi="宋体" w:eastAsia="宋体" w:cs="宋体"/>
                <w:i w:val="0"/>
                <w:iCs w:val="0"/>
                <w:caps w:val="0"/>
                <w:color w:val="333333"/>
                <w:spacing w:val="0"/>
                <w:kern w:val="0"/>
                <w:sz w:val="24"/>
                <w:szCs w:val="24"/>
                <w:shd w:val="clear" w:color="auto" w:fill="FFFFFF"/>
                <w:lang w:val="en-US" w:eastAsia="zh-CN" w:bidi="ar"/>
              </w:rPr>
            </w:pPr>
            <w:r>
              <w:rPr>
                <w:rFonts w:hint="eastAsia" w:ascii="宋体" w:hAnsi="宋体" w:eastAsia="宋体" w:cs="宋体"/>
                <w:i w:val="0"/>
                <w:iCs w:val="0"/>
                <w:caps w:val="0"/>
                <w:color w:val="333333"/>
                <w:spacing w:val="0"/>
                <w:kern w:val="0"/>
                <w:sz w:val="24"/>
                <w:szCs w:val="24"/>
                <w:shd w:val="clear" w:color="auto" w:fill="FFFFFF"/>
                <w:lang w:val="en-US" w:eastAsia="zh-CN" w:bidi="ar"/>
              </w:rPr>
              <w:t>立方</w:t>
            </w:r>
          </w:p>
        </w:tc>
        <w:tc>
          <w:tcPr>
            <w:tcW w:w="977" w:type="pct"/>
            <w:vMerge w:val="continue"/>
            <w:noWrap w:val="0"/>
            <w:vAlign w:val="top"/>
          </w:tcPr>
          <w:p w14:paraId="24CECC22">
            <w:pPr>
              <w:jc w:val="center"/>
              <w:rPr>
                <w:rFonts w:hint="eastAsia" w:ascii="宋体" w:hAnsi="宋体" w:eastAsia="宋体" w:cs="宋体"/>
                <w:i w:val="0"/>
                <w:iCs w:val="0"/>
                <w:caps w:val="0"/>
                <w:color w:val="333333"/>
                <w:spacing w:val="0"/>
                <w:kern w:val="0"/>
                <w:sz w:val="24"/>
                <w:szCs w:val="24"/>
                <w:highlight w:val="yellow"/>
                <w:shd w:val="clear" w:color="auto" w:fill="FFFFFF"/>
                <w:lang w:val="en-US" w:eastAsia="zh-CN" w:bidi="ar"/>
              </w:rPr>
            </w:pPr>
          </w:p>
        </w:tc>
        <w:tc>
          <w:tcPr>
            <w:tcW w:w="944" w:type="pct"/>
            <w:noWrap w:val="0"/>
            <w:vAlign w:val="top"/>
          </w:tcPr>
          <w:p w14:paraId="6C4D3209">
            <w:pPr>
              <w:jc w:val="center"/>
              <w:rPr>
                <w:rFonts w:hint="eastAsia" w:ascii="宋体" w:hAnsi="宋体" w:eastAsia="宋体" w:cs="宋体"/>
                <w:i w:val="0"/>
                <w:iCs w:val="0"/>
                <w:caps w:val="0"/>
                <w:color w:val="333333"/>
                <w:spacing w:val="0"/>
                <w:kern w:val="0"/>
                <w:sz w:val="24"/>
                <w:szCs w:val="24"/>
                <w:highlight w:val="yellow"/>
                <w:shd w:val="clear" w:color="auto" w:fill="FFFFFF"/>
                <w:lang w:val="en-US" w:eastAsia="zh-CN" w:bidi="ar"/>
              </w:rPr>
            </w:pPr>
          </w:p>
        </w:tc>
      </w:tr>
      <w:tr w14:paraId="76A6D2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 w:hRule="atLeast"/>
        </w:trPr>
        <w:tc>
          <w:tcPr>
            <w:tcW w:w="469" w:type="pct"/>
            <w:noWrap w:val="0"/>
            <w:vAlign w:val="top"/>
          </w:tcPr>
          <w:p w14:paraId="3AA7152D">
            <w:pPr>
              <w:jc w:val="center"/>
              <w:rPr>
                <w:rFonts w:hint="eastAsia" w:ascii="宋体" w:hAnsi="宋体" w:eastAsia="宋体" w:cs="宋体"/>
                <w:i w:val="0"/>
                <w:iCs w:val="0"/>
                <w:caps w:val="0"/>
                <w:color w:val="333333"/>
                <w:spacing w:val="0"/>
                <w:kern w:val="0"/>
                <w:sz w:val="24"/>
                <w:szCs w:val="24"/>
                <w:shd w:val="clear" w:color="auto" w:fill="FFFFFF"/>
                <w:lang w:val="en-US" w:eastAsia="zh-CN" w:bidi="ar"/>
              </w:rPr>
            </w:pPr>
            <w:r>
              <w:rPr>
                <w:rFonts w:hint="eastAsia" w:ascii="宋体" w:hAnsi="宋体" w:eastAsia="宋体" w:cs="宋体"/>
                <w:i w:val="0"/>
                <w:iCs w:val="0"/>
                <w:caps w:val="0"/>
                <w:color w:val="333333"/>
                <w:spacing w:val="0"/>
                <w:kern w:val="0"/>
                <w:sz w:val="24"/>
                <w:szCs w:val="24"/>
                <w:shd w:val="clear" w:color="auto" w:fill="FFFFFF"/>
                <w:lang w:val="en-US" w:eastAsia="zh-CN" w:bidi="ar"/>
              </w:rPr>
              <w:t>11</w:t>
            </w:r>
          </w:p>
        </w:tc>
        <w:tc>
          <w:tcPr>
            <w:tcW w:w="1804" w:type="pct"/>
            <w:noWrap w:val="0"/>
            <w:vAlign w:val="top"/>
          </w:tcPr>
          <w:p w14:paraId="25B3BD4A">
            <w:pPr>
              <w:jc w:val="center"/>
              <w:rPr>
                <w:rFonts w:hint="eastAsia" w:ascii="宋体" w:hAnsi="宋体" w:eastAsia="宋体" w:cs="宋体"/>
                <w:i w:val="0"/>
                <w:iCs w:val="0"/>
                <w:caps w:val="0"/>
                <w:color w:val="333333"/>
                <w:spacing w:val="0"/>
                <w:kern w:val="0"/>
                <w:sz w:val="24"/>
                <w:szCs w:val="24"/>
                <w:shd w:val="clear" w:color="auto" w:fill="FFFFFF"/>
                <w:lang w:val="en-US" w:eastAsia="zh-CN" w:bidi="ar"/>
              </w:rPr>
            </w:pPr>
            <w:r>
              <w:rPr>
                <w:rFonts w:hint="eastAsia" w:ascii="宋体" w:hAnsi="宋体" w:eastAsia="宋体" w:cs="宋体"/>
                <w:i w:val="0"/>
                <w:iCs w:val="0"/>
                <w:caps w:val="0"/>
                <w:color w:val="333333"/>
                <w:spacing w:val="0"/>
                <w:kern w:val="0"/>
                <w:sz w:val="24"/>
                <w:szCs w:val="24"/>
                <w:shd w:val="clear" w:color="auto" w:fill="FFFFFF"/>
                <w:lang w:val="en-US" w:eastAsia="zh-CN" w:bidi="ar"/>
              </w:rPr>
              <w:t>路沿石</w:t>
            </w:r>
          </w:p>
        </w:tc>
        <w:tc>
          <w:tcPr>
            <w:tcW w:w="803" w:type="pct"/>
            <w:noWrap w:val="0"/>
            <w:vAlign w:val="top"/>
          </w:tcPr>
          <w:p w14:paraId="07ACC00F">
            <w:pPr>
              <w:jc w:val="center"/>
              <w:rPr>
                <w:rFonts w:hint="eastAsia" w:ascii="宋体" w:hAnsi="宋体" w:eastAsia="宋体" w:cs="宋体"/>
                <w:i w:val="0"/>
                <w:iCs w:val="0"/>
                <w:caps w:val="0"/>
                <w:color w:val="333333"/>
                <w:spacing w:val="0"/>
                <w:kern w:val="0"/>
                <w:sz w:val="24"/>
                <w:szCs w:val="24"/>
                <w:shd w:val="clear" w:color="auto" w:fill="FFFFFF"/>
                <w:lang w:val="en-US" w:eastAsia="zh-CN" w:bidi="ar"/>
              </w:rPr>
            </w:pPr>
            <w:r>
              <w:rPr>
                <w:rFonts w:hint="eastAsia" w:ascii="宋体" w:hAnsi="宋体" w:eastAsia="宋体" w:cs="宋体"/>
                <w:i w:val="0"/>
                <w:iCs w:val="0"/>
                <w:caps w:val="0"/>
                <w:color w:val="333333"/>
                <w:spacing w:val="0"/>
                <w:kern w:val="0"/>
                <w:sz w:val="24"/>
                <w:szCs w:val="24"/>
                <w:shd w:val="clear" w:color="auto" w:fill="FFFFFF"/>
                <w:lang w:val="en-US" w:eastAsia="zh-CN" w:bidi="ar"/>
              </w:rPr>
              <w:t>条</w:t>
            </w:r>
          </w:p>
        </w:tc>
        <w:tc>
          <w:tcPr>
            <w:tcW w:w="977" w:type="pct"/>
            <w:vMerge w:val="continue"/>
            <w:noWrap w:val="0"/>
            <w:vAlign w:val="top"/>
          </w:tcPr>
          <w:p w14:paraId="1D8820AB">
            <w:pPr>
              <w:jc w:val="center"/>
              <w:rPr>
                <w:rFonts w:hint="eastAsia" w:ascii="宋体" w:hAnsi="宋体" w:eastAsia="宋体" w:cs="宋体"/>
                <w:i w:val="0"/>
                <w:iCs w:val="0"/>
                <w:caps w:val="0"/>
                <w:color w:val="333333"/>
                <w:spacing w:val="0"/>
                <w:kern w:val="0"/>
                <w:sz w:val="24"/>
                <w:szCs w:val="24"/>
                <w:highlight w:val="yellow"/>
                <w:shd w:val="clear" w:color="auto" w:fill="FFFFFF"/>
                <w:lang w:val="en-US" w:eastAsia="zh-CN" w:bidi="ar"/>
              </w:rPr>
            </w:pPr>
          </w:p>
        </w:tc>
        <w:tc>
          <w:tcPr>
            <w:tcW w:w="944" w:type="pct"/>
            <w:noWrap w:val="0"/>
            <w:vAlign w:val="top"/>
          </w:tcPr>
          <w:p w14:paraId="34083644">
            <w:pPr>
              <w:jc w:val="center"/>
              <w:rPr>
                <w:rFonts w:hint="eastAsia" w:ascii="宋体" w:hAnsi="宋体" w:eastAsia="宋体" w:cs="宋体"/>
                <w:i w:val="0"/>
                <w:iCs w:val="0"/>
                <w:caps w:val="0"/>
                <w:color w:val="333333"/>
                <w:spacing w:val="0"/>
                <w:kern w:val="0"/>
                <w:sz w:val="24"/>
                <w:szCs w:val="24"/>
                <w:highlight w:val="yellow"/>
                <w:shd w:val="clear" w:color="auto" w:fill="FFFFFF"/>
                <w:lang w:val="en-US" w:eastAsia="zh-CN" w:bidi="ar"/>
              </w:rPr>
            </w:pPr>
          </w:p>
        </w:tc>
      </w:tr>
      <w:tr w14:paraId="1ADE45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trPr>
        <w:tc>
          <w:tcPr>
            <w:tcW w:w="469" w:type="pct"/>
            <w:noWrap w:val="0"/>
            <w:vAlign w:val="top"/>
          </w:tcPr>
          <w:p w14:paraId="68CC8DFC">
            <w:pPr>
              <w:jc w:val="center"/>
              <w:rPr>
                <w:rFonts w:hint="eastAsia" w:ascii="宋体" w:hAnsi="宋体" w:eastAsia="宋体" w:cs="宋体"/>
                <w:i w:val="0"/>
                <w:iCs w:val="0"/>
                <w:caps w:val="0"/>
                <w:color w:val="333333"/>
                <w:spacing w:val="0"/>
                <w:kern w:val="0"/>
                <w:sz w:val="24"/>
                <w:szCs w:val="24"/>
                <w:shd w:val="clear" w:color="auto" w:fill="FFFFFF"/>
                <w:lang w:val="en-US" w:eastAsia="zh-CN" w:bidi="ar"/>
              </w:rPr>
            </w:pPr>
            <w:r>
              <w:rPr>
                <w:rFonts w:hint="eastAsia" w:ascii="宋体" w:hAnsi="宋体" w:eastAsia="宋体" w:cs="宋体"/>
                <w:i w:val="0"/>
                <w:iCs w:val="0"/>
                <w:caps w:val="0"/>
                <w:color w:val="333333"/>
                <w:spacing w:val="0"/>
                <w:kern w:val="0"/>
                <w:sz w:val="24"/>
                <w:szCs w:val="24"/>
                <w:shd w:val="clear" w:color="auto" w:fill="FFFFFF"/>
                <w:lang w:val="en-US" w:eastAsia="zh-CN" w:bidi="ar"/>
              </w:rPr>
              <w:t>12</w:t>
            </w:r>
          </w:p>
        </w:tc>
        <w:tc>
          <w:tcPr>
            <w:tcW w:w="1804" w:type="pct"/>
            <w:noWrap w:val="0"/>
            <w:vAlign w:val="top"/>
          </w:tcPr>
          <w:p w14:paraId="3B5BDDF7">
            <w:pPr>
              <w:jc w:val="center"/>
              <w:rPr>
                <w:rFonts w:hint="eastAsia" w:ascii="宋体" w:hAnsi="宋体" w:eastAsia="宋体" w:cs="宋体"/>
                <w:i w:val="0"/>
                <w:iCs w:val="0"/>
                <w:caps w:val="0"/>
                <w:color w:val="333333"/>
                <w:spacing w:val="0"/>
                <w:kern w:val="0"/>
                <w:sz w:val="24"/>
                <w:szCs w:val="24"/>
                <w:shd w:val="clear" w:color="auto" w:fill="FFFFFF"/>
                <w:lang w:val="en-US" w:eastAsia="zh-CN" w:bidi="ar"/>
              </w:rPr>
            </w:pPr>
            <w:r>
              <w:rPr>
                <w:rFonts w:hint="eastAsia" w:ascii="宋体" w:hAnsi="宋体" w:eastAsia="宋体" w:cs="宋体"/>
                <w:i w:val="0"/>
                <w:iCs w:val="0"/>
                <w:caps w:val="0"/>
                <w:color w:val="333333"/>
                <w:spacing w:val="0"/>
                <w:kern w:val="0"/>
                <w:sz w:val="24"/>
                <w:szCs w:val="24"/>
                <w:shd w:val="clear" w:color="auto" w:fill="FFFFFF"/>
                <w:lang w:val="en-US" w:eastAsia="zh-CN" w:bidi="ar"/>
              </w:rPr>
              <w:t>沥青</w:t>
            </w:r>
          </w:p>
        </w:tc>
        <w:tc>
          <w:tcPr>
            <w:tcW w:w="803" w:type="pct"/>
            <w:noWrap w:val="0"/>
            <w:vAlign w:val="top"/>
          </w:tcPr>
          <w:p w14:paraId="0A624EC7">
            <w:pPr>
              <w:jc w:val="center"/>
              <w:rPr>
                <w:rFonts w:hint="eastAsia" w:ascii="宋体" w:hAnsi="宋体" w:eastAsia="宋体" w:cs="宋体"/>
                <w:i w:val="0"/>
                <w:iCs w:val="0"/>
                <w:caps w:val="0"/>
                <w:color w:val="333333"/>
                <w:spacing w:val="0"/>
                <w:kern w:val="0"/>
                <w:sz w:val="24"/>
                <w:szCs w:val="24"/>
                <w:shd w:val="clear" w:color="auto" w:fill="FFFFFF"/>
                <w:lang w:val="en-US" w:eastAsia="zh-CN" w:bidi="ar"/>
              </w:rPr>
            </w:pPr>
            <w:r>
              <w:rPr>
                <w:rFonts w:hint="eastAsia" w:ascii="宋体" w:hAnsi="宋体" w:eastAsia="宋体" w:cs="宋体"/>
                <w:i w:val="0"/>
                <w:iCs w:val="0"/>
                <w:caps w:val="0"/>
                <w:color w:val="333333"/>
                <w:spacing w:val="0"/>
                <w:kern w:val="0"/>
                <w:sz w:val="24"/>
                <w:szCs w:val="24"/>
                <w:shd w:val="clear" w:color="auto" w:fill="FFFFFF"/>
                <w:lang w:val="en-US" w:eastAsia="zh-CN" w:bidi="ar"/>
              </w:rPr>
              <w:t>立方</w:t>
            </w:r>
          </w:p>
        </w:tc>
        <w:tc>
          <w:tcPr>
            <w:tcW w:w="977" w:type="pct"/>
            <w:vMerge w:val="continue"/>
            <w:noWrap w:val="0"/>
            <w:vAlign w:val="top"/>
          </w:tcPr>
          <w:p w14:paraId="02ABBF7D">
            <w:pPr>
              <w:jc w:val="center"/>
              <w:rPr>
                <w:rFonts w:hint="eastAsia" w:ascii="宋体" w:hAnsi="宋体" w:eastAsia="宋体" w:cs="宋体"/>
                <w:i w:val="0"/>
                <w:iCs w:val="0"/>
                <w:caps w:val="0"/>
                <w:color w:val="333333"/>
                <w:spacing w:val="0"/>
                <w:kern w:val="0"/>
                <w:sz w:val="24"/>
                <w:szCs w:val="24"/>
                <w:highlight w:val="yellow"/>
                <w:shd w:val="clear" w:color="auto" w:fill="FFFFFF"/>
                <w:lang w:val="en-US" w:eastAsia="zh-CN" w:bidi="ar"/>
              </w:rPr>
            </w:pPr>
          </w:p>
        </w:tc>
        <w:tc>
          <w:tcPr>
            <w:tcW w:w="944" w:type="pct"/>
            <w:noWrap w:val="0"/>
            <w:vAlign w:val="top"/>
          </w:tcPr>
          <w:p w14:paraId="14BD5D28">
            <w:pPr>
              <w:jc w:val="center"/>
              <w:rPr>
                <w:rFonts w:hint="eastAsia" w:ascii="宋体" w:hAnsi="宋体" w:eastAsia="宋体" w:cs="宋体"/>
                <w:i w:val="0"/>
                <w:iCs w:val="0"/>
                <w:caps w:val="0"/>
                <w:color w:val="333333"/>
                <w:spacing w:val="0"/>
                <w:kern w:val="0"/>
                <w:sz w:val="24"/>
                <w:szCs w:val="24"/>
                <w:highlight w:val="yellow"/>
                <w:shd w:val="clear" w:color="auto" w:fill="FFFFFF"/>
                <w:lang w:val="en-US" w:eastAsia="zh-CN" w:bidi="ar"/>
              </w:rPr>
            </w:pPr>
          </w:p>
        </w:tc>
      </w:tr>
      <w:tr w14:paraId="4200FF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9" w:type="pct"/>
            <w:noWrap w:val="0"/>
            <w:vAlign w:val="top"/>
          </w:tcPr>
          <w:p w14:paraId="5D8DFDFE">
            <w:pPr>
              <w:jc w:val="center"/>
              <w:rPr>
                <w:rFonts w:hint="eastAsia" w:ascii="宋体" w:hAnsi="宋体" w:eastAsia="宋体" w:cs="宋体"/>
                <w:i w:val="0"/>
                <w:iCs w:val="0"/>
                <w:caps w:val="0"/>
                <w:color w:val="333333"/>
                <w:spacing w:val="0"/>
                <w:kern w:val="0"/>
                <w:sz w:val="24"/>
                <w:szCs w:val="24"/>
                <w:shd w:val="clear" w:color="auto" w:fill="FFFFFF"/>
                <w:lang w:val="en-US" w:eastAsia="zh-CN" w:bidi="ar"/>
              </w:rPr>
            </w:pPr>
            <w:r>
              <w:rPr>
                <w:rFonts w:hint="eastAsia" w:ascii="宋体" w:hAnsi="宋体" w:eastAsia="宋体" w:cs="宋体"/>
                <w:i w:val="0"/>
                <w:iCs w:val="0"/>
                <w:caps w:val="0"/>
                <w:color w:val="333333"/>
                <w:spacing w:val="0"/>
                <w:kern w:val="0"/>
                <w:sz w:val="24"/>
                <w:szCs w:val="24"/>
                <w:shd w:val="clear" w:color="auto" w:fill="FFFFFF"/>
                <w:lang w:val="en-US" w:eastAsia="zh-CN" w:bidi="ar"/>
              </w:rPr>
              <w:t>13</w:t>
            </w:r>
          </w:p>
        </w:tc>
        <w:tc>
          <w:tcPr>
            <w:tcW w:w="1804" w:type="pct"/>
            <w:noWrap w:val="0"/>
            <w:vAlign w:val="top"/>
          </w:tcPr>
          <w:p w14:paraId="685CC15C">
            <w:pPr>
              <w:jc w:val="center"/>
              <w:rPr>
                <w:rFonts w:hint="eastAsia" w:ascii="宋体" w:hAnsi="宋体" w:eastAsia="宋体" w:cs="宋体"/>
                <w:i w:val="0"/>
                <w:iCs w:val="0"/>
                <w:caps w:val="0"/>
                <w:color w:val="333333"/>
                <w:spacing w:val="0"/>
                <w:kern w:val="0"/>
                <w:sz w:val="24"/>
                <w:szCs w:val="24"/>
                <w:shd w:val="clear" w:color="auto" w:fill="FFFFFF"/>
                <w:lang w:val="en-US" w:eastAsia="zh-CN" w:bidi="ar"/>
              </w:rPr>
            </w:pPr>
            <w:r>
              <w:rPr>
                <w:rFonts w:hint="eastAsia" w:ascii="宋体" w:hAnsi="宋体" w:eastAsia="宋体" w:cs="宋体"/>
                <w:i w:val="0"/>
                <w:iCs w:val="0"/>
                <w:caps w:val="0"/>
                <w:color w:val="333333"/>
                <w:spacing w:val="0"/>
                <w:kern w:val="0"/>
                <w:sz w:val="24"/>
                <w:szCs w:val="24"/>
                <w:shd w:val="clear" w:color="auto" w:fill="FFFFFF"/>
                <w:lang w:val="en-US" w:eastAsia="zh-CN" w:bidi="ar"/>
              </w:rPr>
              <w:t>盲道砖</w:t>
            </w:r>
          </w:p>
        </w:tc>
        <w:tc>
          <w:tcPr>
            <w:tcW w:w="803" w:type="pct"/>
            <w:noWrap w:val="0"/>
            <w:vAlign w:val="top"/>
          </w:tcPr>
          <w:p w14:paraId="7AA0D030">
            <w:pPr>
              <w:jc w:val="center"/>
              <w:rPr>
                <w:rFonts w:hint="eastAsia" w:ascii="宋体" w:hAnsi="宋体" w:eastAsia="宋体" w:cs="宋体"/>
                <w:i w:val="0"/>
                <w:iCs w:val="0"/>
                <w:caps w:val="0"/>
                <w:color w:val="333333"/>
                <w:spacing w:val="0"/>
                <w:kern w:val="0"/>
                <w:sz w:val="24"/>
                <w:szCs w:val="24"/>
                <w:shd w:val="clear" w:color="auto" w:fill="FFFFFF"/>
                <w:lang w:val="en-US" w:eastAsia="zh-CN" w:bidi="ar"/>
              </w:rPr>
            </w:pPr>
            <w:r>
              <w:rPr>
                <w:rFonts w:hint="eastAsia" w:ascii="宋体" w:hAnsi="宋体" w:eastAsia="宋体" w:cs="宋体"/>
                <w:i w:val="0"/>
                <w:iCs w:val="0"/>
                <w:caps w:val="0"/>
                <w:color w:val="333333"/>
                <w:spacing w:val="0"/>
                <w:kern w:val="0"/>
                <w:sz w:val="24"/>
                <w:szCs w:val="24"/>
                <w:shd w:val="clear" w:color="auto" w:fill="FFFFFF"/>
                <w:lang w:val="en-US" w:eastAsia="zh-CN" w:bidi="ar"/>
              </w:rPr>
              <w:t>立方</w:t>
            </w:r>
          </w:p>
        </w:tc>
        <w:tc>
          <w:tcPr>
            <w:tcW w:w="977" w:type="pct"/>
            <w:vMerge w:val="continue"/>
            <w:noWrap w:val="0"/>
            <w:vAlign w:val="top"/>
          </w:tcPr>
          <w:p w14:paraId="42DC6208">
            <w:pPr>
              <w:jc w:val="center"/>
              <w:rPr>
                <w:rFonts w:hint="eastAsia" w:ascii="宋体" w:hAnsi="宋体" w:eastAsia="宋体" w:cs="宋体"/>
                <w:i w:val="0"/>
                <w:iCs w:val="0"/>
                <w:caps w:val="0"/>
                <w:color w:val="333333"/>
                <w:spacing w:val="0"/>
                <w:kern w:val="0"/>
                <w:sz w:val="24"/>
                <w:szCs w:val="24"/>
                <w:highlight w:val="yellow"/>
                <w:shd w:val="clear" w:color="auto" w:fill="FFFFFF"/>
                <w:lang w:val="en-US" w:eastAsia="zh-CN" w:bidi="ar"/>
              </w:rPr>
            </w:pPr>
          </w:p>
        </w:tc>
        <w:tc>
          <w:tcPr>
            <w:tcW w:w="944" w:type="pct"/>
            <w:noWrap w:val="0"/>
            <w:vAlign w:val="top"/>
          </w:tcPr>
          <w:p w14:paraId="6A191746">
            <w:pPr>
              <w:jc w:val="center"/>
              <w:rPr>
                <w:rFonts w:hint="eastAsia" w:ascii="宋体" w:hAnsi="宋体" w:eastAsia="宋体" w:cs="宋体"/>
                <w:i w:val="0"/>
                <w:iCs w:val="0"/>
                <w:caps w:val="0"/>
                <w:color w:val="333333"/>
                <w:spacing w:val="0"/>
                <w:kern w:val="0"/>
                <w:sz w:val="24"/>
                <w:szCs w:val="24"/>
                <w:highlight w:val="yellow"/>
                <w:shd w:val="clear" w:color="auto" w:fill="FFFFFF"/>
                <w:lang w:val="en-US" w:eastAsia="zh-CN" w:bidi="ar"/>
              </w:rPr>
            </w:pPr>
          </w:p>
        </w:tc>
      </w:tr>
      <w:tr w14:paraId="7C9D42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9" w:type="pct"/>
            <w:noWrap w:val="0"/>
            <w:vAlign w:val="top"/>
          </w:tcPr>
          <w:p w14:paraId="733469F9">
            <w:pPr>
              <w:jc w:val="center"/>
              <w:rPr>
                <w:rFonts w:hint="eastAsia" w:ascii="宋体" w:hAnsi="宋体" w:eastAsia="宋体" w:cs="宋体"/>
                <w:i w:val="0"/>
                <w:iCs w:val="0"/>
                <w:caps w:val="0"/>
                <w:color w:val="333333"/>
                <w:spacing w:val="0"/>
                <w:kern w:val="0"/>
                <w:sz w:val="24"/>
                <w:szCs w:val="24"/>
                <w:shd w:val="clear" w:color="auto" w:fill="FFFFFF"/>
                <w:lang w:val="en-US" w:eastAsia="zh-CN" w:bidi="ar"/>
              </w:rPr>
            </w:pPr>
            <w:r>
              <w:rPr>
                <w:rFonts w:hint="eastAsia" w:ascii="宋体" w:hAnsi="宋体" w:eastAsia="宋体" w:cs="宋体"/>
                <w:i w:val="0"/>
                <w:iCs w:val="0"/>
                <w:caps w:val="0"/>
                <w:color w:val="333333"/>
                <w:spacing w:val="0"/>
                <w:kern w:val="0"/>
                <w:sz w:val="24"/>
                <w:szCs w:val="24"/>
                <w:shd w:val="clear" w:color="auto" w:fill="FFFFFF"/>
                <w:lang w:val="en-US" w:eastAsia="zh-CN" w:bidi="ar"/>
              </w:rPr>
              <w:t>14</w:t>
            </w:r>
          </w:p>
        </w:tc>
        <w:tc>
          <w:tcPr>
            <w:tcW w:w="1804" w:type="pct"/>
            <w:noWrap w:val="0"/>
            <w:vAlign w:val="top"/>
          </w:tcPr>
          <w:p w14:paraId="2202DB68">
            <w:pPr>
              <w:jc w:val="center"/>
              <w:rPr>
                <w:rFonts w:hint="eastAsia" w:ascii="宋体" w:hAnsi="宋体" w:eastAsia="宋体" w:cs="宋体"/>
                <w:i w:val="0"/>
                <w:iCs w:val="0"/>
                <w:caps w:val="0"/>
                <w:color w:val="333333"/>
                <w:spacing w:val="0"/>
                <w:kern w:val="0"/>
                <w:sz w:val="24"/>
                <w:szCs w:val="24"/>
                <w:shd w:val="clear" w:color="auto" w:fill="FFFFFF"/>
                <w:lang w:val="en-US" w:eastAsia="zh-CN" w:bidi="ar"/>
              </w:rPr>
            </w:pPr>
            <w:r>
              <w:rPr>
                <w:rFonts w:hint="eastAsia" w:ascii="宋体" w:hAnsi="宋体" w:eastAsia="宋体" w:cs="宋体"/>
                <w:i w:val="0"/>
                <w:iCs w:val="0"/>
                <w:caps w:val="0"/>
                <w:color w:val="333333"/>
                <w:spacing w:val="0"/>
                <w:kern w:val="0"/>
                <w:sz w:val="24"/>
                <w:szCs w:val="24"/>
                <w:shd w:val="clear" w:color="auto" w:fill="FFFFFF"/>
                <w:lang w:val="en-US" w:eastAsia="zh-CN" w:bidi="ar"/>
              </w:rPr>
              <w:t>钢筋</w:t>
            </w:r>
          </w:p>
        </w:tc>
        <w:tc>
          <w:tcPr>
            <w:tcW w:w="803" w:type="pct"/>
            <w:noWrap w:val="0"/>
            <w:vAlign w:val="top"/>
          </w:tcPr>
          <w:p w14:paraId="75647657">
            <w:pPr>
              <w:jc w:val="center"/>
              <w:rPr>
                <w:rFonts w:hint="eastAsia" w:ascii="宋体" w:hAnsi="宋体" w:eastAsia="宋体" w:cs="宋体"/>
                <w:i w:val="0"/>
                <w:iCs w:val="0"/>
                <w:caps w:val="0"/>
                <w:color w:val="333333"/>
                <w:spacing w:val="0"/>
                <w:kern w:val="0"/>
                <w:sz w:val="24"/>
                <w:szCs w:val="24"/>
                <w:shd w:val="clear" w:color="auto" w:fill="FFFFFF"/>
                <w:lang w:val="en-US" w:eastAsia="zh-CN" w:bidi="ar"/>
              </w:rPr>
            </w:pPr>
            <w:r>
              <w:rPr>
                <w:rFonts w:hint="eastAsia" w:ascii="宋体" w:hAnsi="宋体" w:eastAsia="宋体" w:cs="宋体"/>
                <w:i w:val="0"/>
                <w:iCs w:val="0"/>
                <w:caps w:val="0"/>
                <w:color w:val="333333"/>
                <w:spacing w:val="0"/>
                <w:kern w:val="0"/>
                <w:sz w:val="24"/>
                <w:szCs w:val="24"/>
                <w:shd w:val="clear" w:color="auto" w:fill="FFFFFF"/>
                <w:lang w:val="en-US" w:eastAsia="zh-CN" w:bidi="ar"/>
              </w:rPr>
              <w:t>吨</w:t>
            </w:r>
          </w:p>
        </w:tc>
        <w:tc>
          <w:tcPr>
            <w:tcW w:w="977" w:type="pct"/>
            <w:vMerge w:val="continue"/>
            <w:noWrap w:val="0"/>
            <w:vAlign w:val="top"/>
          </w:tcPr>
          <w:p w14:paraId="21D9F27E">
            <w:pPr>
              <w:jc w:val="center"/>
              <w:rPr>
                <w:rFonts w:hint="eastAsia" w:ascii="宋体" w:hAnsi="宋体" w:eastAsia="宋体" w:cs="宋体"/>
                <w:i w:val="0"/>
                <w:iCs w:val="0"/>
                <w:caps w:val="0"/>
                <w:color w:val="333333"/>
                <w:spacing w:val="0"/>
                <w:kern w:val="0"/>
                <w:sz w:val="24"/>
                <w:szCs w:val="24"/>
                <w:highlight w:val="yellow"/>
                <w:shd w:val="clear" w:color="auto" w:fill="FFFFFF"/>
                <w:lang w:val="en-US" w:eastAsia="zh-CN" w:bidi="ar"/>
              </w:rPr>
            </w:pPr>
          </w:p>
        </w:tc>
        <w:tc>
          <w:tcPr>
            <w:tcW w:w="944" w:type="pct"/>
            <w:noWrap w:val="0"/>
            <w:vAlign w:val="top"/>
          </w:tcPr>
          <w:p w14:paraId="4A328C72">
            <w:pPr>
              <w:jc w:val="center"/>
              <w:rPr>
                <w:rFonts w:hint="eastAsia" w:ascii="宋体" w:hAnsi="宋体" w:eastAsia="宋体" w:cs="宋体"/>
                <w:i w:val="0"/>
                <w:iCs w:val="0"/>
                <w:caps w:val="0"/>
                <w:color w:val="333333"/>
                <w:spacing w:val="0"/>
                <w:kern w:val="0"/>
                <w:sz w:val="24"/>
                <w:szCs w:val="24"/>
                <w:highlight w:val="yellow"/>
                <w:shd w:val="clear" w:color="auto" w:fill="FFFFFF"/>
                <w:lang w:val="en-US" w:eastAsia="zh-CN" w:bidi="ar"/>
              </w:rPr>
            </w:pPr>
          </w:p>
        </w:tc>
      </w:tr>
    </w:tbl>
    <w:p w14:paraId="667321B7">
      <w:pPr>
        <w:keepNext w:val="0"/>
        <w:keepLines w:val="0"/>
        <w:pageBreakBefore w:val="0"/>
        <w:kinsoku/>
        <w:wordWrap/>
        <w:overflowPunct/>
        <w:topLinePunct w:val="0"/>
        <w:bidi w:val="0"/>
        <w:snapToGrid w:val="0"/>
        <w:spacing w:line="496" w:lineRule="exact"/>
        <w:ind w:right="519" w:rightChars="247"/>
        <w:rPr>
          <w:rFonts w:hint="eastAsia" w:ascii="宋体" w:hAnsi="宋体"/>
          <w:b/>
          <w:color w:val="auto"/>
          <w:sz w:val="28"/>
          <w:szCs w:val="28"/>
          <w:highlight w:val="none"/>
          <w:lang w:val="en-US" w:eastAsia="zh-CN"/>
        </w:rPr>
      </w:pPr>
      <w:r>
        <w:rPr>
          <w:rFonts w:hint="eastAsia" w:ascii="宋体" w:hAnsi="宋体"/>
          <w:b/>
          <w:color w:val="auto"/>
          <w:sz w:val="28"/>
          <w:szCs w:val="28"/>
          <w:highlight w:val="none"/>
          <w:lang w:val="en-US" w:eastAsia="zh-CN"/>
        </w:rPr>
        <w:t>注：</w:t>
      </w:r>
    </w:p>
    <w:p w14:paraId="0F3B92FA">
      <w:pPr>
        <w:keepNext w:val="0"/>
        <w:keepLines w:val="0"/>
        <w:pageBreakBefore w:val="0"/>
        <w:numPr>
          <w:ilvl w:val="0"/>
          <w:numId w:val="1"/>
        </w:numPr>
        <w:kinsoku/>
        <w:wordWrap/>
        <w:overflowPunct/>
        <w:topLinePunct w:val="0"/>
        <w:bidi w:val="0"/>
        <w:snapToGrid w:val="0"/>
        <w:spacing w:line="496" w:lineRule="exact"/>
        <w:ind w:right="519" w:rightChars="247"/>
        <w:rPr>
          <w:rFonts w:hint="eastAsia" w:ascii="宋体" w:hAnsi="宋体" w:eastAsia="宋体" w:cs="宋体"/>
          <w:b/>
          <w:bCs/>
          <w:kern w:val="2"/>
          <w:sz w:val="24"/>
          <w:szCs w:val="24"/>
          <w:highlight w:val="none"/>
          <w:lang w:val="en-US" w:eastAsia="zh-CN" w:bidi="ar-SA"/>
        </w:rPr>
      </w:pPr>
      <w:r>
        <w:rPr>
          <w:rFonts w:hint="eastAsia" w:ascii="宋体" w:hAnsi="宋体" w:eastAsia="宋体" w:cs="宋体"/>
          <w:b/>
          <w:bCs/>
          <w:kern w:val="2"/>
          <w:sz w:val="24"/>
          <w:szCs w:val="24"/>
          <w:highlight w:val="none"/>
          <w:lang w:val="en-US" w:eastAsia="zh-CN" w:bidi="ar-SA"/>
        </w:rPr>
        <w:t>材料清单中（1、2、3小项）供应商若自有设备、须提供设备购买发票复印件加盖供应商公章。若为租赁，需提供有效期内的租赁合同原件复印件加盖供应商公章。（开标时提供）</w:t>
      </w:r>
    </w:p>
    <w:p w14:paraId="73D82ACC">
      <w:pPr>
        <w:keepNext w:val="0"/>
        <w:keepLines w:val="0"/>
        <w:pageBreakBefore w:val="0"/>
        <w:numPr>
          <w:ilvl w:val="0"/>
          <w:numId w:val="1"/>
        </w:numPr>
        <w:kinsoku/>
        <w:wordWrap/>
        <w:overflowPunct/>
        <w:topLinePunct w:val="0"/>
        <w:bidi w:val="0"/>
        <w:snapToGrid w:val="0"/>
        <w:spacing w:line="496" w:lineRule="exact"/>
        <w:ind w:right="519" w:rightChars="247"/>
        <w:rPr>
          <w:rFonts w:hint="eastAsia" w:ascii="宋体" w:hAnsi="宋体" w:eastAsia="宋体" w:cs="宋体"/>
          <w:b/>
          <w:bCs/>
          <w:kern w:val="2"/>
          <w:sz w:val="24"/>
          <w:szCs w:val="24"/>
          <w:highlight w:val="none"/>
          <w:lang w:val="en-US" w:eastAsia="zh-CN" w:bidi="ar-SA"/>
        </w:rPr>
      </w:pPr>
      <w:r>
        <w:rPr>
          <w:rFonts w:hint="eastAsia" w:ascii="宋体" w:hAnsi="宋体" w:eastAsia="宋体" w:cs="宋体"/>
          <w:b/>
          <w:bCs/>
          <w:kern w:val="2"/>
          <w:sz w:val="24"/>
          <w:szCs w:val="24"/>
          <w:highlight w:val="none"/>
          <w:lang w:val="en-US" w:eastAsia="zh-CN" w:bidi="ar-SA"/>
        </w:rPr>
        <w:t>中标后、采购人有权利针对成交供应商提供的设备凭证进行查验，若为虚假响应，采购人有权利取消其中标资格。</w:t>
      </w:r>
    </w:p>
    <w:p w14:paraId="39BDE09C">
      <w:pPr>
        <w:keepNext w:val="0"/>
        <w:keepLines w:val="0"/>
        <w:pageBreakBefore w:val="0"/>
        <w:numPr>
          <w:ilvl w:val="0"/>
          <w:numId w:val="1"/>
        </w:numPr>
        <w:kinsoku/>
        <w:wordWrap/>
        <w:overflowPunct/>
        <w:topLinePunct w:val="0"/>
        <w:bidi w:val="0"/>
        <w:snapToGrid w:val="0"/>
        <w:spacing w:line="496" w:lineRule="exact"/>
        <w:ind w:left="0" w:leftChars="0" w:right="519" w:rightChars="247" w:firstLine="0" w:firstLineChars="0"/>
        <w:rPr>
          <w:rFonts w:hint="default" w:ascii="宋体" w:hAnsi="宋体" w:eastAsia="宋体" w:cs="宋体"/>
          <w:b/>
          <w:bCs/>
          <w:kern w:val="2"/>
          <w:sz w:val="24"/>
          <w:szCs w:val="24"/>
          <w:highlight w:val="none"/>
          <w:lang w:val="en-US" w:eastAsia="zh-CN" w:bidi="ar-SA"/>
        </w:rPr>
      </w:pPr>
      <w:r>
        <w:rPr>
          <w:rFonts w:hint="eastAsia" w:ascii="宋体" w:hAnsi="宋体" w:eastAsia="宋体" w:cs="宋体"/>
          <w:b/>
          <w:bCs/>
          <w:kern w:val="2"/>
          <w:sz w:val="24"/>
          <w:szCs w:val="24"/>
          <w:highlight w:val="none"/>
          <w:lang w:val="en-US" w:eastAsia="zh-CN" w:bidi="ar-SA"/>
        </w:rPr>
        <w:t>材料清单中4-14项所需材料的规格参数与数量未定，一切以开工现场实际需求量清单为准。</w:t>
      </w:r>
    </w:p>
    <w:p w14:paraId="3DDECD38">
      <w:pPr>
        <w:pStyle w:val="2"/>
        <w:numPr>
          <w:ilvl w:val="0"/>
          <w:numId w:val="0"/>
        </w:numPr>
        <w:shd w:val="clear" w:color="auto" w:fill="auto"/>
        <w:jc w:val="both"/>
        <w:rPr>
          <w:rFonts w:hint="eastAsia" w:ascii="宋体" w:hAnsi="宋体" w:eastAsia="宋体" w:cs="宋体"/>
          <w:b/>
          <w:bCs/>
          <w:color w:val="auto"/>
          <w:kern w:val="2"/>
          <w:sz w:val="32"/>
          <w:szCs w:val="32"/>
          <w:highlight w:val="none"/>
          <w:lang w:val="en-US" w:eastAsia="zh-CN" w:bidi="ar-SA"/>
        </w:rPr>
      </w:pPr>
      <w:r>
        <w:rPr>
          <w:rFonts w:hint="eastAsia" w:ascii="宋体" w:hAnsi="宋体" w:eastAsia="宋体" w:cs="宋体"/>
          <w:b/>
          <w:bCs/>
          <w:color w:val="auto"/>
          <w:kern w:val="2"/>
          <w:sz w:val="32"/>
          <w:szCs w:val="32"/>
          <w:highlight w:val="none"/>
          <w:lang w:val="en-US" w:eastAsia="zh-CN" w:bidi="ar-SA"/>
        </w:rPr>
        <w:t>三、商务条款</w:t>
      </w:r>
    </w:p>
    <w:p w14:paraId="2471BC13">
      <w:pPr>
        <w:widowControl/>
        <w:numPr>
          <w:ilvl w:val="0"/>
          <w:numId w:val="2"/>
        </w:numPr>
        <w:snapToGrid w:val="0"/>
        <w:spacing w:line="384" w:lineRule="auto"/>
        <w:rPr>
          <w:rFonts w:hint="eastAsia" w:ascii="宋体" w:hAnsi="宋体" w:cs="宋体"/>
          <w:kern w:val="0"/>
          <w:sz w:val="24"/>
          <w:szCs w:val="24"/>
        </w:rPr>
      </w:pPr>
      <w:r>
        <w:rPr>
          <w:rFonts w:hint="eastAsia" w:ascii="宋体" w:hAnsi="宋体" w:cs="宋体"/>
          <w:b/>
          <w:bCs/>
          <w:kern w:val="0"/>
          <w:sz w:val="24"/>
          <w:szCs w:val="24"/>
        </w:rPr>
        <w:t>质量要求</w:t>
      </w:r>
      <w:r>
        <w:rPr>
          <w:rFonts w:hint="eastAsia" w:ascii="宋体" w:hAnsi="宋体" w:cs="宋体"/>
          <w:b/>
          <w:bCs/>
          <w:kern w:val="0"/>
          <w:sz w:val="24"/>
          <w:szCs w:val="24"/>
          <w:lang w:eastAsia="zh-CN"/>
        </w:rPr>
        <w:t>：</w:t>
      </w:r>
    </w:p>
    <w:p w14:paraId="3623E292">
      <w:pPr>
        <w:widowControl/>
        <w:numPr>
          <w:ilvl w:val="0"/>
          <w:numId w:val="0"/>
        </w:numPr>
        <w:snapToGrid w:val="0"/>
        <w:spacing w:line="384" w:lineRule="auto"/>
        <w:ind w:firstLine="480" w:firstLineChars="200"/>
        <w:rPr>
          <w:rFonts w:hint="eastAsia" w:ascii="宋体" w:hAnsi="宋体" w:cs="宋体"/>
          <w:kern w:val="0"/>
          <w:sz w:val="24"/>
          <w:szCs w:val="24"/>
          <w:lang w:val="en-US" w:eastAsia="zh-CN"/>
        </w:rPr>
      </w:pPr>
      <w:r>
        <w:rPr>
          <w:rFonts w:hint="eastAsia" w:ascii="宋体" w:hAnsi="宋体" w:cs="宋体"/>
          <w:kern w:val="0"/>
          <w:sz w:val="24"/>
          <w:szCs w:val="24"/>
        </w:rPr>
        <w:t>投标产品</w:t>
      </w:r>
      <w:r>
        <w:rPr>
          <w:rFonts w:hint="eastAsia" w:ascii="宋体" w:hAnsi="宋体" w:cs="宋体"/>
          <w:kern w:val="0"/>
          <w:sz w:val="24"/>
          <w:szCs w:val="24"/>
          <w:lang w:val="en-US" w:eastAsia="zh-CN"/>
        </w:rPr>
        <w:t>材料</w:t>
      </w:r>
      <w:r>
        <w:rPr>
          <w:rFonts w:hint="eastAsia" w:ascii="宋体" w:hAnsi="宋体" w:cs="宋体"/>
          <w:kern w:val="0"/>
          <w:sz w:val="24"/>
          <w:szCs w:val="24"/>
        </w:rPr>
        <w:t>必须符合国家相关标准</w:t>
      </w:r>
      <w:r>
        <w:rPr>
          <w:rFonts w:hint="eastAsia" w:ascii="宋体" w:hAnsi="宋体" w:cs="宋体"/>
          <w:kern w:val="0"/>
          <w:sz w:val="24"/>
          <w:szCs w:val="24"/>
          <w:lang w:eastAsia="zh-CN"/>
        </w:rPr>
        <w:t>。</w:t>
      </w:r>
    </w:p>
    <w:p w14:paraId="4D91BE9D">
      <w:pPr>
        <w:widowControl/>
        <w:snapToGrid w:val="0"/>
        <w:spacing w:line="384" w:lineRule="auto"/>
        <w:rPr>
          <w:rFonts w:hint="eastAsia" w:ascii="宋体" w:hAnsi="宋体" w:cs="宋体"/>
          <w:kern w:val="0"/>
          <w:sz w:val="24"/>
          <w:szCs w:val="24"/>
          <w:highlight w:val="none"/>
          <w:lang w:eastAsia="zh-CN"/>
        </w:rPr>
      </w:pPr>
      <w:r>
        <w:rPr>
          <w:rFonts w:hint="eastAsia" w:ascii="宋体" w:hAnsi="宋体" w:cs="宋体"/>
          <w:b/>
          <w:bCs/>
          <w:kern w:val="0"/>
          <w:sz w:val="24"/>
          <w:szCs w:val="24"/>
        </w:rPr>
        <w:t>（</w:t>
      </w:r>
      <w:r>
        <w:rPr>
          <w:rFonts w:hint="eastAsia" w:ascii="宋体" w:hAnsi="宋体" w:cs="宋体"/>
          <w:b/>
          <w:bCs/>
          <w:kern w:val="0"/>
          <w:sz w:val="24"/>
          <w:szCs w:val="24"/>
          <w:lang w:val="en-US" w:eastAsia="zh-CN"/>
        </w:rPr>
        <w:t>二</w:t>
      </w:r>
      <w:r>
        <w:rPr>
          <w:rFonts w:hint="eastAsia" w:ascii="宋体" w:hAnsi="宋体" w:cs="宋体"/>
          <w:b/>
          <w:bCs/>
          <w:kern w:val="0"/>
          <w:sz w:val="24"/>
          <w:szCs w:val="24"/>
        </w:rPr>
        <w:t>）</w:t>
      </w:r>
      <w:r>
        <w:rPr>
          <w:rFonts w:hint="eastAsia" w:ascii="宋体" w:hAnsi="宋体" w:cs="宋体"/>
          <w:b/>
          <w:bCs/>
          <w:kern w:val="0"/>
          <w:sz w:val="24"/>
          <w:szCs w:val="24"/>
          <w:lang w:val="en-US" w:eastAsia="zh-CN"/>
        </w:rPr>
        <w:t>材料配送</w:t>
      </w:r>
      <w:r>
        <w:rPr>
          <w:rFonts w:hint="eastAsia" w:ascii="宋体" w:hAnsi="宋体" w:cs="宋体"/>
          <w:b/>
          <w:bCs/>
          <w:kern w:val="0"/>
          <w:sz w:val="24"/>
          <w:szCs w:val="24"/>
        </w:rPr>
        <w:t>地点：</w:t>
      </w:r>
      <w:r>
        <w:rPr>
          <w:rFonts w:hint="eastAsia" w:ascii="宋体" w:hAnsi="宋体" w:cs="宋体"/>
          <w:kern w:val="0"/>
          <w:sz w:val="24"/>
          <w:szCs w:val="24"/>
          <w:highlight w:val="none"/>
        </w:rPr>
        <w:t>上饶市广信区</w:t>
      </w:r>
      <w:r>
        <w:rPr>
          <w:rFonts w:hint="eastAsia" w:ascii="宋体" w:hAnsi="宋体" w:cs="宋体"/>
          <w:kern w:val="0"/>
          <w:sz w:val="24"/>
          <w:szCs w:val="24"/>
          <w:highlight w:val="none"/>
          <w:lang w:val="en-US" w:eastAsia="zh-CN"/>
        </w:rPr>
        <w:t>内或经开区</w:t>
      </w:r>
      <w:r>
        <w:rPr>
          <w:rFonts w:hint="eastAsia" w:ascii="宋体" w:hAnsi="宋体" w:cs="宋体"/>
          <w:kern w:val="0"/>
          <w:sz w:val="24"/>
          <w:szCs w:val="24"/>
          <w:highlight w:val="none"/>
          <w:lang w:eastAsia="zh-CN"/>
        </w:rPr>
        <w:t>（</w:t>
      </w:r>
      <w:r>
        <w:rPr>
          <w:rFonts w:hint="eastAsia" w:ascii="宋体" w:hAnsi="宋体" w:cs="宋体"/>
          <w:kern w:val="0"/>
          <w:sz w:val="24"/>
          <w:szCs w:val="24"/>
          <w:highlight w:val="none"/>
          <w:lang w:val="en-US" w:eastAsia="zh-CN"/>
        </w:rPr>
        <w:t>采购人指定地点</w:t>
      </w:r>
      <w:r>
        <w:rPr>
          <w:rFonts w:hint="eastAsia" w:ascii="宋体" w:hAnsi="宋体" w:cs="宋体"/>
          <w:kern w:val="0"/>
          <w:sz w:val="24"/>
          <w:szCs w:val="24"/>
          <w:highlight w:val="none"/>
          <w:lang w:eastAsia="zh-CN"/>
        </w:rPr>
        <w:t>）</w:t>
      </w:r>
    </w:p>
    <w:p w14:paraId="5FBD5749">
      <w:pPr>
        <w:widowControl/>
        <w:snapToGrid w:val="0"/>
        <w:spacing w:line="384" w:lineRule="auto"/>
        <w:rPr>
          <w:rFonts w:hint="default" w:ascii="宋体" w:hAnsi="宋体" w:cs="宋体"/>
          <w:color w:val="000000"/>
          <w:sz w:val="24"/>
          <w:szCs w:val="24"/>
          <w:highlight w:val="yellow"/>
          <w:lang w:val="en-US" w:eastAsia="zh-CN"/>
        </w:rPr>
      </w:pPr>
      <w:r>
        <w:rPr>
          <w:rFonts w:hint="eastAsia" w:ascii="宋体" w:hAnsi="宋体" w:cs="宋体"/>
          <w:b/>
          <w:bCs/>
          <w:kern w:val="0"/>
          <w:sz w:val="24"/>
          <w:szCs w:val="24"/>
        </w:rPr>
        <w:t>（</w:t>
      </w:r>
      <w:r>
        <w:rPr>
          <w:rFonts w:hint="eastAsia" w:ascii="宋体" w:hAnsi="宋体" w:cs="宋体"/>
          <w:b/>
          <w:bCs/>
          <w:kern w:val="0"/>
          <w:sz w:val="24"/>
          <w:szCs w:val="24"/>
          <w:lang w:val="en-US" w:eastAsia="zh-CN"/>
        </w:rPr>
        <w:t>三</w:t>
      </w:r>
      <w:r>
        <w:rPr>
          <w:rFonts w:hint="eastAsia" w:ascii="宋体" w:hAnsi="宋体" w:cs="宋体"/>
          <w:b/>
          <w:bCs/>
          <w:kern w:val="0"/>
          <w:sz w:val="24"/>
          <w:szCs w:val="24"/>
        </w:rPr>
        <w:t>）</w:t>
      </w:r>
      <w:r>
        <w:rPr>
          <w:rFonts w:hint="eastAsia" w:ascii="宋体" w:hAnsi="宋体" w:cs="宋体"/>
          <w:b/>
          <w:bCs/>
          <w:kern w:val="0"/>
          <w:sz w:val="24"/>
          <w:szCs w:val="24"/>
          <w:lang w:val="en-US" w:eastAsia="zh-CN"/>
        </w:rPr>
        <w:t>结算</w:t>
      </w:r>
      <w:r>
        <w:rPr>
          <w:rFonts w:hint="eastAsia" w:ascii="宋体" w:hAnsi="宋体" w:cs="宋体"/>
          <w:b/>
          <w:bCs/>
          <w:kern w:val="0"/>
          <w:sz w:val="24"/>
          <w:szCs w:val="24"/>
        </w:rPr>
        <w:t>方式：</w:t>
      </w:r>
      <w:r>
        <w:rPr>
          <w:rFonts w:ascii="宋体" w:hAnsi="宋体" w:eastAsia="宋体" w:cs="宋体"/>
          <w:sz w:val="24"/>
          <w:szCs w:val="24"/>
          <w:highlight w:val="none"/>
        </w:rPr>
        <w:t>招标人根据实际需要确定采购数量，</w:t>
      </w:r>
      <w:r>
        <w:rPr>
          <w:rFonts w:hint="eastAsia" w:ascii="宋体" w:hAnsi="宋体" w:eastAsia="宋体" w:cs="宋体"/>
          <w:sz w:val="24"/>
          <w:szCs w:val="24"/>
          <w:highlight w:val="none"/>
          <w:lang w:val="en-US" w:eastAsia="zh-CN"/>
        </w:rPr>
        <w:t>具体以实际发生量据实结算。</w:t>
      </w:r>
      <w:r>
        <w:rPr>
          <w:rFonts w:ascii="宋体" w:hAnsi="宋体" w:eastAsia="宋体" w:cs="宋体"/>
          <w:sz w:val="24"/>
          <w:szCs w:val="24"/>
          <w:highlight w:val="none"/>
        </w:rPr>
        <w:t>结算时，数量以实际</w:t>
      </w:r>
      <w:r>
        <w:rPr>
          <w:rFonts w:hint="eastAsia" w:ascii="宋体" w:hAnsi="宋体" w:eastAsia="宋体" w:cs="宋体"/>
          <w:sz w:val="24"/>
          <w:szCs w:val="24"/>
          <w:highlight w:val="none"/>
          <w:lang w:val="en-US" w:eastAsia="zh-CN"/>
        </w:rPr>
        <w:t>签收</w:t>
      </w:r>
      <w:r>
        <w:rPr>
          <w:rFonts w:ascii="宋体" w:hAnsi="宋体" w:eastAsia="宋体" w:cs="宋体"/>
          <w:sz w:val="24"/>
          <w:szCs w:val="24"/>
          <w:highlight w:val="none"/>
        </w:rPr>
        <w:t>的数量为准。</w:t>
      </w:r>
      <w:r>
        <w:rPr>
          <w:rFonts w:hint="eastAsia" w:ascii="宋体" w:hAnsi="宋体" w:eastAsia="宋体" w:cs="宋体"/>
          <w:sz w:val="24"/>
          <w:szCs w:val="24"/>
          <w:highlight w:val="none"/>
          <w:lang w:val="en-US" w:eastAsia="zh-CN"/>
        </w:rPr>
        <w:t>有预算单价的以预算单价*实际签收量*整体下浮率。没有预算单价的以实际采购数量*</w:t>
      </w:r>
      <w:r>
        <w:rPr>
          <w:rFonts w:hint="eastAsia" w:ascii="宋体" w:hAnsi="宋体" w:eastAsia="宋体" w:cs="宋体"/>
          <w:i w:val="0"/>
          <w:iCs w:val="0"/>
          <w:caps w:val="0"/>
          <w:color w:val="333333"/>
          <w:spacing w:val="0"/>
          <w:kern w:val="0"/>
          <w:sz w:val="24"/>
          <w:szCs w:val="24"/>
          <w:highlight w:val="none"/>
          <w:shd w:val="clear" w:color="auto" w:fill="FFFFFF"/>
          <w:lang w:val="en-US" w:eastAsia="zh-CN" w:bidi="ar"/>
        </w:rPr>
        <w:t>市场信息价（以合同期间</w:t>
      </w:r>
      <w:r>
        <w:rPr>
          <w:rFonts w:hint="default" w:ascii="宋体" w:hAnsi="宋体" w:cs="宋体"/>
          <w:color w:val="000000"/>
          <w:sz w:val="24"/>
          <w:szCs w:val="24"/>
          <w:highlight w:val="none"/>
          <w:lang w:val="en-US" w:eastAsia="zh-CN"/>
        </w:rPr>
        <w:t>当月《江西省造价信息》发布的同期计价政策为依据)*整体下浮率。《江西省造价信息》中以上饶市场信息价结算，上饶无市场信息价的，以江西省内其它设区市中最低市场信息价结算。</w:t>
      </w:r>
      <w:r>
        <w:rPr>
          <w:rFonts w:hint="eastAsia" w:ascii="宋体" w:hAnsi="宋体" w:cs="宋体"/>
          <w:color w:val="000000"/>
          <w:sz w:val="24"/>
          <w:szCs w:val="24"/>
          <w:highlight w:val="none"/>
          <w:lang w:val="en-US" w:eastAsia="zh-CN"/>
        </w:rPr>
        <w:t>若没有市场信息价。最终以市场询价来确定。</w:t>
      </w:r>
    </w:p>
    <w:p w14:paraId="2BA17F28">
      <w:pPr>
        <w:widowControl/>
        <w:snapToGrid w:val="0"/>
        <w:spacing w:line="384" w:lineRule="auto"/>
        <w:rPr>
          <w:rFonts w:hint="default" w:ascii="宋体" w:hAnsi="宋体" w:cs="宋体"/>
          <w:color w:val="000000"/>
          <w:sz w:val="24"/>
          <w:szCs w:val="24"/>
          <w:highlight w:val="yellow"/>
          <w:lang w:val="en-US" w:eastAsia="zh-CN"/>
        </w:rPr>
      </w:pPr>
      <w:r>
        <w:rPr>
          <w:rFonts w:hint="eastAsia" w:ascii="宋体" w:hAnsi="宋体" w:eastAsia="宋体" w:cs="宋体"/>
          <w:b/>
          <w:bCs/>
          <w:kern w:val="0"/>
          <w:sz w:val="24"/>
          <w:szCs w:val="24"/>
          <w:lang w:val="en-US" w:eastAsia="zh-CN"/>
        </w:rPr>
        <w:t>（四）付款方式：</w:t>
      </w:r>
      <w:r>
        <w:rPr>
          <w:rFonts w:hint="default" w:ascii="宋体" w:hAnsi="宋体" w:cs="宋体"/>
          <w:color w:val="000000"/>
          <w:sz w:val="24"/>
          <w:szCs w:val="24"/>
          <w:highlight w:val="none"/>
          <w:lang w:val="en-US" w:eastAsia="zh-CN"/>
        </w:rPr>
        <w:t>签定合同后，货款根据供货情况按批次支付</w:t>
      </w:r>
      <w:r>
        <w:rPr>
          <w:rFonts w:hint="eastAsia" w:ascii="宋体" w:hAnsi="宋体" w:cs="宋体"/>
          <w:color w:val="000000"/>
          <w:sz w:val="24"/>
          <w:szCs w:val="24"/>
          <w:highlight w:val="none"/>
          <w:lang w:val="en-US" w:eastAsia="zh-CN"/>
        </w:rPr>
        <w:t>。</w:t>
      </w:r>
      <w:r>
        <w:rPr>
          <w:rFonts w:hint="default" w:ascii="宋体" w:hAnsi="宋体" w:cs="宋体"/>
          <w:color w:val="000000"/>
          <w:sz w:val="24"/>
          <w:szCs w:val="24"/>
          <w:highlight w:val="none"/>
          <w:lang w:val="en-US" w:eastAsia="zh-CN"/>
        </w:rPr>
        <w:t>在每批次交货付款时扣除该批次货款的5%，成交供应商分批次将货物送至采购人指定场所，由采购人现场验收签收产品（品名、规格型号、数量、质量），每批次货款的5%在采购人完成全部货物的验收合格后一年内付清。在采购人支付每笔款项前，成交供应商需提供合法有效的等额增值税专用发票，采购人审核无误后向成交供应商支付该笔款项。</w:t>
      </w:r>
    </w:p>
    <w:p w14:paraId="1D8450F9">
      <w:pPr>
        <w:widowControl/>
        <w:snapToGrid w:val="0"/>
        <w:spacing w:line="384" w:lineRule="auto"/>
        <w:rPr>
          <w:rFonts w:hint="default" w:ascii="宋体" w:hAnsi="宋体" w:cs="宋体"/>
          <w:color w:val="000000"/>
          <w:sz w:val="24"/>
          <w:szCs w:val="24"/>
          <w:highlight w:val="none"/>
          <w:lang w:val="en-US" w:eastAsia="zh-CN"/>
        </w:rPr>
      </w:pPr>
      <w:r>
        <w:rPr>
          <w:rFonts w:hint="eastAsia" w:ascii="宋体" w:hAnsi="宋体" w:eastAsia="宋体" w:cs="宋体"/>
          <w:b/>
          <w:bCs/>
          <w:kern w:val="0"/>
          <w:sz w:val="24"/>
          <w:szCs w:val="24"/>
          <w:lang w:val="en-US" w:eastAsia="zh-CN"/>
        </w:rPr>
        <w:t>（五）</w:t>
      </w:r>
      <w:r>
        <w:rPr>
          <w:rFonts w:hint="default" w:ascii="宋体" w:hAnsi="宋体" w:eastAsia="宋体" w:cs="宋体"/>
          <w:b/>
          <w:bCs/>
          <w:kern w:val="0"/>
          <w:sz w:val="24"/>
          <w:szCs w:val="24"/>
          <w:lang w:val="en-US" w:eastAsia="zh-CN"/>
        </w:rPr>
        <w:t>交货时间</w:t>
      </w:r>
      <w:r>
        <w:rPr>
          <w:rFonts w:hint="default" w:ascii="宋体" w:hAnsi="宋体" w:cs="宋体"/>
          <w:color w:val="000000"/>
          <w:sz w:val="24"/>
          <w:szCs w:val="24"/>
          <w:highlight w:val="none"/>
          <w:lang w:val="en-US" w:eastAsia="zh-CN"/>
        </w:rPr>
        <w:t>：签订合同后，成交供应商接采购人书面通知或口头通知后24小时内将所需材料和设备按要求送到采购人指定地点。</w:t>
      </w:r>
    </w:p>
    <w:p w14:paraId="1CCB2628">
      <w:pPr>
        <w:widowControl/>
        <w:snapToGrid w:val="0"/>
        <w:spacing w:line="384" w:lineRule="auto"/>
        <w:rPr>
          <w:rFonts w:hint="default" w:eastAsia="宋体"/>
          <w:lang w:val="en-US" w:eastAsia="zh-CN"/>
        </w:rPr>
      </w:pPr>
      <w:r>
        <w:rPr>
          <w:rFonts w:hint="eastAsia" w:ascii="宋体" w:hAnsi="宋体" w:cs="宋体"/>
          <w:b/>
          <w:bCs/>
          <w:kern w:val="0"/>
          <w:sz w:val="24"/>
          <w:szCs w:val="24"/>
        </w:rPr>
        <w:t>（</w:t>
      </w:r>
      <w:r>
        <w:rPr>
          <w:rFonts w:hint="eastAsia" w:ascii="宋体" w:hAnsi="宋体" w:cs="宋体"/>
          <w:b/>
          <w:bCs/>
          <w:kern w:val="0"/>
          <w:sz w:val="24"/>
          <w:szCs w:val="24"/>
          <w:lang w:val="en-US" w:eastAsia="zh-CN"/>
        </w:rPr>
        <w:t>六</w:t>
      </w:r>
      <w:r>
        <w:rPr>
          <w:rFonts w:hint="eastAsia" w:ascii="宋体" w:hAnsi="宋体" w:cs="宋体"/>
          <w:b/>
          <w:bCs/>
          <w:kern w:val="0"/>
          <w:sz w:val="24"/>
          <w:szCs w:val="24"/>
        </w:rPr>
        <w:t>）服务期限：</w:t>
      </w:r>
      <w:r>
        <w:rPr>
          <w:rFonts w:hint="eastAsia" w:ascii="宋体" w:hAnsi="宋体" w:cs="宋体"/>
          <w:kern w:val="0"/>
          <w:sz w:val="24"/>
          <w:szCs w:val="24"/>
        </w:rPr>
        <w:t>一年服务期</w:t>
      </w:r>
      <w:r>
        <w:rPr>
          <w:rFonts w:hint="eastAsia" w:ascii="宋体" w:hAnsi="宋体" w:cs="宋体"/>
          <w:kern w:val="0"/>
          <w:sz w:val="24"/>
          <w:szCs w:val="24"/>
          <w:lang w:val="en-US" w:eastAsia="zh-CN"/>
        </w:rPr>
        <w:t>满或项目金额达到100万元即项目结束（以先到达为准）</w:t>
      </w:r>
    </w:p>
    <w:p w14:paraId="7D838B5E">
      <w:pPr>
        <w:autoSpaceDE w:val="0"/>
        <w:autoSpaceDN w:val="0"/>
        <w:adjustRightInd w:val="0"/>
        <w:snapToGrid w:val="0"/>
        <w:spacing w:line="360" w:lineRule="auto"/>
        <w:rPr>
          <w:rFonts w:hint="eastAsia" w:ascii="宋体" w:hAnsi="宋体" w:cs="宋体"/>
          <w:b/>
          <w:bCs/>
          <w:sz w:val="24"/>
          <w:szCs w:val="24"/>
          <w:highlight w:val="none"/>
          <w:lang w:val="zh-CN"/>
        </w:rPr>
      </w:pPr>
      <w:r>
        <w:rPr>
          <w:rFonts w:hint="eastAsia" w:ascii="宋体" w:hAnsi="宋体" w:cs="宋体"/>
          <w:b/>
          <w:bCs/>
          <w:sz w:val="24"/>
          <w:szCs w:val="24"/>
          <w:highlight w:val="none"/>
          <w:lang w:val="zh-CN"/>
        </w:rPr>
        <w:t>（</w:t>
      </w:r>
      <w:r>
        <w:rPr>
          <w:rFonts w:hint="eastAsia" w:ascii="宋体" w:hAnsi="宋体" w:cs="宋体"/>
          <w:b/>
          <w:bCs/>
          <w:sz w:val="24"/>
          <w:szCs w:val="24"/>
          <w:highlight w:val="none"/>
          <w:lang w:val="en-US" w:eastAsia="zh-CN"/>
        </w:rPr>
        <w:t>七</w:t>
      </w:r>
      <w:r>
        <w:rPr>
          <w:rFonts w:hint="eastAsia" w:ascii="宋体" w:hAnsi="宋体" w:cs="宋体"/>
          <w:b/>
          <w:bCs/>
          <w:sz w:val="24"/>
          <w:szCs w:val="24"/>
          <w:highlight w:val="none"/>
          <w:lang w:val="zh-CN"/>
        </w:rPr>
        <w:t>）交货包装</w:t>
      </w:r>
    </w:p>
    <w:p w14:paraId="5EA078FE">
      <w:pPr>
        <w:autoSpaceDE w:val="0"/>
        <w:autoSpaceDN w:val="0"/>
        <w:adjustRightInd w:val="0"/>
        <w:snapToGrid w:val="0"/>
        <w:spacing w:line="360" w:lineRule="auto"/>
        <w:rPr>
          <w:rFonts w:hint="eastAsia" w:ascii="宋体" w:hAnsi="宋体" w:cs="宋体"/>
          <w:sz w:val="24"/>
          <w:szCs w:val="24"/>
          <w:highlight w:val="none"/>
          <w:lang w:val="zh-CN"/>
        </w:rPr>
      </w:pPr>
      <w:r>
        <w:rPr>
          <w:rFonts w:hint="eastAsia" w:ascii="宋体" w:hAnsi="宋体" w:cs="宋体"/>
          <w:sz w:val="24"/>
          <w:szCs w:val="24"/>
          <w:highlight w:val="none"/>
          <w:lang w:val="zh-CN"/>
        </w:rPr>
        <w:t>1.供应商提供的全部货物均应按标准保护措施进行包装，这类包装应适应于远距离运输、防潮、防震、防锈和防野蛮装卸，以确保货物安全无损运抵指定现场。由于包装不善所引起的货物锈蚀、损坏和损失均由供应商负责。</w:t>
      </w:r>
    </w:p>
    <w:p w14:paraId="2CB5C16F">
      <w:pPr>
        <w:autoSpaceDE w:val="0"/>
        <w:autoSpaceDN w:val="0"/>
        <w:adjustRightInd w:val="0"/>
        <w:snapToGrid w:val="0"/>
        <w:spacing w:line="360" w:lineRule="auto"/>
        <w:rPr>
          <w:rFonts w:hint="eastAsia" w:ascii="宋体" w:hAnsi="宋体" w:cs="宋体"/>
          <w:sz w:val="24"/>
          <w:szCs w:val="24"/>
          <w:highlight w:val="none"/>
          <w:lang w:val="zh-CN"/>
        </w:rPr>
      </w:pPr>
      <w:r>
        <w:rPr>
          <w:rFonts w:hint="eastAsia" w:ascii="宋体" w:hAnsi="宋体" w:cs="宋体"/>
          <w:sz w:val="24"/>
          <w:szCs w:val="24"/>
          <w:highlight w:val="none"/>
          <w:lang w:val="zh-CN"/>
        </w:rPr>
        <w:t>2.供应商交货时，须提供设备的全部资料，如产品合格证、装箱单、使用说明书、易损件清单、备品备件清单、第三方检测报告、标准操作规程、维护保养规程等等。</w:t>
      </w:r>
    </w:p>
    <w:p w14:paraId="0E7A1870">
      <w:pPr>
        <w:autoSpaceDE w:val="0"/>
        <w:autoSpaceDN w:val="0"/>
        <w:adjustRightInd w:val="0"/>
        <w:snapToGrid w:val="0"/>
        <w:spacing w:line="360" w:lineRule="auto"/>
        <w:rPr>
          <w:rFonts w:hint="eastAsia" w:ascii="宋体" w:hAnsi="宋体" w:cs="宋体"/>
          <w:sz w:val="24"/>
          <w:szCs w:val="24"/>
          <w:highlight w:val="none"/>
          <w:lang w:val="zh-CN"/>
        </w:rPr>
      </w:pPr>
      <w:r>
        <w:rPr>
          <w:rFonts w:hint="eastAsia" w:ascii="宋体" w:hAnsi="宋体" w:cs="宋体"/>
          <w:sz w:val="24"/>
          <w:szCs w:val="24"/>
          <w:highlight w:val="none"/>
          <w:lang w:val="zh-CN"/>
        </w:rPr>
        <w:t>3.供应商提供的全部货物所有附件必须都配备齐全，所供货设备外包箱注明用户信息，原厂设备完整，不得折封，以上参数如有不符直接退货。</w:t>
      </w:r>
    </w:p>
    <w:p w14:paraId="1837A821">
      <w:pPr>
        <w:autoSpaceDE w:val="0"/>
        <w:autoSpaceDN w:val="0"/>
        <w:adjustRightInd w:val="0"/>
        <w:snapToGrid w:val="0"/>
        <w:spacing w:line="360" w:lineRule="auto"/>
        <w:rPr>
          <w:rFonts w:hint="eastAsia" w:ascii="宋体" w:hAnsi="宋体" w:cs="宋体"/>
          <w:sz w:val="24"/>
          <w:szCs w:val="24"/>
          <w:highlight w:val="none"/>
          <w:lang w:val="zh-CN"/>
        </w:rPr>
      </w:pPr>
      <w:r>
        <w:rPr>
          <w:rFonts w:hint="eastAsia" w:ascii="宋体" w:hAnsi="宋体" w:cs="宋体"/>
          <w:sz w:val="24"/>
          <w:szCs w:val="24"/>
          <w:highlight w:val="none"/>
          <w:lang w:val="zh-CN"/>
        </w:rPr>
        <w:t>4.如果供应商没有按照合同规定或采购人同意延长的时间交货，每延期一天，按合同总金额的1</w:t>
      </w:r>
      <w:r>
        <w:rPr>
          <w:rFonts w:hint="eastAsia" w:ascii="宋体" w:hAnsi="宋体" w:cs="宋体"/>
          <w:sz w:val="24"/>
          <w:szCs w:val="24"/>
          <w:highlight w:val="none"/>
          <w:lang w:val="en-US" w:eastAsia="zh-CN"/>
        </w:rPr>
        <w:t>%</w:t>
      </w:r>
      <w:r>
        <w:rPr>
          <w:rFonts w:hint="eastAsia" w:ascii="宋体" w:hAnsi="宋体" w:cs="宋体"/>
          <w:sz w:val="24"/>
          <w:szCs w:val="24"/>
          <w:highlight w:val="none"/>
          <w:lang w:val="zh-CN"/>
        </w:rPr>
        <w:t xml:space="preserve">交付违约金；如果供应商在达到最高限额（合同总额5%）后仍不能交付的，采购人可终止合同，因此产生的一切经济损失由供应商承担；因质量问题延期交付设备时，按延期交付产品处理。 </w:t>
      </w:r>
    </w:p>
    <w:p w14:paraId="7E9B2D81">
      <w:pPr>
        <w:autoSpaceDE w:val="0"/>
        <w:autoSpaceDN w:val="0"/>
        <w:adjustRightInd w:val="0"/>
        <w:snapToGrid w:val="0"/>
        <w:spacing w:line="360" w:lineRule="auto"/>
        <w:rPr>
          <w:rFonts w:hint="eastAsia" w:ascii="宋体" w:hAnsi="宋体" w:cs="宋体"/>
          <w:b/>
          <w:bCs/>
          <w:sz w:val="24"/>
          <w:szCs w:val="24"/>
          <w:highlight w:val="none"/>
          <w:lang w:val="zh-CN"/>
        </w:rPr>
      </w:pPr>
      <w:r>
        <w:rPr>
          <w:rFonts w:hint="eastAsia" w:ascii="宋体" w:hAnsi="宋体" w:cs="宋体"/>
          <w:b/>
          <w:bCs/>
          <w:sz w:val="24"/>
          <w:szCs w:val="24"/>
          <w:highlight w:val="none"/>
          <w:lang w:val="zh-CN"/>
        </w:rPr>
        <w:t>（</w:t>
      </w:r>
      <w:r>
        <w:rPr>
          <w:rFonts w:hint="eastAsia" w:ascii="宋体" w:hAnsi="宋体" w:cs="宋体"/>
          <w:b/>
          <w:bCs/>
          <w:sz w:val="24"/>
          <w:szCs w:val="24"/>
          <w:highlight w:val="none"/>
          <w:lang w:val="en-US" w:eastAsia="zh-CN"/>
        </w:rPr>
        <w:t>八</w:t>
      </w:r>
      <w:r>
        <w:rPr>
          <w:rFonts w:hint="eastAsia" w:ascii="宋体" w:hAnsi="宋体" w:cs="宋体"/>
          <w:b/>
          <w:bCs/>
          <w:sz w:val="24"/>
          <w:szCs w:val="24"/>
          <w:highlight w:val="none"/>
          <w:lang w:val="zh-CN"/>
        </w:rPr>
        <w:t>）安装、验收</w:t>
      </w:r>
    </w:p>
    <w:p w14:paraId="36E4E993">
      <w:pPr>
        <w:autoSpaceDE w:val="0"/>
        <w:autoSpaceDN w:val="0"/>
        <w:adjustRightInd w:val="0"/>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1.供应商在交货截止时间（或采购方规定的时间）内交货，有关运输和保险的一切费用由供应商承担。所有货物运抵现场并验收合格后的日期为交货日期。</w:t>
      </w:r>
    </w:p>
    <w:p w14:paraId="174AB28F">
      <w:pPr>
        <w:autoSpaceDE w:val="0"/>
        <w:autoSpaceDN w:val="0"/>
        <w:adjustRightInd w:val="0"/>
        <w:snapToGrid w:val="0"/>
        <w:spacing w:line="360" w:lineRule="auto"/>
        <w:ind w:firstLine="480" w:firstLineChars="200"/>
        <w:rPr>
          <w:rFonts w:hint="eastAsia" w:ascii="宋体" w:hAnsi="宋体" w:cs="宋体"/>
          <w:b/>
          <w:bCs/>
          <w:sz w:val="24"/>
          <w:highlight w:val="none"/>
        </w:rPr>
      </w:pPr>
      <w:r>
        <w:rPr>
          <w:rFonts w:hint="eastAsia" w:ascii="宋体" w:hAnsi="宋体" w:cs="宋体"/>
          <w:sz w:val="24"/>
          <w:highlight w:val="none"/>
        </w:rPr>
        <w:t>2.货物到现场后，采购人（或其授权代表）、供应商组织相关人员共同对到货货物的数量、外观、包装质量、技术资料等进行检查；</w:t>
      </w:r>
      <w:r>
        <w:rPr>
          <w:rFonts w:hint="eastAsia" w:ascii="宋体" w:hAnsi="宋体" w:cs="宋体"/>
          <w:b/>
          <w:bCs/>
          <w:sz w:val="24"/>
          <w:highlight w:val="none"/>
        </w:rPr>
        <w:t xml:space="preserve"> </w:t>
      </w:r>
    </w:p>
    <w:p w14:paraId="36130A62">
      <w:pPr>
        <w:autoSpaceDE w:val="0"/>
        <w:autoSpaceDN w:val="0"/>
        <w:adjustRightInd w:val="0"/>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3.货物供货完成以后，在7个工作日内由采购人或组织技术专家或委托第三方专业机构对货物依照谈判文件上的技术规格要求、以及国家有关标准进行验收；货物性能达到技术要求的，给予签收；验收合格后由采购人（或其授权代表）签署确认验收合格文件（一式四份）；全部技术资料等应当在验收合格后移交用户单位（业主）。验收时如发现货物的质量、性能不符合采购文件规定标准的，本项目采购人有权在货物验收时予以拒收；因此产生的一切经济损失由供应商承担；</w:t>
      </w:r>
    </w:p>
    <w:p w14:paraId="5BEB5ECC">
      <w:pPr>
        <w:autoSpaceDE w:val="0"/>
        <w:autoSpaceDN w:val="0"/>
        <w:adjustRightInd w:val="0"/>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4.交付验收标准：依次序对照适用标准为：</w:t>
      </w:r>
    </w:p>
    <w:p w14:paraId="5747354B">
      <w:pPr>
        <w:autoSpaceDE w:val="0"/>
        <w:autoSpaceDN w:val="0"/>
        <w:adjustRightInd w:val="0"/>
        <w:snapToGrid w:val="0"/>
        <w:spacing w:line="360" w:lineRule="auto"/>
        <w:ind w:firstLine="840" w:firstLineChars="350"/>
        <w:rPr>
          <w:rFonts w:hint="eastAsia" w:ascii="宋体" w:hAnsi="宋体" w:cs="宋体"/>
          <w:sz w:val="24"/>
          <w:highlight w:val="none"/>
        </w:rPr>
      </w:pPr>
      <w:r>
        <w:rPr>
          <w:rFonts w:hint="eastAsia" w:ascii="宋体" w:hAnsi="宋体" w:cs="宋体"/>
          <w:sz w:val="24"/>
          <w:highlight w:val="none"/>
        </w:rPr>
        <w:t>①符合中华人民共和国国家安全质量标准、环保标准或行业标准；</w:t>
      </w:r>
    </w:p>
    <w:p w14:paraId="3149137C">
      <w:pPr>
        <w:autoSpaceDE w:val="0"/>
        <w:autoSpaceDN w:val="0"/>
        <w:adjustRightInd w:val="0"/>
        <w:snapToGrid w:val="0"/>
        <w:spacing w:line="360" w:lineRule="auto"/>
        <w:ind w:firstLine="840" w:firstLineChars="350"/>
        <w:rPr>
          <w:rFonts w:hint="eastAsia" w:ascii="宋体" w:hAnsi="宋体" w:cs="宋体"/>
          <w:sz w:val="24"/>
          <w:highlight w:val="none"/>
        </w:rPr>
      </w:pPr>
      <w:r>
        <w:rPr>
          <w:rFonts w:hint="eastAsia" w:ascii="宋体" w:hAnsi="宋体" w:cs="宋体"/>
          <w:sz w:val="24"/>
          <w:highlight w:val="none"/>
        </w:rPr>
        <w:t>②符合谈判文件和投标承诺中采购人认可的合理最佳配置、参数及各项要求；</w:t>
      </w:r>
    </w:p>
    <w:p w14:paraId="5500BF77">
      <w:pPr>
        <w:autoSpaceDE w:val="0"/>
        <w:autoSpaceDN w:val="0"/>
        <w:adjustRightInd w:val="0"/>
        <w:snapToGrid w:val="0"/>
        <w:spacing w:line="360" w:lineRule="auto"/>
        <w:ind w:firstLine="840" w:firstLineChars="350"/>
        <w:rPr>
          <w:rFonts w:hint="eastAsia" w:ascii="宋体" w:hAnsi="宋体" w:cs="宋体"/>
          <w:sz w:val="24"/>
          <w:highlight w:val="none"/>
        </w:rPr>
      </w:pPr>
      <w:r>
        <w:rPr>
          <w:rFonts w:hint="eastAsia" w:ascii="宋体" w:hAnsi="宋体" w:cs="宋体"/>
          <w:sz w:val="24"/>
          <w:highlight w:val="none"/>
        </w:rPr>
        <w:t>③货物来源国官方标准。</w:t>
      </w:r>
    </w:p>
    <w:p w14:paraId="1D280D23">
      <w:pPr>
        <w:autoSpaceDE w:val="0"/>
        <w:autoSpaceDN w:val="0"/>
        <w:adjustRightInd w:val="0"/>
        <w:snapToGrid w:val="0"/>
        <w:spacing w:line="360" w:lineRule="auto"/>
        <w:ind w:firstLine="840" w:firstLineChars="350"/>
        <w:rPr>
          <w:rFonts w:hint="eastAsia" w:ascii="宋体" w:hAnsi="宋体" w:cs="宋体"/>
          <w:sz w:val="24"/>
          <w:highlight w:val="none"/>
        </w:rPr>
      </w:pPr>
      <w:r>
        <w:rPr>
          <w:rFonts w:hint="eastAsia" w:ascii="宋体" w:hAnsi="宋体" w:cs="宋体"/>
          <w:sz w:val="24"/>
          <w:highlight w:val="none"/>
        </w:rPr>
        <w:t>上述标准必须是有关官方机构发布的最新版本的标准；</w:t>
      </w:r>
    </w:p>
    <w:p w14:paraId="209E0975">
      <w:pPr>
        <w:autoSpaceDE w:val="0"/>
        <w:autoSpaceDN w:val="0"/>
        <w:adjustRightInd w:val="0"/>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5.供应商须为验收提供必需的设备、工具及其他便利条件；</w:t>
      </w:r>
    </w:p>
    <w:p w14:paraId="0F9E1136">
      <w:pPr>
        <w:autoSpaceDE w:val="0"/>
        <w:autoSpaceDN w:val="0"/>
        <w:adjustRightInd w:val="0"/>
        <w:snapToGrid w:val="0"/>
        <w:spacing w:line="360" w:lineRule="auto"/>
        <w:ind w:firstLine="464" w:firstLineChars="200"/>
        <w:rPr>
          <w:rFonts w:hint="eastAsia" w:ascii="宋体" w:hAnsi="宋体" w:cs="宋体"/>
          <w:spacing w:val="-4"/>
          <w:sz w:val="24"/>
          <w:highlight w:val="none"/>
        </w:rPr>
      </w:pPr>
      <w:r>
        <w:rPr>
          <w:rFonts w:hint="eastAsia" w:ascii="宋体" w:hAnsi="宋体" w:cs="宋体"/>
          <w:spacing w:val="-4"/>
          <w:sz w:val="24"/>
          <w:highlight w:val="none"/>
        </w:rPr>
        <w:t>6.在验收过程中发现数量不足或有质量、技术等问题，供应商应负责按照采购人的要求采取补足、更换或退货等措施妥善处理，并承担由此发生的一切费用和损失；</w:t>
      </w:r>
    </w:p>
    <w:p w14:paraId="6C3982A8">
      <w:pPr>
        <w:autoSpaceDE w:val="0"/>
        <w:autoSpaceDN w:val="0"/>
        <w:adjustRightInd w:val="0"/>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7.对于不合格的货物，供应商必须在7个工作日里及时完成更换并重新对更换货物进行验收。</w:t>
      </w:r>
    </w:p>
    <w:p w14:paraId="5BCD789C">
      <w:pPr>
        <w:autoSpaceDE w:val="0"/>
        <w:autoSpaceDN w:val="0"/>
        <w:adjustRightInd w:val="0"/>
        <w:snapToGrid w:val="0"/>
        <w:spacing w:line="360" w:lineRule="auto"/>
        <w:rPr>
          <w:rFonts w:hint="eastAsia" w:ascii="宋体" w:hAnsi="宋体" w:cs="宋体"/>
          <w:b/>
          <w:bCs/>
          <w:sz w:val="24"/>
          <w:szCs w:val="24"/>
          <w:highlight w:val="none"/>
          <w:lang w:val="zh-CN"/>
        </w:rPr>
      </w:pPr>
      <w:r>
        <w:rPr>
          <w:rFonts w:hint="eastAsia" w:ascii="宋体" w:hAnsi="宋体" w:cs="宋体"/>
          <w:b/>
          <w:bCs/>
          <w:sz w:val="24"/>
          <w:szCs w:val="24"/>
          <w:highlight w:val="none"/>
          <w:lang w:val="zh-CN"/>
        </w:rPr>
        <w:t>（</w:t>
      </w:r>
      <w:r>
        <w:rPr>
          <w:rFonts w:hint="eastAsia" w:ascii="宋体" w:hAnsi="宋体" w:cs="宋体"/>
          <w:b/>
          <w:bCs/>
          <w:sz w:val="24"/>
          <w:szCs w:val="24"/>
          <w:highlight w:val="none"/>
          <w:lang w:val="en-US" w:eastAsia="zh-CN"/>
        </w:rPr>
        <w:t>九</w:t>
      </w:r>
      <w:r>
        <w:rPr>
          <w:rFonts w:hint="eastAsia" w:ascii="宋体" w:hAnsi="宋体" w:cs="宋体"/>
          <w:b/>
          <w:bCs/>
          <w:sz w:val="24"/>
          <w:szCs w:val="24"/>
          <w:highlight w:val="none"/>
          <w:lang w:val="zh-CN"/>
        </w:rPr>
        <w:t>）其它要求</w:t>
      </w:r>
    </w:p>
    <w:p w14:paraId="7B4778F3">
      <w:pPr>
        <w:autoSpaceDE w:val="0"/>
        <w:autoSpaceDN w:val="0"/>
        <w:snapToGrid w:val="0"/>
        <w:spacing w:line="360" w:lineRule="auto"/>
        <w:ind w:firstLine="566" w:firstLineChars="236"/>
        <w:rPr>
          <w:rFonts w:hint="eastAsia" w:ascii="宋体" w:hAnsi="宋体" w:cs="宋体"/>
          <w:sz w:val="24"/>
          <w:szCs w:val="24"/>
          <w:highlight w:val="none"/>
        </w:rPr>
      </w:pPr>
      <w:r>
        <w:rPr>
          <w:rFonts w:hint="eastAsia" w:ascii="宋体" w:hAnsi="宋体" w:cs="宋体"/>
          <w:sz w:val="24"/>
          <w:szCs w:val="24"/>
          <w:highlight w:val="none"/>
        </w:rPr>
        <w:t>1、供应商应该认真咨询、实地勘察，了解标的现状，并仔细阅读本次招标所提供的相关资料及特别规定。供应商参加投标，即表明供应商对标的的情况和特别规定的认可，投标成功后不得以未咨询或对标的不了解而提出异议或反悔。</w:t>
      </w:r>
    </w:p>
    <w:p w14:paraId="0F22D341">
      <w:pPr>
        <w:autoSpaceDE w:val="0"/>
        <w:autoSpaceDN w:val="0"/>
        <w:snapToGrid w:val="0"/>
        <w:spacing w:line="360" w:lineRule="auto"/>
        <w:ind w:firstLine="566" w:firstLineChars="236"/>
        <w:rPr>
          <w:rFonts w:hint="eastAsia" w:ascii="宋体" w:hAnsi="宋体" w:cs="宋体"/>
          <w:sz w:val="24"/>
          <w:szCs w:val="24"/>
          <w:highlight w:val="none"/>
        </w:rPr>
      </w:pPr>
      <w:r>
        <w:rPr>
          <w:rFonts w:hint="eastAsia" w:ascii="宋体" w:hAnsi="宋体" w:cs="宋体"/>
          <w:sz w:val="24"/>
          <w:szCs w:val="24"/>
          <w:highlight w:val="none"/>
        </w:rPr>
        <w:t>2、成交供应商应保证采购人在中华人民共和国使用成交供应商所提供的货物或货物的任何一部分时，免受第三方提出的侵犯其专利权、商标权的起诉；如果任何第三方提出侵权指控，成交供应商承担一切与之有关的责任。</w:t>
      </w:r>
    </w:p>
    <w:p w14:paraId="7F3B80EF">
      <w:pPr>
        <w:snapToGrid w:val="0"/>
        <w:spacing w:line="360" w:lineRule="auto"/>
        <w:ind w:left="239" w:leftChars="114"/>
        <w:rPr>
          <w:rFonts w:hint="eastAsia" w:ascii="宋体" w:hAnsi="宋体" w:cs="宋体"/>
          <w:sz w:val="24"/>
          <w:szCs w:val="24"/>
          <w:highlight w:val="none"/>
        </w:rPr>
      </w:pPr>
      <w:r>
        <w:rPr>
          <w:rFonts w:hint="eastAsia" w:ascii="宋体" w:hAnsi="宋体" w:cs="宋体"/>
          <w:sz w:val="24"/>
          <w:szCs w:val="24"/>
          <w:highlight w:val="none"/>
        </w:rPr>
        <w:t xml:space="preserve">  3、成交供应商在履行合同时，应按照民法典用工，若出现员工不符合办理“五项保险”条件时，成交供应商应给予上述员工办理有关“商业保险中的意外伤害险”，且意外伤害险所赔付的保额不得低于当期工伤保险的赔付额。</w:t>
      </w:r>
    </w:p>
    <w:p w14:paraId="53EBB255">
      <w:pPr>
        <w:snapToGrid w:val="0"/>
        <w:spacing w:line="360" w:lineRule="auto"/>
        <w:ind w:firstLine="480" w:firstLineChars="200"/>
        <w:rPr>
          <w:rFonts w:hint="eastAsia" w:ascii="宋体" w:hAnsi="宋体" w:cs="宋体"/>
          <w:kern w:val="1"/>
          <w:sz w:val="24"/>
          <w:szCs w:val="24"/>
          <w:highlight w:val="none"/>
        </w:rPr>
      </w:pPr>
      <w:r>
        <w:rPr>
          <w:rFonts w:hint="eastAsia" w:ascii="宋体" w:hAnsi="宋体" w:cs="宋体"/>
          <w:sz w:val="24"/>
          <w:szCs w:val="24"/>
          <w:highlight w:val="none"/>
        </w:rPr>
        <w:t>4、成交供应商</w:t>
      </w:r>
      <w:r>
        <w:rPr>
          <w:rFonts w:hint="eastAsia" w:ascii="宋体" w:hAnsi="宋体" w:cs="宋体"/>
          <w:kern w:val="1"/>
          <w:sz w:val="24"/>
          <w:szCs w:val="24"/>
          <w:highlight w:val="none"/>
        </w:rPr>
        <w:t>在履行合同期间，应对</w:t>
      </w:r>
      <w:r>
        <w:rPr>
          <w:rFonts w:hint="eastAsia" w:ascii="宋体" w:hAnsi="宋体" w:cs="宋体"/>
          <w:sz w:val="24"/>
          <w:szCs w:val="24"/>
          <w:highlight w:val="none"/>
        </w:rPr>
        <w:t>成交供应商</w:t>
      </w:r>
      <w:r>
        <w:rPr>
          <w:rFonts w:hint="eastAsia" w:ascii="宋体" w:hAnsi="宋体" w:cs="宋体"/>
          <w:kern w:val="1"/>
          <w:sz w:val="24"/>
          <w:szCs w:val="24"/>
          <w:highlight w:val="none"/>
        </w:rPr>
        <w:t>（或其雇佣人员）的疏忽、故意或过失而造成采购人的直接或间接损失、第三者的财产损失及安全责任事故等负责，并承担相应费用。</w:t>
      </w:r>
    </w:p>
    <w:p w14:paraId="7521780B">
      <w:pPr>
        <w:keepNext w:val="0"/>
        <w:keepLines w:val="0"/>
        <w:pageBreakBefore w:val="0"/>
        <w:widowControl w:val="0"/>
        <w:kinsoku/>
        <w:wordWrap/>
        <w:overflowPunct/>
        <w:topLinePunct w:val="0"/>
        <w:autoSpaceDE/>
        <w:autoSpaceDN/>
        <w:bidi w:val="0"/>
        <w:adjustRightInd/>
        <w:snapToGrid w:val="0"/>
        <w:spacing w:line="360" w:lineRule="auto"/>
        <w:ind w:left="0" w:leftChars="0" w:firstLine="417" w:firstLineChars="174"/>
        <w:jc w:val="left"/>
        <w:textAlignment w:val="auto"/>
        <w:outlineLvl w:val="9"/>
        <w:rPr>
          <w:rFonts w:hint="eastAsia" w:ascii="宋体" w:hAnsi="宋体" w:eastAsia="宋体" w:cs="宋体"/>
          <w:color w:val="auto"/>
          <w:sz w:val="24"/>
          <w:szCs w:val="24"/>
          <w:highlight w:val="none"/>
          <w:lang w:val="en-US" w:eastAsia="zh-CN"/>
        </w:rPr>
      </w:pPr>
      <w:r>
        <w:rPr>
          <w:rFonts w:hint="eastAsia" w:ascii="宋体" w:hAnsi="宋体" w:cs="宋体"/>
          <w:kern w:val="1"/>
          <w:sz w:val="24"/>
          <w:szCs w:val="24"/>
          <w:highlight w:val="none"/>
          <w:lang w:val="en-US" w:eastAsia="zh-CN"/>
        </w:rPr>
        <w:t>5、</w:t>
      </w:r>
      <w:r>
        <w:rPr>
          <w:rFonts w:hint="eastAsia" w:ascii="宋体" w:hAnsi="宋体" w:eastAsia="宋体" w:cs="宋体"/>
          <w:color w:val="auto"/>
          <w:sz w:val="24"/>
          <w:szCs w:val="24"/>
          <w:highlight w:val="none"/>
          <w:lang w:val="en-US" w:eastAsia="zh-CN"/>
        </w:rPr>
        <w:t>成交供应商违反合同约定不按时将采购人所需材料和设备送达到现场的,或者更换设备、零部件、材料等不及时给采购人造成损失或者更换设备零部件等存在不匹配或有质量问题导致采购人项目无法正常开展的，采购人有权扣除供应商的履约保证金。同时供应商应当向采购人承担合同金额 20%的违约责任，给采购人造成损失的，成交供应商还应当承担采购人的一切损失。</w:t>
      </w:r>
    </w:p>
    <w:p w14:paraId="5C0C668F">
      <w:pPr>
        <w:keepNext w:val="0"/>
        <w:keepLines w:val="0"/>
        <w:pageBreakBefore w:val="0"/>
        <w:widowControl w:val="0"/>
        <w:kinsoku/>
        <w:wordWrap/>
        <w:overflowPunct/>
        <w:topLinePunct w:val="0"/>
        <w:autoSpaceDE/>
        <w:autoSpaceDN/>
        <w:bidi w:val="0"/>
        <w:adjustRightInd/>
        <w:snapToGrid w:val="0"/>
        <w:spacing w:line="360" w:lineRule="auto"/>
        <w:ind w:left="0" w:leftChars="0" w:firstLine="417" w:firstLineChars="174"/>
        <w:jc w:val="left"/>
        <w:textAlignment w:val="auto"/>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6、资质要求</w:t>
      </w:r>
    </w:p>
    <w:p w14:paraId="334CA371">
      <w:pPr>
        <w:keepNext w:val="0"/>
        <w:keepLines w:val="0"/>
        <w:pageBreakBefore w:val="0"/>
        <w:widowControl w:val="0"/>
        <w:kinsoku/>
        <w:wordWrap/>
        <w:overflowPunct/>
        <w:topLinePunct w:val="0"/>
        <w:autoSpaceDE/>
        <w:autoSpaceDN/>
        <w:bidi w:val="0"/>
        <w:adjustRightInd/>
        <w:snapToGrid w:val="0"/>
        <w:spacing w:line="360" w:lineRule="auto"/>
        <w:ind w:left="0" w:leftChars="0" w:firstLine="419" w:firstLineChars="174"/>
        <w:jc w:val="left"/>
        <w:textAlignment w:val="auto"/>
        <w:outlineLvl w:val="9"/>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（1）施工队伍须具有满足本项目施工的资质要求。</w:t>
      </w:r>
    </w:p>
    <w:p w14:paraId="1AB4CE87">
      <w:pPr>
        <w:keepNext w:val="0"/>
        <w:keepLines w:val="0"/>
        <w:pageBreakBefore w:val="0"/>
        <w:widowControl w:val="0"/>
        <w:kinsoku/>
        <w:wordWrap/>
        <w:overflowPunct/>
        <w:topLinePunct w:val="0"/>
        <w:autoSpaceDE/>
        <w:autoSpaceDN/>
        <w:bidi w:val="0"/>
        <w:adjustRightInd/>
        <w:snapToGrid w:val="0"/>
        <w:spacing w:line="360" w:lineRule="auto"/>
        <w:ind w:left="0" w:leftChars="0" w:firstLine="419" w:firstLineChars="174"/>
        <w:jc w:val="left"/>
        <w:textAlignment w:val="auto"/>
        <w:outlineLvl w:val="9"/>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（2）余土外运队伍需要有相关资质。</w:t>
      </w:r>
    </w:p>
    <w:p w14:paraId="41E5EEF7">
      <w:pPr>
        <w:keepNext w:val="0"/>
        <w:keepLines w:val="0"/>
        <w:pageBreakBefore w:val="0"/>
        <w:widowControl w:val="0"/>
        <w:kinsoku/>
        <w:wordWrap/>
        <w:overflowPunct/>
        <w:topLinePunct w:val="0"/>
        <w:autoSpaceDE/>
        <w:autoSpaceDN/>
        <w:bidi w:val="0"/>
        <w:adjustRightInd/>
        <w:snapToGrid w:val="0"/>
        <w:spacing w:line="360" w:lineRule="auto"/>
        <w:ind w:left="0" w:leftChars="0" w:firstLine="419" w:firstLineChars="174"/>
        <w:jc w:val="left"/>
        <w:textAlignment w:val="auto"/>
        <w:outlineLvl w:val="9"/>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（3）配置机械台班其挖机、零星电焊台班的工作人员证件都在有效期内。</w:t>
      </w:r>
    </w:p>
    <w:p w14:paraId="1E5E9F67">
      <w:pPr>
        <w:keepNext w:val="0"/>
        <w:keepLines w:val="0"/>
        <w:pageBreakBefore w:val="0"/>
        <w:widowControl w:val="0"/>
        <w:kinsoku/>
        <w:wordWrap/>
        <w:overflowPunct/>
        <w:topLinePunct w:val="0"/>
        <w:autoSpaceDE/>
        <w:autoSpaceDN/>
        <w:bidi w:val="0"/>
        <w:adjustRightInd/>
        <w:snapToGrid w:val="0"/>
        <w:spacing w:line="360" w:lineRule="auto"/>
        <w:ind w:left="0" w:leftChars="0" w:firstLine="419" w:firstLineChars="174"/>
        <w:jc w:val="left"/>
        <w:textAlignment w:val="auto"/>
        <w:outlineLvl w:val="9"/>
        <w:rPr>
          <w:rFonts w:hint="default"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注：开工前采购人会组织检查相关证件、若无证件或过期证件，采购人可要求成交供应商更换人员，若成交供应商在施工中未满足上述要求，因此而造成的相关损失由成交供应商承担。</w:t>
      </w:r>
    </w:p>
    <w:p w14:paraId="44A04968">
      <w:pPr>
        <w:keepNext w:val="0"/>
        <w:keepLines w:val="0"/>
        <w:pageBreakBefore w:val="0"/>
        <w:widowControl w:val="0"/>
        <w:kinsoku/>
        <w:wordWrap/>
        <w:overflowPunct/>
        <w:topLinePunct w:val="0"/>
        <w:autoSpaceDE/>
        <w:autoSpaceDN/>
        <w:bidi w:val="0"/>
        <w:adjustRightInd/>
        <w:snapToGrid w:val="0"/>
        <w:spacing w:line="360" w:lineRule="auto"/>
        <w:ind w:left="0" w:leftChars="0" w:firstLine="417" w:firstLineChars="174"/>
        <w:jc w:val="left"/>
        <w:textAlignment w:val="auto"/>
        <w:outlineLvl w:val="9"/>
        <w:rPr>
          <w:rFonts w:hint="eastAsia" w:ascii="宋体" w:hAnsi="宋体" w:cs="宋体"/>
          <w:b/>
          <w:bCs/>
          <w:sz w:val="32"/>
          <w:szCs w:val="32"/>
          <w:highlight w:val="none"/>
          <w:lang w:val="zh-CN"/>
        </w:rPr>
      </w:pPr>
      <w:r>
        <w:rPr>
          <w:rFonts w:hint="eastAsia" w:ascii="宋体" w:hAnsi="宋体" w:eastAsia="宋体" w:cs="宋体"/>
          <w:color w:val="auto"/>
          <w:sz w:val="24"/>
          <w:szCs w:val="24"/>
          <w:highlight w:val="none"/>
          <w:lang w:val="en-US" w:eastAsia="zh-CN"/>
        </w:rPr>
        <w:t>7、其他未尽事宜可在合同中约定。</w:t>
      </w:r>
      <w:r>
        <w:rPr>
          <w:rFonts w:hint="eastAsia" w:ascii="宋体" w:hAnsi="宋体" w:eastAsia="宋体" w:cs="宋体"/>
          <w:color w:val="auto"/>
          <w:sz w:val="24"/>
          <w:szCs w:val="24"/>
          <w:highlight w:val="none"/>
          <w:lang w:val="zh-CN" w:eastAsia="zh-CN"/>
        </w:rPr>
        <w:t xml:space="preserve">   </w:t>
      </w:r>
      <w:r>
        <w:rPr>
          <w:rFonts w:hint="eastAsia" w:ascii="宋体" w:hAnsi="宋体" w:cs="宋体"/>
          <w:b/>
          <w:bCs/>
          <w:sz w:val="32"/>
          <w:szCs w:val="32"/>
          <w:highlight w:val="none"/>
          <w:lang w:val="zh-CN"/>
        </w:rPr>
        <w:t xml:space="preserve">  </w:t>
      </w:r>
    </w:p>
    <w:p w14:paraId="2BE377CD">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0C77984"/>
    <w:multiLevelType w:val="singleLevel"/>
    <w:tmpl w:val="50C77984"/>
    <w:lvl w:ilvl="0" w:tentative="0">
      <w:start w:val="1"/>
      <w:numFmt w:val="decimal"/>
      <w:suff w:val="nothing"/>
      <w:lvlText w:val="（%1）"/>
      <w:lvlJc w:val="left"/>
    </w:lvl>
  </w:abstractNum>
  <w:abstractNum w:abstractNumId="1">
    <w:nsid w:val="61C7FBEF"/>
    <w:multiLevelType w:val="singleLevel"/>
    <w:tmpl w:val="61C7FBEF"/>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B6A4930"/>
    <w:rsid w:val="4B6A49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7">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Plain Text"/>
    <w:basedOn w:val="1"/>
    <w:qFormat/>
    <w:uiPriority w:val="99"/>
    <w:pPr>
      <w:ind w:firstLine="560" w:firstLineChars="200"/>
    </w:pPr>
  </w:style>
  <w:style w:type="table" w:styleId="6">
    <w:name w:val="Table Grid"/>
    <w:basedOn w:val="5"/>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2025-05-06T07:18:00Z</dcterms:created>
  <dc:creator>Clytze</dc:creator>
  <cp:lastModifiedBy>Clytze</cp:lastModifiedBy>
  <dcterms:modified xsi:type="dcterms:W3CDTF">2025-05-06T07:18:17Z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1890B2E26FE3495E85444E3DAB2880C9_11</vt:lpwstr>
  </property>
  <property fmtid="{D5CDD505-2E9C-101B-9397-08002B2CF9AE}" pid="4" name="KSOTemplateDocerSaveRecord">
    <vt:lpwstr>eyJoZGlkIjoiYzI4NDlmMDhjNjE5NThkMzI5YzUwOTM0OTg3YzQ1ZDEiLCJ1c2VySWQiOiIyODAzMzM3OTUifQ==</vt:lpwstr>
  </property>
</Properties>
</file>