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3BBC5">
      <w:pPr>
        <w:jc w:val="center"/>
        <w:rPr>
          <w:rFonts w:hint="eastAsia"/>
          <w:sz w:val="84"/>
          <w:szCs w:val="84"/>
        </w:rPr>
      </w:pPr>
    </w:p>
    <w:p w14:paraId="78572EC8">
      <w:pPr>
        <w:pStyle w:val="12"/>
        <w:rPr>
          <w:sz w:val="84"/>
          <w:szCs w:val="84"/>
        </w:rPr>
      </w:pPr>
    </w:p>
    <w:p w14:paraId="43AAB407">
      <w:pPr>
        <w:pStyle w:val="13"/>
        <w:rPr>
          <w:rFonts w:hint="eastAsia"/>
        </w:rPr>
      </w:pPr>
    </w:p>
    <w:p w14:paraId="06C956AD">
      <w:pPr>
        <w:jc w:val="center"/>
        <w:rPr>
          <w:rFonts w:hint="eastAsia"/>
          <w:sz w:val="84"/>
          <w:szCs w:val="84"/>
          <w:lang w:eastAsia="zh-CN"/>
        </w:rPr>
      </w:pPr>
      <w:r>
        <w:rPr>
          <w:sz w:val="84"/>
          <w:szCs w:val="84"/>
          <w:lang w:eastAsia="zh-CN"/>
        </w:rPr>
        <w:t>电子化公开招标文件</w:t>
      </w:r>
    </w:p>
    <w:p w14:paraId="750ECE10">
      <w:pPr>
        <w:pStyle w:val="5"/>
        <w:spacing w:before="662" w:line="484" w:lineRule="auto"/>
        <w:ind w:left="2822" w:leftChars="589" w:right="1521" w:hanging="1526" w:hangingChars="500"/>
        <w:rPr>
          <w:rFonts w:hint="eastAsia"/>
          <w:w w:val="95"/>
          <w:lang w:eastAsia="zh-CN"/>
        </w:rPr>
      </w:pPr>
      <w:bookmarkStart w:id="0" w:name="_Toc11870"/>
      <w:bookmarkStart w:id="1" w:name="_Toc9530"/>
    </w:p>
    <w:p w14:paraId="540423E3">
      <w:pPr>
        <w:pStyle w:val="5"/>
        <w:spacing w:before="662" w:line="484" w:lineRule="auto"/>
        <w:ind w:left="2822" w:leftChars="589" w:right="1521" w:hanging="1526" w:hangingChars="500"/>
        <w:rPr>
          <w:rFonts w:hint="eastAsia"/>
          <w:w w:val="95"/>
          <w:lang w:eastAsia="zh-CN"/>
        </w:rPr>
      </w:pPr>
      <w:r>
        <w:rPr>
          <w:w w:val="95"/>
          <w:lang w:eastAsia="zh-CN"/>
        </w:rPr>
        <w:t>项目名称：</w:t>
      </w:r>
      <w:bookmarkEnd w:id="0"/>
      <w:bookmarkEnd w:id="1"/>
      <w:r>
        <w:rPr>
          <w:rFonts w:hint="eastAsia"/>
          <w:w w:val="95"/>
          <w:lang w:eastAsia="zh-CN"/>
        </w:rPr>
        <w:t>上饶经开区雨污水管网检测服务工程</w:t>
      </w:r>
    </w:p>
    <w:p w14:paraId="3DE1A0D8">
      <w:pPr>
        <w:pStyle w:val="5"/>
        <w:spacing w:before="662" w:line="484" w:lineRule="auto"/>
        <w:ind w:left="2902" w:leftChars="589" w:right="1521" w:hanging="1606" w:hangingChars="500"/>
        <w:rPr>
          <w:rFonts w:hint="eastAsia"/>
          <w:lang w:eastAsia="zh-CN"/>
        </w:rPr>
      </w:pPr>
      <w:bookmarkStart w:id="2" w:name="_Toc28645"/>
      <w:bookmarkStart w:id="3" w:name="_Toc29266"/>
      <w:r>
        <w:rPr>
          <w:lang w:eastAsia="zh-CN"/>
        </w:rPr>
        <w:t>项目编号：</w:t>
      </w:r>
      <w:bookmarkEnd w:id="2"/>
      <w:bookmarkEnd w:id="3"/>
      <w:r>
        <w:rPr>
          <w:rFonts w:hint="eastAsia"/>
          <w:lang w:eastAsia="zh-CN"/>
        </w:rPr>
        <w:t>HWSR-202411081</w:t>
      </w:r>
    </w:p>
    <w:p w14:paraId="13E44F18">
      <w:pPr>
        <w:pStyle w:val="8"/>
        <w:rPr>
          <w:rFonts w:hint="eastAsia"/>
          <w:b/>
          <w:sz w:val="32"/>
          <w:lang w:eastAsia="zh-CN"/>
        </w:rPr>
      </w:pPr>
    </w:p>
    <w:p w14:paraId="38BB1047">
      <w:pPr>
        <w:pStyle w:val="8"/>
        <w:rPr>
          <w:rFonts w:hint="eastAsia"/>
          <w:b/>
          <w:sz w:val="32"/>
          <w:lang w:eastAsia="zh-CN"/>
        </w:rPr>
      </w:pPr>
    </w:p>
    <w:p w14:paraId="7B6C5559">
      <w:pPr>
        <w:spacing w:before="210" w:line="484" w:lineRule="auto"/>
        <w:ind w:right="2762"/>
        <w:jc w:val="center"/>
        <w:rPr>
          <w:rFonts w:hint="eastAsia"/>
          <w:b/>
          <w:sz w:val="36"/>
          <w:lang w:eastAsia="zh-CN"/>
        </w:rPr>
      </w:pPr>
      <w:r>
        <w:rPr>
          <w:rFonts w:hint="eastAsia"/>
          <w:b/>
          <w:sz w:val="36"/>
          <w:lang w:eastAsia="zh-CN"/>
        </w:rPr>
        <w:t xml:space="preserve">           </w:t>
      </w:r>
    </w:p>
    <w:p w14:paraId="06132435">
      <w:pPr>
        <w:jc w:val="center"/>
        <w:rPr>
          <w:rFonts w:hint="eastAsia"/>
          <w:b/>
          <w:bCs/>
          <w:sz w:val="32"/>
          <w:szCs w:val="32"/>
          <w:lang w:eastAsia="zh-CN"/>
        </w:rPr>
      </w:pPr>
      <w:r>
        <w:rPr>
          <w:rFonts w:hint="eastAsia"/>
          <w:b/>
          <w:bCs/>
          <w:sz w:val="32"/>
          <w:szCs w:val="32"/>
          <w:lang w:eastAsia="zh-CN"/>
        </w:rPr>
        <w:t>浩玟（江西）工程管理有限公司</w:t>
      </w:r>
    </w:p>
    <w:p w14:paraId="2760B5E2">
      <w:pPr>
        <w:jc w:val="center"/>
        <w:rPr>
          <w:rFonts w:hint="eastAsia"/>
          <w:b/>
          <w:bCs/>
          <w:sz w:val="32"/>
          <w:szCs w:val="32"/>
          <w:lang w:eastAsia="zh-CN"/>
        </w:rPr>
      </w:pPr>
      <w:r>
        <w:rPr>
          <w:b/>
          <w:bCs/>
          <w:sz w:val="32"/>
          <w:szCs w:val="32"/>
        </w:rPr>
        <w:t>中国.</w:t>
      </w:r>
      <w:r>
        <w:rPr>
          <w:rFonts w:hint="eastAsia"/>
          <w:b/>
          <w:bCs/>
          <w:sz w:val="32"/>
          <w:szCs w:val="32"/>
          <w:lang w:eastAsia="zh-CN"/>
        </w:rPr>
        <w:t>江西</w:t>
      </w:r>
    </w:p>
    <w:p w14:paraId="57554F75">
      <w:pPr>
        <w:rPr>
          <w:rFonts w:hint="eastAsia"/>
          <w:b/>
          <w:bCs/>
          <w:sz w:val="32"/>
          <w:szCs w:val="32"/>
        </w:rPr>
        <w:sectPr>
          <w:type w:val="continuous"/>
          <w:pgSz w:w="11910" w:h="16840"/>
          <w:pgMar w:top="1440" w:right="1080" w:bottom="1440" w:left="1080" w:header="720" w:footer="720" w:gutter="0"/>
          <w:cols w:space="720" w:num="1"/>
        </w:sectPr>
      </w:pPr>
    </w:p>
    <w:sdt>
      <w:sdtPr>
        <w:rPr>
          <w:rFonts w:ascii="宋体" w:hAnsi="宋体" w:eastAsia="宋体"/>
          <w:b/>
          <w:bCs/>
          <w:sz w:val="21"/>
        </w:rPr>
        <w:id w:val="147459635"/>
        <w15:color w:val="DBDBDB"/>
      </w:sdtPr>
      <w:sdtEndPr>
        <w:rPr>
          <w:rFonts w:ascii="仿宋" w:hAnsi="仿宋" w:eastAsia="仿宋"/>
          <w:b/>
          <w:bCs/>
          <w:sz w:val="32"/>
          <w:szCs w:val="32"/>
        </w:rPr>
      </w:sdtEndPr>
      <w:sdtContent>
        <w:p w14:paraId="4538EEDA">
          <w:pPr>
            <w:spacing w:line="360" w:lineRule="auto"/>
            <w:jc w:val="center"/>
            <w:rPr>
              <w:rFonts w:hint="eastAsia"/>
              <w:sz w:val="24"/>
              <w:szCs w:val="24"/>
            </w:rPr>
          </w:pPr>
          <w:r>
            <w:rPr>
              <w:rFonts w:hint="eastAsia"/>
              <w:sz w:val="24"/>
              <w:szCs w:val="24"/>
            </w:rPr>
            <w:t>目录</w:t>
          </w:r>
          <w:r>
            <w:rPr>
              <w:rFonts w:hint="eastAsia"/>
              <w:sz w:val="24"/>
              <w:szCs w:val="24"/>
            </w:rPr>
            <w:fldChar w:fldCharType="begin"/>
          </w:r>
          <w:r>
            <w:rPr>
              <w:rFonts w:hint="eastAsia"/>
              <w:sz w:val="24"/>
              <w:szCs w:val="24"/>
            </w:rPr>
            <w:instrText xml:space="preserve">TOC \o "1-2" \h \u </w:instrText>
          </w:r>
          <w:r>
            <w:rPr>
              <w:rFonts w:hint="eastAsia"/>
              <w:sz w:val="24"/>
              <w:szCs w:val="24"/>
            </w:rPr>
            <w:fldChar w:fldCharType="separate"/>
          </w:r>
        </w:p>
        <w:p w14:paraId="3430078C">
          <w:pPr>
            <w:pStyle w:val="15"/>
            <w:tabs>
              <w:tab w:val="right" w:pos="2400"/>
              <w:tab w:val="right" w:leader="dot" w:pos="9890"/>
            </w:tabs>
            <w:spacing w:line="360" w:lineRule="auto"/>
            <w:rPr>
              <w:rFonts w:hint="eastAsia"/>
              <w:sz w:val="24"/>
              <w:szCs w:val="24"/>
            </w:rPr>
          </w:pPr>
          <w:r>
            <w:fldChar w:fldCharType="begin"/>
          </w:r>
          <w:r>
            <w:instrText xml:space="preserve"> HYPERLINK \l "_Toc21894" </w:instrText>
          </w:r>
          <w:r>
            <w:fldChar w:fldCharType="separate"/>
          </w:r>
          <w:r>
            <w:rPr>
              <w:rFonts w:hint="eastAsia"/>
              <w:sz w:val="24"/>
              <w:szCs w:val="24"/>
            </w:rPr>
            <w:t>第一章</w:t>
          </w:r>
          <w:r>
            <w:rPr>
              <w:rFonts w:hint="eastAsia"/>
              <w:sz w:val="24"/>
              <w:szCs w:val="24"/>
            </w:rPr>
            <w:tab/>
          </w:r>
          <w:r>
            <w:rPr>
              <w:rFonts w:hint="eastAsia"/>
              <w:sz w:val="24"/>
              <w:szCs w:val="24"/>
            </w:rPr>
            <w:t>投标邀请</w:t>
          </w:r>
          <w:r>
            <w:rPr>
              <w:rFonts w:hint="eastAsia"/>
              <w:sz w:val="24"/>
              <w:szCs w:val="24"/>
            </w:rPr>
            <w:tab/>
          </w:r>
          <w:r>
            <w:rPr>
              <w:rFonts w:hint="eastAsia"/>
              <w:sz w:val="24"/>
              <w:szCs w:val="24"/>
            </w:rPr>
            <w:fldChar w:fldCharType="begin"/>
          </w:r>
          <w:r>
            <w:rPr>
              <w:rFonts w:hint="eastAsia"/>
              <w:sz w:val="24"/>
              <w:szCs w:val="24"/>
            </w:rPr>
            <w:instrText xml:space="preserve"> PAGEREF _Toc21894 \h </w:instrText>
          </w:r>
          <w:r>
            <w:rPr>
              <w:rFonts w:hint="eastAsia"/>
              <w:sz w:val="24"/>
              <w:szCs w:val="24"/>
            </w:rPr>
            <w:fldChar w:fldCharType="separate"/>
          </w:r>
          <w:r>
            <w:rPr>
              <w:rFonts w:hint="eastAsia"/>
              <w:sz w:val="24"/>
              <w:szCs w:val="24"/>
            </w:rPr>
            <w:t>1</w:t>
          </w:r>
          <w:r>
            <w:rPr>
              <w:rFonts w:hint="eastAsia"/>
              <w:sz w:val="24"/>
              <w:szCs w:val="24"/>
            </w:rPr>
            <w:fldChar w:fldCharType="end"/>
          </w:r>
          <w:r>
            <w:rPr>
              <w:rFonts w:hint="eastAsia"/>
              <w:sz w:val="24"/>
              <w:szCs w:val="24"/>
            </w:rPr>
            <w:fldChar w:fldCharType="end"/>
          </w:r>
        </w:p>
        <w:p w14:paraId="319E6458">
          <w:pPr>
            <w:pStyle w:val="15"/>
            <w:tabs>
              <w:tab w:val="right" w:pos="2400"/>
              <w:tab w:val="right" w:leader="dot" w:pos="9890"/>
            </w:tabs>
            <w:spacing w:line="360" w:lineRule="auto"/>
            <w:rPr>
              <w:rFonts w:hint="eastAsia"/>
              <w:sz w:val="24"/>
              <w:szCs w:val="24"/>
            </w:rPr>
          </w:pPr>
          <w:r>
            <w:fldChar w:fldCharType="begin"/>
          </w:r>
          <w:r>
            <w:instrText xml:space="preserve"> HYPERLINK \l "_Toc8906" </w:instrText>
          </w:r>
          <w:r>
            <w:fldChar w:fldCharType="separate"/>
          </w:r>
          <w:r>
            <w:rPr>
              <w:rFonts w:hint="eastAsia"/>
              <w:sz w:val="24"/>
              <w:szCs w:val="24"/>
            </w:rPr>
            <w:t>第二章</w:t>
          </w:r>
          <w:r>
            <w:rPr>
              <w:rFonts w:hint="eastAsia"/>
              <w:sz w:val="24"/>
              <w:szCs w:val="24"/>
            </w:rPr>
            <w:tab/>
          </w:r>
          <w:r>
            <w:rPr>
              <w:rFonts w:hint="eastAsia"/>
              <w:sz w:val="24"/>
              <w:szCs w:val="24"/>
              <w:lang w:eastAsia="zh-CN"/>
            </w:rPr>
            <w:t xml:space="preserve">      </w:t>
          </w:r>
          <w:r>
            <w:rPr>
              <w:rFonts w:hint="eastAsia"/>
              <w:w w:val="95"/>
              <w:sz w:val="24"/>
              <w:szCs w:val="24"/>
            </w:rPr>
            <w:t>投标人须知</w:t>
          </w:r>
          <w:r>
            <w:rPr>
              <w:rFonts w:hint="eastAsia"/>
              <w:sz w:val="24"/>
              <w:szCs w:val="24"/>
            </w:rPr>
            <w:tab/>
          </w:r>
          <w:r>
            <w:rPr>
              <w:rFonts w:hint="eastAsia"/>
              <w:sz w:val="24"/>
              <w:szCs w:val="24"/>
            </w:rPr>
            <w:fldChar w:fldCharType="begin"/>
          </w:r>
          <w:r>
            <w:rPr>
              <w:rFonts w:hint="eastAsia"/>
              <w:sz w:val="24"/>
              <w:szCs w:val="24"/>
            </w:rPr>
            <w:instrText xml:space="preserve"> PAGEREF _Toc8906 \h </w:instrText>
          </w:r>
          <w:r>
            <w:rPr>
              <w:rFonts w:hint="eastAsia"/>
              <w:sz w:val="24"/>
              <w:szCs w:val="24"/>
            </w:rPr>
            <w:fldChar w:fldCharType="separate"/>
          </w:r>
          <w:r>
            <w:rPr>
              <w:rFonts w:hint="eastAsia"/>
              <w:sz w:val="24"/>
              <w:szCs w:val="24"/>
            </w:rPr>
            <w:t>3</w:t>
          </w:r>
          <w:r>
            <w:rPr>
              <w:rFonts w:hint="eastAsia"/>
              <w:sz w:val="24"/>
              <w:szCs w:val="24"/>
            </w:rPr>
            <w:fldChar w:fldCharType="end"/>
          </w:r>
          <w:r>
            <w:rPr>
              <w:rFonts w:hint="eastAsia"/>
              <w:sz w:val="24"/>
              <w:szCs w:val="24"/>
            </w:rPr>
            <w:fldChar w:fldCharType="end"/>
          </w:r>
        </w:p>
        <w:p w14:paraId="247C5FAF">
          <w:pPr>
            <w:pStyle w:val="15"/>
            <w:tabs>
              <w:tab w:val="right" w:leader="dot" w:pos="9890"/>
            </w:tabs>
            <w:spacing w:line="360" w:lineRule="auto"/>
            <w:rPr>
              <w:rFonts w:hint="eastAsia"/>
              <w:sz w:val="24"/>
              <w:szCs w:val="24"/>
            </w:rPr>
          </w:pPr>
          <w:r>
            <w:fldChar w:fldCharType="begin"/>
          </w:r>
          <w:r>
            <w:instrText xml:space="preserve"> HYPERLINK \l "_Toc16755" </w:instrText>
          </w:r>
          <w:r>
            <w:fldChar w:fldCharType="separate"/>
          </w:r>
          <w:r>
            <w:rPr>
              <w:rFonts w:hint="eastAsia"/>
              <w:sz w:val="24"/>
              <w:szCs w:val="24"/>
            </w:rPr>
            <w:t>第三章</w:t>
          </w:r>
          <w:r>
            <w:rPr>
              <w:rFonts w:hint="eastAsia"/>
              <w:sz w:val="24"/>
              <w:szCs w:val="24"/>
              <w:lang w:eastAsia="zh-CN"/>
            </w:rPr>
            <w:t xml:space="preserve">      </w:t>
          </w:r>
          <w:r>
            <w:rPr>
              <w:rFonts w:hint="eastAsia"/>
              <w:sz w:val="24"/>
              <w:szCs w:val="24"/>
            </w:rPr>
            <w:t>拟签订的合同文本</w:t>
          </w:r>
          <w:r>
            <w:rPr>
              <w:rFonts w:hint="eastAsia"/>
              <w:sz w:val="24"/>
              <w:szCs w:val="24"/>
            </w:rPr>
            <w:tab/>
          </w:r>
          <w:r>
            <w:rPr>
              <w:rFonts w:hint="eastAsia"/>
              <w:sz w:val="24"/>
              <w:szCs w:val="24"/>
            </w:rPr>
            <w:fldChar w:fldCharType="begin"/>
          </w:r>
          <w:r>
            <w:rPr>
              <w:rFonts w:hint="eastAsia"/>
              <w:sz w:val="24"/>
              <w:szCs w:val="24"/>
            </w:rPr>
            <w:instrText xml:space="preserve"> PAGEREF _Toc16755 \h </w:instrText>
          </w:r>
          <w:r>
            <w:rPr>
              <w:rFonts w:hint="eastAsia"/>
              <w:sz w:val="24"/>
              <w:szCs w:val="24"/>
            </w:rPr>
            <w:fldChar w:fldCharType="separate"/>
          </w:r>
          <w:r>
            <w:rPr>
              <w:rFonts w:hint="eastAsia"/>
              <w:sz w:val="24"/>
              <w:szCs w:val="24"/>
            </w:rPr>
            <w:t>18</w:t>
          </w:r>
          <w:r>
            <w:rPr>
              <w:rFonts w:hint="eastAsia"/>
              <w:sz w:val="24"/>
              <w:szCs w:val="24"/>
            </w:rPr>
            <w:fldChar w:fldCharType="end"/>
          </w:r>
          <w:r>
            <w:rPr>
              <w:rFonts w:hint="eastAsia"/>
              <w:sz w:val="24"/>
              <w:szCs w:val="24"/>
            </w:rPr>
            <w:fldChar w:fldCharType="end"/>
          </w:r>
        </w:p>
        <w:p w14:paraId="526F7CA3">
          <w:pPr>
            <w:pStyle w:val="15"/>
            <w:tabs>
              <w:tab w:val="right" w:leader="dot" w:pos="9890"/>
            </w:tabs>
            <w:spacing w:line="360" w:lineRule="auto"/>
            <w:rPr>
              <w:rFonts w:hint="eastAsia"/>
              <w:sz w:val="24"/>
              <w:szCs w:val="24"/>
            </w:rPr>
          </w:pPr>
          <w:r>
            <w:fldChar w:fldCharType="begin"/>
          </w:r>
          <w:r>
            <w:instrText xml:space="preserve"> HYPERLINK \l "_Toc22774" </w:instrText>
          </w:r>
          <w:r>
            <w:fldChar w:fldCharType="separate"/>
          </w:r>
          <w:r>
            <w:rPr>
              <w:rFonts w:hint="eastAsia"/>
              <w:sz w:val="24"/>
              <w:szCs w:val="24"/>
            </w:rPr>
            <w:t>第四章</w:t>
          </w:r>
          <w:r>
            <w:rPr>
              <w:rFonts w:hint="eastAsia"/>
              <w:sz w:val="24"/>
              <w:szCs w:val="24"/>
              <w:lang w:eastAsia="zh-CN"/>
            </w:rPr>
            <w:t xml:space="preserve">      </w:t>
          </w:r>
          <w:r>
            <w:rPr>
              <w:rFonts w:hint="eastAsia"/>
              <w:sz w:val="24"/>
              <w:szCs w:val="24"/>
            </w:rPr>
            <w:t>投标文件格式</w:t>
          </w:r>
          <w:r>
            <w:rPr>
              <w:rFonts w:hint="eastAsia"/>
              <w:sz w:val="24"/>
              <w:szCs w:val="24"/>
            </w:rPr>
            <w:tab/>
          </w:r>
          <w:r>
            <w:rPr>
              <w:rFonts w:hint="eastAsia"/>
              <w:sz w:val="24"/>
              <w:szCs w:val="24"/>
            </w:rPr>
            <w:fldChar w:fldCharType="begin"/>
          </w:r>
          <w:r>
            <w:rPr>
              <w:rFonts w:hint="eastAsia"/>
              <w:sz w:val="24"/>
              <w:szCs w:val="24"/>
            </w:rPr>
            <w:instrText xml:space="preserve"> PAGEREF _Toc22774 \h </w:instrText>
          </w:r>
          <w:r>
            <w:rPr>
              <w:rFonts w:hint="eastAsia"/>
              <w:sz w:val="24"/>
              <w:szCs w:val="24"/>
            </w:rPr>
            <w:fldChar w:fldCharType="separate"/>
          </w:r>
          <w:r>
            <w:rPr>
              <w:rFonts w:hint="eastAsia"/>
              <w:sz w:val="24"/>
              <w:szCs w:val="24"/>
            </w:rPr>
            <w:t>21</w:t>
          </w:r>
          <w:r>
            <w:rPr>
              <w:rFonts w:hint="eastAsia"/>
              <w:sz w:val="24"/>
              <w:szCs w:val="24"/>
            </w:rPr>
            <w:fldChar w:fldCharType="end"/>
          </w:r>
          <w:r>
            <w:rPr>
              <w:rFonts w:hint="eastAsia"/>
              <w:sz w:val="24"/>
              <w:szCs w:val="24"/>
            </w:rPr>
            <w:fldChar w:fldCharType="end"/>
          </w:r>
        </w:p>
        <w:p w14:paraId="1A0D5EAC">
          <w:pPr>
            <w:pStyle w:val="15"/>
            <w:tabs>
              <w:tab w:val="right" w:pos="2400"/>
              <w:tab w:val="right" w:leader="dot" w:pos="9890"/>
            </w:tabs>
            <w:spacing w:line="360" w:lineRule="auto"/>
            <w:rPr>
              <w:rFonts w:hint="eastAsia"/>
              <w:sz w:val="24"/>
              <w:szCs w:val="24"/>
            </w:rPr>
          </w:pPr>
          <w:r>
            <w:fldChar w:fldCharType="begin"/>
          </w:r>
          <w:r>
            <w:instrText xml:space="preserve"> HYPERLINK \l "_Toc17730" </w:instrText>
          </w:r>
          <w:r>
            <w:fldChar w:fldCharType="separate"/>
          </w:r>
          <w:r>
            <w:rPr>
              <w:rFonts w:hint="eastAsia"/>
              <w:sz w:val="24"/>
              <w:szCs w:val="24"/>
            </w:rPr>
            <w:t>第五章</w:t>
          </w:r>
          <w:r>
            <w:rPr>
              <w:rFonts w:hint="eastAsia"/>
              <w:sz w:val="24"/>
              <w:szCs w:val="24"/>
              <w:lang w:eastAsia="zh-CN"/>
            </w:rPr>
            <w:t xml:space="preserve">      采</w:t>
          </w:r>
          <w:r>
            <w:rPr>
              <w:rFonts w:hint="eastAsia"/>
              <w:sz w:val="24"/>
              <w:szCs w:val="24"/>
            </w:rPr>
            <w:tab/>
          </w:r>
          <w:r>
            <w:rPr>
              <w:rFonts w:hint="eastAsia"/>
              <w:sz w:val="24"/>
              <w:szCs w:val="24"/>
            </w:rPr>
            <w:t>购清单、技术条款及商务条款</w:t>
          </w:r>
          <w:r>
            <w:rPr>
              <w:rFonts w:hint="eastAsia"/>
              <w:sz w:val="24"/>
              <w:szCs w:val="24"/>
            </w:rPr>
            <w:tab/>
          </w:r>
          <w:r>
            <w:rPr>
              <w:rFonts w:hint="eastAsia"/>
              <w:sz w:val="24"/>
              <w:szCs w:val="24"/>
            </w:rPr>
            <w:fldChar w:fldCharType="begin"/>
          </w:r>
          <w:r>
            <w:rPr>
              <w:rFonts w:hint="eastAsia"/>
              <w:sz w:val="24"/>
              <w:szCs w:val="24"/>
            </w:rPr>
            <w:instrText xml:space="preserve"> PAGEREF _Toc17730 \h </w:instrText>
          </w:r>
          <w:r>
            <w:rPr>
              <w:rFonts w:hint="eastAsia"/>
              <w:sz w:val="24"/>
              <w:szCs w:val="24"/>
            </w:rPr>
            <w:fldChar w:fldCharType="separate"/>
          </w:r>
          <w:r>
            <w:rPr>
              <w:rFonts w:hint="eastAsia"/>
              <w:sz w:val="24"/>
              <w:szCs w:val="24"/>
            </w:rPr>
            <w:t>34</w:t>
          </w:r>
          <w:r>
            <w:rPr>
              <w:rFonts w:hint="eastAsia"/>
              <w:sz w:val="24"/>
              <w:szCs w:val="24"/>
            </w:rPr>
            <w:fldChar w:fldCharType="end"/>
          </w:r>
          <w:r>
            <w:rPr>
              <w:rFonts w:hint="eastAsia"/>
              <w:sz w:val="24"/>
              <w:szCs w:val="24"/>
            </w:rPr>
            <w:fldChar w:fldCharType="end"/>
          </w:r>
        </w:p>
        <w:p w14:paraId="0DF59DB7">
          <w:pPr>
            <w:pStyle w:val="15"/>
            <w:tabs>
              <w:tab w:val="right" w:leader="dot" w:pos="9890"/>
            </w:tabs>
            <w:spacing w:line="360" w:lineRule="auto"/>
            <w:rPr>
              <w:rFonts w:hint="eastAsia"/>
              <w:sz w:val="24"/>
              <w:szCs w:val="24"/>
            </w:rPr>
          </w:pPr>
          <w:r>
            <w:fldChar w:fldCharType="begin"/>
          </w:r>
          <w:r>
            <w:instrText xml:space="preserve"> HYPERLINK \l "_Toc5676" </w:instrText>
          </w:r>
          <w:r>
            <w:fldChar w:fldCharType="separate"/>
          </w:r>
          <w:r>
            <w:rPr>
              <w:rFonts w:hint="eastAsia"/>
              <w:sz w:val="24"/>
              <w:szCs w:val="24"/>
            </w:rPr>
            <w:t>第六章</w:t>
          </w:r>
          <w:r>
            <w:rPr>
              <w:rFonts w:hint="eastAsia"/>
              <w:sz w:val="24"/>
              <w:szCs w:val="24"/>
              <w:lang w:eastAsia="zh-CN"/>
            </w:rPr>
            <w:t xml:space="preserve">      </w:t>
          </w:r>
          <w:r>
            <w:rPr>
              <w:rFonts w:hint="eastAsia"/>
              <w:sz w:val="24"/>
              <w:szCs w:val="24"/>
            </w:rPr>
            <w:t>评标标准</w:t>
          </w:r>
          <w:r>
            <w:rPr>
              <w:rFonts w:hint="eastAsia"/>
              <w:sz w:val="24"/>
              <w:szCs w:val="24"/>
            </w:rPr>
            <w:tab/>
          </w:r>
          <w:r>
            <w:rPr>
              <w:rFonts w:hint="eastAsia"/>
              <w:sz w:val="24"/>
              <w:szCs w:val="24"/>
            </w:rPr>
            <w:fldChar w:fldCharType="begin"/>
          </w:r>
          <w:r>
            <w:rPr>
              <w:rFonts w:hint="eastAsia"/>
              <w:sz w:val="24"/>
              <w:szCs w:val="24"/>
            </w:rPr>
            <w:instrText xml:space="preserve"> PAGEREF _Toc5676 \h </w:instrText>
          </w:r>
          <w:r>
            <w:rPr>
              <w:rFonts w:hint="eastAsia"/>
              <w:sz w:val="24"/>
              <w:szCs w:val="24"/>
            </w:rPr>
            <w:fldChar w:fldCharType="separate"/>
          </w:r>
          <w:r>
            <w:rPr>
              <w:rFonts w:hint="eastAsia"/>
              <w:sz w:val="24"/>
              <w:szCs w:val="24"/>
            </w:rPr>
            <w:t>37</w:t>
          </w:r>
          <w:r>
            <w:rPr>
              <w:rFonts w:hint="eastAsia"/>
              <w:sz w:val="24"/>
              <w:szCs w:val="24"/>
            </w:rPr>
            <w:fldChar w:fldCharType="end"/>
          </w:r>
          <w:r>
            <w:rPr>
              <w:rFonts w:hint="eastAsia"/>
              <w:sz w:val="24"/>
              <w:szCs w:val="24"/>
            </w:rPr>
            <w:fldChar w:fldCharType="end"/>
          </w:r>
        </w:p>
        <w:p w14:paraId="22B035EC">
          <w:pPr>
            <w:pStyle w:val="5"/>
            <w:tabs>
              <w:tab w:val="left" w:pos="1283"/>
            </w:tabs>
            <w:spacing w:before="35" w:line="360" w:lineRule="auto"/>
            <w:jc w:val="both"/>
            <w:rPr>
              <w:rFonts w:hint="eastAsia"/>
            </w:rPr>
          </w:pPr>
          <w:r>
            <w:rPr>
              <w:rFonts w:hint="eastAsia"/>
              <w:sz w:val="24"/>
              <w:szCs w:val="24"/>
            </w:rPr>
            <w:fldChar w:fldCharType="end"/>
          </w:r>
        </w:p>
      </w:sdtContent>
    </w:sdt>
    <w:p w14:paraId="5D115A4D">
      <w:pPr>
        <w:pStyle w:val="5"/>
        <w:tabs>
          <w:tab w:val="left" w:pos="1283"/>
        </w:tabs>
        <w:spacing w:before="35"/>
        <w:jc w:val="center"/>
        <w:rPr>
          <w:rFonts w:hint="eastAsia"/>
        </w:rPr>
      </w:pPr>
    </w:p>
    <w:p w14:paraId="7DC22552">
      <w:pPr>
        <w:pStyle w:val="5"/>
        <w:tabs>
          <w:tab w:val="left" w:pos="1283"/>
        </w:tabs>
        <w:spacing w:before="35"/>
        <w:jc w:val="center"/>
        <w:rPr>
          <w:rFonts w:hint="eastAsia"/>
        </w:rPr>
      </w:pPr>
    </w:p>
    <w:p w14:paraId="1C1EA377">
      <w:pPr>
        <w:pStyle w:val="5"/>
        <w:tabs>
          <w:tab w:val="left" w:pos="1283"/>
        </w:tabs>
        <w:spacing w:before="35"/>
        <w:jc w:val="center"/>
        <w:rPr>
          <w:rFonts w:hint="eastAsia"/>
        </w:rPr>
      </w:pPr>
    </w:p>
    <w:p w14:paraId="5E71DCA1">
      <w:pPr>
        <w:pStyle w:val="5"/>
        <w:tabs>
          <w:tab w:val="left" w:pos="1283"/>
        </w:tabs>
        <w:spacing w:before="35"/>
        <w:jc w:val="center"/>
        <w:rPr>
          <w:rFonts w:hint="eastAsia"/>
        </w:rPr>
      </w:pPr>
    </w:p>
    <w:p w14:paraId="5129E281">
      <w:pPr>
        <w:pStyle w:val="5"/>
        <w:tabs>
          <w:tab w:val="left" w:pos="1283"/>
        </w:tabs>
        <w:spacing w:before="35"/>
        <w:jc w:val="center"/>
        <w:rPr>
          <w:rFonts w:hint="eastAsia"/>
        </w:rPr>
      </w:pPr>
    </w:p>
    <w:p w14:paraId="4EE35CC8">
      <w:pPr>
        <w:pStyle w:val="5"/>
        <w:tabs>
          <w:tab w:val="left" w:pos="1283"/>
        </w:tabs>
        <w:spacing w:before="35"/>
        <w:jc w:val="center"/>
        <w:rPr>
          <w:rFonts w:hint="eastAsia"/>
        </w:rPr>
      </w:pPr>
    </w:p>
    <w:p w14:paraId="036B5068">
      <w:pPr>
        <w:pStyle w:val="5"/>
        <w:tabs>
          <w:tab w:val="left" w:pos="1283"/>
        </w:tabs>
        <w:spacing w:before="35"/>
        <w:jc w:val="center"/>
        <w:rPr>
          <w:rFonts w:hint="eastAsia"/>
        </w:rPr>
      </w:pPr>
    </w:p>
    <w:p w14:paraId="46F860E6">
      <w:pPr>
        <w:pStyle w:val="5"/>
        <w:tabs>
          <w:tab w:val="left" w:pos="1283"/>
        </w:tabs>
        <w:spacing w:before="35"/>
        <w:jc w:val="center"/>
        <w:rPr>
          <w:rFonts w:hint="eastAsia"/>
        </w:rPr>
      </w:pPr>
    </w:p>
    <w:p w14:paraId="41AA3D75">
      <w:pPr>
        <w:pStyle w:val="5"/>
        <w:tabs>
          <w:tab w:val="left" w:pos="1283"/>
        </w:tabs>
        <w:spacing w:before="35"/>
        <w:jc w:val="center"/>
        <w:rPr>
          <w:rFonts w:hint="eastAsia"/>
        </w:rPr>
      </w:pPr>
    </w:p>
    <w:p w14:paraId="3B048C8B">
      <w:pPr>
        <w:pStyle w:val="5"/>
        <w:tabs>
          <w:tab w:val="left" w:pos="1283"/>
        </w:tabs>
        <w:spacing w:before="35"/>
        <w:jc w:val="center"/>
        <w:rPr>
          <w:rFonts w:hint="eastAsia"/>
        </w:rPr>
      </w:pPr>
    </w:p>
    <w:p w14:paraId="38907E92">
      <w:pPr>
        <w:pStyle w:val="5"/>
        <w:tabs>
          <w:tab w:val="left" w:pos="1283"/>
        </w:tabs>
        <w:spacing w:before="35"/>
        <w:jc w:val="center"/>
        <w:rPr>
          <w:rFonts w:hint="eastAsia"/>
        </w:rPr>
      </w:pPr>
    </w:p>
    <w:p w14:paraId="1A548B39">
      <w:pPr>
        <w:pStyle w:val="5"/>
        <w:tabs>
          <w:tab w:val="left" w:pos="1283"/>
        </w:tabs>
        <w:spacing w:before="35"/>
        <w:jc w:val="center"/>
        <w:rPr>
          <w:rFonts w:hint="eastAsia"/>
        </w:rPr>
      </w:pPr>
    </w:p>
    <w:p w14:paraId="386DB790">
      <w:pPr>
        <w:pStyle w:val="5"/>
        <w:tabs>
          <w:tab w:val="left" w:pos="1283"/>
        </w:tabs>
        <w:spacing w:before="35"/>
        <w:jc w:val="center"/>
        <w:rPr>
          <w:rFonts w:hint="eastAsia"/>
        </w:rPr>
      </w:pPr>
    </w:p>
    <w:p w14:paraId="6427EF72">
      <w:pPr>
        <w:pStyle w:val="5"/>
        <w:tabs>
          <w:tab w:val="left" w:pos="1283"/>
        </w:tabs>
        <w:spacing w:before="35"/>
        <w:jc w:val="center"/>
        <w:rPr>
          <w:rFonts w:hint="eastAsia"/>
        </w:rPr>
      </w:pPr>
    </w:p>
    <w:p w14:paraId="6B19C3F9">
      <w:pPr>
        <w:pStyle w:val="5"/>
        <w:tabs>
          <w:tab w:val="left" w:pos="1283"/>
        </w:tabs>
        <w:spacing w:before="35"/>
        <w:jc w:val="center"/>
        <w:rPr>
          <w:rFonts w:hint="eastAsia"/>
        </w:rPr>
      </w:pPr>
    </w:p>
    <w:p w14:paraId="5680264F">
      <w:pPr>
        <w:pStyle w:val="5"/>
        <w:tabs>
          <w:tab w:val="left" w:pos="1283"/>
        </w:tabs>
        <w:spacing w:before="35"/>
        <w:jc w:val="center"/>
        <w:rPr>
          <w:rFonts w:hint="eastAsia"/>
        </w:rPr>
      </w:pPr>
    </w:p>
    <w:p w14:paraId="0D4A9279">
      <w:pPr>
        <w:pStyle w:val="5"/>
        <w:tabs>
          <w:tab w:val="left" w:pos="1283"/>
        </w:tabs>
        <w:spacing w:before="35"/>
        <w:jc w:val="center"/>
        <w:rPr>
          <w:rFonts w:hint="eastAsia"/>
        </w:rPr>
      </w:pPr>
    </w:p>
    <w:p w14:paraId="00E1E368">
      <w:pPr>
        <w:pStyle w:val="5"/>
        <w:tabs>
          <w:tab w:val="left" w:pos="1283"/>
        </w:tabs>
        <w:spacing w:before="35"/>
        <w:jc w:val="center"/>
        <w:rPr>
          <w:rFonts w:hint="eastAsia"/>
        </w:rPr>
      </w:pPr>
    </w:p>
    <w:p w14:paraId="74DDD024">
      <w:pPr>
        <w:pStyle w:val="5"/>
        <w:tabs>
          <w:tab w:val="left" w:pos="1283"/>
        </w:tabs>
        <w:spacing w:before="35"/>
        <w:jc w:val="center"/>
        <w:rPr>
          <w:rFonts w:hint="eastAsia"/>
        </w:rPr>
      </w:pPr>
    </w:p>
    <w:p w14:paraId="7C86DA3B">
      <w:pPr>
        <w:pStyle w:val="5"/>
        <w:tabs>
          <w:tab w:val="left" w:pos="1283"/>
        </w:tabs>
        <w:spacing w:before="35"/>
        <w:jc w:val="center"/>
        <w:rPr>
          <w:rFonts w:hint="eastAsia"/>
        </w:rPr>
      </w:pPr>
    </w:p>
    <w:p w14:paraId="5C6EF70D">
      <w:pPr>
        <w:pStyle w:val="5"/>
        <w:tabs>
          <w:tab w:val="left" w:pos="1283"/>
        </w:tabs>
        <w:spacing w:before="35"/>
        <w:jc w:val="center"/>
        <w:rPr>
          <w:rFonts w:hint="eastAsia"/>
        </w:rPr>
      </w:pPr>
    </w:p>
    <w:p w14:paraId="6173EE75">
      <w:pPr>
        <w:pStyle w:val="5"/>
        <w:tabs>
          <w:tab w:val="left" w:pos="1283"/>
        </w:tabs>
        <w:spacing w:before="35"/>
        <w:jc w:val="center"/>
        <w:rPr>
          <w:rFonts w:hint="eastAsia"/>
        </w:rPr>
        <w:sectPr>
          <w:footerReference r:id="rId3" w:type="default"/>
          <w:pgSz w:w="11910" w:h="16840"/>
          <w:pgMar w:top="1380" w:right="840" w:bottom="1380" w:left="1180" w:header="0" w:footer="1200" w:gutter="0"/>
          <w:cols w:space="720" w:num="1"/>
        </w:sectPr>
      </w:pPr>
    </w:p>
    <w:p w14:paraId="6E89BFD7">
      <w:pPr>
        <w:pStyle w:val="5"/>
        <w:tabs>
          <w:tab w:val="left" w:pos="1283"/>
        </w:tabs>
        <w:spacing w:before="35" w:line="360" w:lineRule="auto"/>
        <w:jc w:val="center"/>
        <w:rPr>
          <w:rFonts w:hint="eastAsia"/>
          <w:lang w:eastAsia="zh-CN"/>
        </w:rPr>
      </w:pPr>
      <w:bookmarkStart w:id="4" w:name="_Toc21894"/>
      <w:r>
        <w:rPr>
          <w:lang w:eastAsia="zh-CN"/>
        </w:rPr>
        <w:t>第一章</w:t>
      </w:r>
      <w:bookmarkStart w:id="5" w:name="_bookmark0"/>
      <w:bookmarkEnd w:id="5"/>
      <w:bookmarkStart w:id="6" w:name="第一章_投标邀请"/>
      <w:bookmarkEnd w:id="6"/>
      <w:r>
        <w:rPr>
          <w:rFonts w:hint="eastAsia"/>
          <w:lang w:eastAsia="zh-CN"/>
        </w:rPr>
        <w:t xml:space="preserve"> </w:t>
      </w:r>
      <w:r>
        <w:rPr>
          <w:lang w:eastAsia="zh-CN"/>
        </w:rPr>
        <w:t>投标邀请</w:t>
      </w:r>
      <w:bookmarkEnd w:id="4"/>
    </w:p>
    <w:p w14:paraId="35917B64">
      <w:pPr>
        <w:pStyle w:val="8"/>
        <w:rPr>
          <w:rFonts w:hint="eastAsia"/>
          <w:b/>
          <w:bCs/>
          <w:sz w:val="21"/>
          <w:szCs w:val="21"/>
          <w:lang w:eastAsia="zh-CN"/>
        </w:rPr>
      </w:pPr>
      <w:r>
        <w:rPr>
          <w:rFonts w:hint="eastAsia"/>
          <w:b/>
          <w:bCs/>
          <w:sz w:val="21"/>
          <w:szCs w:val="21"/>
          <w:lang w:eastAsia="zh-CN"/>
        </w:rPr>
        <w:t>项目概况</w:t>
      </w:r>
    </w:p>
    <w:p w14:paraId="29376E8A">
      <w:pPr>
        <w:pStyle w:val="8"/>
        <w:ind w:firstLine="424" w:firstLineChars="200"/>
        <w:jc w:val="both"/>
        <w:rPr>
          <w:rFonts w:hint="eastAsia"/>
          <w:sz w:val="21"/>
          <w:szCs w:val="21"/>
          <w:lang w:eastAsia="zh-CN"/>
        </w:rPr>
      </w:pPr>
      <w:r>
        <w:rPr>
          <w:rFonts w:hint="eastAsia"/>
          <w:spacing w:val="1"/>
          <w:sz w:val="21"/>
          <w:szCs w:val="21"/>
          <w:lang w:eastAsia="zh-CN"/>
        </w:rPr>
        <w:t>上饶经开区雨污水管网检测服务工程的潜在投标人应在江西省公共资源交易网上报名和下载招标文件并于 2025年  月  日09点00分</w:t>
      </w:r>
      <w:r>
        <w:rPr>
          <w:rFonts w:hint="eastAsia"/>
          <w:sz w:val="21"/>
          <w:szCs w:val="21"/>
          <w:lang w:eastAsia="zh-CN"/>
        </w:rPr>
        <w:t>（北京时间） 前在江西省公共资源交易网上递交投标文件。</w:t>
      </w:r>
    </w:p>
    <w:p w14:paraId="4E987B59">
      <w:pPr>
        <w:pStyle w:val="8"/>
        <w:rPr>
          <w:rFonts w:hint="eastAsia"/>
          <w:b/>
          <w:bCs/>
          <w:sz w:val="21"/>
          <w:szCs w:val="21"/>
          <w:lang w:eastAsia="zh-CN"/>
        </w:rPr>
      </w:pPr>
      <w:r>
        <w:rPr>
          <w:b/>
          <w:bCs/>
          <w:sz w:val="21"/>
          <w:szCs w:val="21"/>
          <w:lang w:eastAsia="zh-CN"/>
        </w:rPr>
        <w:t>一、项目基本情况</w:t>
      </w:r>
    </w:p>
    <w:p w14:paraId="4AC0EFA8">
      <w:pPr>
        <w:pStyle w:val="8"/>
        <w:jc w:val="both"/>
        <w:rPr>
          <w:rFonts w:hint="eastAsia"/>
          <w:spacing w:val="1"/>
          <w:sz w:val="21"/>
          <w:szCs w:val="21"/>
          <w:lang w:eastAsia="zh-CN"/>
        </w:rPr>
      </w:pPr>
      <w:r>
        <w:rPr>
          <w:rFonts w:hint="eastAsia"/>
          <w:spacing w:val="1"/>
          <w:sz w:val="21"/>
          <w:szCs w:val="21"/>
          <w:lang w:eastAsia="zh-CN"/>
        </w:rPr>
        <w:t>项目编号：HWSR-202411081</w:t>
      </w:r>
    </w:p>
    <w:p w14:paraId="66B6D034">
      <w:pPr>
        <w:pStyle w:val="8"/>
        <w:jc w:val="both"/>
        <w:rPr>
          <w:rFonts w:hint="eastAsia"/>
          <w:spacing w:val="1"/>
          <w:sz w:val="21"/>
          <w:szCs w:val="21"/>
          <w:lang w:eastAsia="zh-CN"/>
        </w:rPr>
      </w:pPr>
      <w:r>
        <w:rPr>
          <w:rFonts w:hint="eastAsia"/>
          <w:spacing w:val="1"/>
          <w:sz w:val="21"/>
          <w:szCs w:val="21"/>
          <w:lang w:eastAsia="zh-CN"/>
        </w:rPr>
        <w:t>项目名称：上饶经开区雨污水管网检测服务工程</w:t>
      </w:r>
    </w:p>
    <w:p w14:paraId="0E5E425F">
      <w:pPr>
        <w:pStyle w:val="8"/>
        <w:jc w:val="both"/>
        <w:rPr>
          <w:rFonts w:hint="eastAsia"/>
          <w:spacing w:val="1"/>
          <w:sz w:val="21"/>
          <w:szCs w:val="21"/>
          <w:lang w:eastAsia="zh-CN"/>
        </w:rPr>
      </w:pPr>
      <w:r>
        <w:rPr>
          <w:rFonts w:hint="eastAsia"/>
          <w:spacing w:val="1"/>
          <w:sz w:val="21"/>
          <w:szCs w:val="21"/>
          <w:lang w:eastAsia="zh-CN"/>
        </w:rPr>
        <w:t>预算金额：300万元</w:t>
      </w:r>
    </w:p>
    <w:p w14:paraId="5124E411">
      <w:pPr>
        <w:pStyle w:val="8"/>
        <w:jc w:val="both"/>
        <w:rPr>
          <w:rFonts w:hint="eastAsia"/>
          <w:spacing w:val="1"/>
          <w:sz w:val="21"/>
          <w:szCs w:val="21"/>
          <w:lang w:eastAsia="zh-CN"/>
        </w:rPr>
      </w:pPr>
      <w:r>
        <w:rPr>
          <w:rFonts w:hint="eastAsia"/>
          <w:spacing w:val="1"/>
          <w:sz w:val="21"/>
          <w:szCs w:val="21"/>
          <w:lang w:eastAsia="zh-CN"/>
        </w:rPr>
        <w:t>最高限价：300万元</w:t>
      </w:r>
    </w:p>
    <w:p w14:paraId="0F4E4ACD">
      <w:pPr>
        <w:pStyle w:val="8"/>
        <w:jc w:val="both"/>
        <w:rPr>
          <w:rFonts w:hint="eastAsia"/>
          <w:spacing w:val="1"/>
          <w:sz w:val="21"/>
          <w:szCs w:val="21"/>
          <w:lang w:eastAsia="zh-CN"/>
        </w:rPr>
      </w:pPr>
      <w:r>
        <w:rPr>
          <w:rFonts w:hint="eastAsia"/>
          <w:spacing w:val="1"/>
          <w:sz w:val="21"/>
          <w:szCs w:val="21"/>
          <w:lang w:eastAsia="zh-CN"/>
        </w:rPr>
        <w:t>招标需求：</w:t>
      </w:r>
    </w:p>
    <w:tbl>
      <w:tblPr>
        <w:tblStyle w:val="22"/>
        <w:tblW w:w="873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73"/>
        <w:gridCol w:w="773"/>
        <w:gridCol w:w="714"/>
        <w:gridCol w:w="2146"/>
        <w:gridCol w:w="2131"/>
      </w:tblGrid>
      <w:tr w14:paraId="3FD61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2973" w:type="dxa"/>
            <w:vAlign w:val="center"/>
          </w:tcPr>
          <w:p w14:paraId="49986028">
            <w:pPr>
              <w:widowControl/>
              <w:jc w:val="center"/>
              <w:rPr>
                <w:rFonts w:hint="eastAsia"/>
                <w:spacing w:val="21"/>
                <w:sz w:val="21"/>
                <w:szCs w:val="21"/>
                <w:lang w:eastAsia="zh-CN"/>
              </w:rPr>
            </w:pPr>
            <w:r>
              <w:rPr>
                <w:rFonts w:hint="eastAsia"/>
                <w:spacing w:val="21"/>
                <w:sz w:val="21"/>
                <w:szCs w:val="21"/>
                <w:lang w:eastAsia="zh-CN"/>
              </w:rPr>
              <w:t>招标条目名称</w:t>
            </w:r>
          </w:p>
        </w:tc>
        <w:tc>
          <w:tcPr>
            <w:tcW w:w="773" w:type="dxa"/>
            <w:vAlign w:val="center"/>
          </w:tcPr>
          <w:p w14:paraId="75ADB585">
            <w:pPr>
              <w:widowControl/>
              <w:jc w:val="center"/>
              <w:rPr>
                <w:rFonts w:hint="eastAsia"/>
                <w:spacing w:val="21"/>
                <w:sz w:val="21"/>
                <w:szCs w:val="21"/>
                <w:lang w:eastAsia="zh-CN"/>
              </w:rPr>
            </w:pPr>
            <w:r>
              <w:rPr>
                <w:rFonts w:hint="eastAsia"/>
                <w:spacing w:val="21"/>
                <w:sz w:val="21"/>
                <w:szCs w:val="21"/>
                <w:lang w:eastAsia="zh-CN"/>
              </w:rPr>
              <w:t>数量</w:t>
            </w:r>
          </w:p>
        </w:tc>
        <w:tc>
          <w:tcPr>
            <w:tcW w:w="714" w:type="dxa"/>
            <w:vAlign w:val="center"/>
          </w:tcPr>
          <w:p w14:paraId="2419AB1A">
            <w:pPr>
              <w:widowControl/>
              <w:jc w:val="center"/>
              <w:rPr>
                <w:rFonts w:hint="eastAsia"/>
                <w:spacing w:val="21"/>
                <w:sz w:val="21"/>
                <w:szCs w:val="21"/>
                <w:lang w:eastAsia="zh-CN"/>
              </w:rPr>
            </w:pPr>
            <w:r>
              <w:rPr>
                <w:rFonts w:hint="eastAsia"/>
                <w:spacing w:val="21"/>
                <w:sz w:val="21"/>
                <w:szCs w:val="21"/>
                <w:lang w:eastAsia="zh-CN"/>
              </w:rPr>
              <w:t>单位</w:t>
            </w:r>
          </w:p>
        </w:tc>
        <w:tc>
          <w:tcPr>
            <w:tcW w:w="2146" w:type="dxa"/>
            <w:vAlign w:val="center"/>
          </w:tcPr>
          <w:p w14:paraId="07C5BA9F">
            <w:pPr>
              <w:widowControl/>
              <w:jc w:val="center"/>
              <w:rPr>
                <w:rFonts w:hint="eastAsia"/>
                <w:spacing w:val="21"/>
                <w:sz w:val="21"/>
                <w:szCs w:val="21"/>
                <w:lang w:eastAsia="zh-CN"/>
              </w:rPr>
            </w:pPr>
            <w:r>
              <w:rPr>
                <w:rFonts w:hint="eastAsia"/>
                <w:spacing w:val="21"/>
                <w:sz w:val="21"/>
                <w:szCs w:val="21"/>
                <w:lang w:eastAsia="zh-CN"/>
              </w:rPr>
              <w:t>招标预算（人民币）</w:t>
            </w:r>
          </w:p>
        </w:tc>
        <w:tc>
          <w:tcPr>
            <w:tcW w:w="2131" w:type="dxa"/>
            <w:vAlign w:val="center"/>
          </w:tcPr>
          <w:p w14:paraId="479525C0">
            <w:pPr>
              <w:widowControl/>
              <w:jc w:val="center"/>
              <w:rPr>
                <w:rFonts w:hint="eastAsia"/>
                <w:spacing w:val="21"/>
                <w:sz w:val="21"/>
                <w:szCs w:val="21"/>
                <w:lang w:eastAsia="zh-CN"/>
              </w:rPr>
            </w:pPr>
            <w:r>
              <w:rPr>
                <w:rFonts w:hint="eastAsia"/>
                <w:spacing w:val="21"/>
                <w:sz w:val="21"/>
                <w:szCs w:val="21"/>
                <w:lang w:eastAsia="zh-CN"/>
              </w:rPr>
              <w:t>技术需求或服务要求</w:t>
            </w:r>
          </w:p>
        </w:tc>
      </w:tr>
      <w:tr w14:paraId="16AE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trPr>
        <w:tc>
          <w:tcPr>
            <w:tcW w:w="2973" w:type="dxa"/>
            <w:vAlign w:val="center"/>
          </w:tcPr>
          <w:p w14:paraId="12F97A83">
            <w:pPr>
              <w:pStyle w:val="39"/>
              <w:ind w:left="7" w:right="-15"/>
              <w:jc w:val="center"/>
              <w:rPr>
                <w:rFonts w:hint="eastAsia"/>
                <w:spacing w:val="21"/>
                <w:sz w:val="21"/>
                <w:szCs w:val="21"/>
                <w:lang w:eastAsia="zh-CN"/>
              </w:rPr>
            </w:pPr>
            <w:r>
              <w:rPr>
                <w:rFonts w:hint="eastAsia"/>
                <w:spacing w:val="21"/>
                <w:sz w:val="21"/>
                <w:szCs w:val="21"/>
                <w:lang w:eastAsia="zh-CN"/>
              </w:rPr>
              <w:t>上饶经开区雨污水管网检测服务工程</w:t>
            </w:r>
          </w:p>
        </w:tc>
        <w:tc>
          <w:tcPr>
            <w:tcW w:w="773" w:type="dxa"/>
            <w:vAlign w:val="center"/>
          </w:tcPr>
          <w:p w14:paraId="07DDB3A8">
            <w:pPr>
              <w:pStyle w:val="39"/>
              <w:ind w:left="7" w:right="-15"/>
              <w:jc w:val="center"/>
              <w:rPr>
                <w:rFonts w:hint="eastAsia"/>
                <w:spacing w:val="21"/>
                <w:sz w:val="21"/>
                <w:szCs w:val="21"/>
                <w:lang w:eastAsia="zh-CN"/>
              </w:rPr>
            </w:pPr>
            <w:r>
              <w:rPr>
                <w:rFonts w:hint="eastAsia"/>
                <w:spacing w:val="21"/>
                <w:sz w:val="21"/>
                <w:szCs w:val="21"/>
                <w:lang w:eastAsia="zh-CN"/>
              </w:rPr>
              <w:t xml:space="preserve">1 </w:t>
            </w:r>
          </w:p>
        </w:tc>
        <w:tc>
          <w:tcPr>
            <w:tcW w:w="714" w:type="dxa"/>
            <w:vAlign w:val="center"/>
          </w:tcPr>
          <w:p w14:paraId="5F41F31F">
            <w:pPr>
              <w:pStyle w:val="39"/>
              <w:ind w:left="7" w:right="-15"/>
              <w:jc w:val="center"/>
              <w:rPr>
                <w:rFonts w:hint="eastAsia"/>
                <w:spacing w:val="21"/>
                <w:sz w:val="21"/>
                <w:szCs w:val="21"/>
                <w:lang w:eastAsia="zh-CN"/>
              </w:rPr>
            </w:pPr>
            <w:r>
              <w:rPr>
                <w:rFonts w:hint="eastAsia"/>
                <w:spacing w:val="21"/>
                <w:sz w:val="21"/>
                <w:szCs w:val="21"/>
                <w:lang w:eastAsia="zh-CN"/>
              </w:rPr>
              <w:t>项</w:t>
            </w:r>
          </w:p>
        </w:tc>
        <w:tc>
          <w:tcPr>
            <w:tcW w:w="2146" w:type="dxa"/>
            <w:vAlign w:val="center"/>
          </w:tcPr>
          <w:p w14:paraId="0018C3DB">
            <w:pPr>
              <w:pStyle w:val="39"/>
              <w:tabs>
                <w:tab w:val="left" w:pos="448"/>
                <w:tab w:val="center" w:pos="984"/>
              </w:tabs>
              <w:ind w:left="7" w:right="-15"/>
              <w:rPr>
                <w:rFonts w:hint="eastAsia"/>
                <w:spacing w:val="21"/>
                <w:sz w:val="21"/>
                <w:szCs w:val="21"/>
                <w:lang w:eastAsia="zh-CN"/>
              </w:rPr>
            </w:pPr>
            <w:r>
              <w:rPr>
                <w:rFonts w:hint="eastAsia"/>
                <w:spacing w:val="1"/>
                <w:sz w:val="21"/>
                <w:szCs w:val="21"/>
                <w:lang w:eastAsia="zh-CN"/>
              </w:rPr>
              <w:t>300万元</w:t>
            </w:r>
          </w:p>
        </w:tc>
        <w:tc>
          <w:tcPr>
            <w:tcW w:w="2131" w:type="dxa"/>
            <w:vAlign w:val="center"/>
          </w:tcPr>
          <w:p w14:paraId="511E68FF">
            <w:pPr>
              <w:pStyle w:val="39"/>
              <w:ind w:left="7" w:right="-15"/>
              <w:jc w:val="center"/>
              <w:rPr>
                <w:rFonts w:hint="eastAsia"/>
                <w:spacing w:val="21"/>
                <w:sz w:val="21"/>
                <w:szCs w:val="21"/>
                <w:lang w:eastAsia="zh-CN"/>
              </w:rPr>
            </w:pPr>
            <w:r>
              <w:rPr>
                <w:rFonts w:hint="eastAsia"/>
                <w:spacing w:val="21"/>
                <w:sz w:val="21"/>
                <w:szCs w:val="21"/>
                <w:lang w:eastAsia="zh-CN"/>
              </w:rPr>
              <w:t>详见公告附件</w:t>
            </w:r>
          </w:p>
        </w:tc>
      </w:tr>
    </w:tbl>
    <w:p w14:paraId="4DEA11A9">
      <w:pPr>
        <w:rPr>
          <w:rFonts w:hint="eastAsia"/>
          <w:sz w:val="21"/>
          <w:szCs w:val="21"/>
          <w:lang w:eastAsia="zh-CN"/>
        </w:rPr>
      </w:pPr>
      <w:r>
        <w:rPr>
          <w:rFonts w:hint="eastAsia"/>
          <w:sz w:val="21"/>
          <w:szCs w:val="21"/>
        </w:rPr>
        <w:t>合同履行期限：按合同要求</w:t>
      </w:r>
      <w:r>
        <w:rPr>
          <w:rFonts w:hint="eastAsia"/>
          <w:sz w:val="21"/>
          <w:szCs w:val="21"/>
          <w:lang w:eastAsia="zh-CN"/>
        </w:rPr>
        <w:t>。</w:t>
      </w:r>
    </w:p>
    <w:p w14:paraId="27B46B52">
      <w:pPr>
        <w:pStyle w:val="8"/>
        <w:rPr>
          <w:rFonts w:hint="eastAsia"/>
          <w:sz w:val="21"/>
          <w:szCs w:val="21"/>
          <w:lang w:eastAsia="zh-CN"/>
        </w:rPr>
      </w:pPr>
      <w:r>
        <w:rPr>
          <w:rFonts w:hint="eastAsia"/>
          <w:sz w:val="21"/>
          <w:szCs w:val="21"/>
          <w:lang w:eastAsia="zh-CN"/>
        </w:rPr>
        <w:t>本项目不接受联合体。</w:t>
      </w:r>
    </w:p>
    <w:p w14:paraId="4F85E3FB">
      <w:pPr>
        <w:pStyle w:val="8"/>
        <w:outlineLvl w:val="1"/>
        <w:rPr>
          <w:rFonts w:hint="eastAsia"/>
          <w:b/>
          <w:bCs/>
          <w:sz w:val="21"/>
          <w:szCs w:val="21"/>
          <w:lang w:eastAsia="zh-CN"/>
        </w:rPr>
      </w:pPr>
      <w:bookmarkStart w:id="7" w:name="_Toc5606"/>
      <w:bookmarkStart w:id="8" w:name="_Toc27128"/>
      <w:r>
        <w:rPr>
          <w:rFonts w:hint="eastAsia"/>
          <w:b/>
          <w:bCs/>
          <w:sz w:val="21"/>
          <w:szCs w:val="21"/>
          <w:lang w:eastAsia="zh-CN"/>
        </w:rPr>
        <w:t>二、申请人的资格要求</w:t>
      </w:r>
      <w:bookmarkEnd w:id="7"/>
      <w:bookmarkEnd w:id="8"/>
    </w:p>
    <w:p w14:paraId="5E88010E">
      <w:pPr>
        <w:pStyle w:val="20"/>
        <w:ind w:firstLine="0" w:firstLineChars="0"/>
        <w:rPr>
          <w:rFonts w:hint="eastAsia"/>
          <w:sz w:val="21"/>
          <w:szCs w:val="21"/>
          <w:lang w:eastAsia="zh-CN"/>
        </w:rPr>
      </w:pPr>
      <w:r>
        <w:rPr>
          <w:rFonts w:hint="eastAsia"/>
          <w:sz w:val="21"/>
          <w:szCs w:val="21"/>
          <w:lang w:eastAsia="zh-CN"/>
        </w:rPr>
        <w:t xml:space="preserve">1、满足《中华人民共和国政府采购法》第二十二条规定: </w:t>
      </w:r>
    </w:p>
    <w:p w14:paraId="229D4D01">
      <w:pPr>
        <w:pStyle w:val="20"/>
        <w:ind w:firstLine="0" w:firstLineChars="0"/>
        <w:rPr>
          <w:rFonts w:hint="eastAsia"/>
          <w:sz w:val="21"/>
          <w:szCs w:val="21"/>
          <w:lang w:eastAsia="zh-CN"/>
        </w:rPr>
      </w:pPr>
      <w:r>
        <w:rPr>
          <w:rFonts w:hint="eastAsia"/>
          <w:sz w:val="21"/>
          <w:szCs w:val="21"/>
          <w:lang w:eastAsia="zh-CN"/>
        </w:rPr>
        <w:t xml:space="preserve">（1）、具有独立承担民事责任的能力； </w:t>
      </w:r>
    </w:p>
    <w:p w14:paraId="079FEDD1">
      <w:pPr>
        <w:pStyle w:val="20"/>
        <w:ind w:firstLine="0" w:firstLineChars="0"/>
        <w:rPr>
          <w:rFonts w:hint="eastAsia"/>
          <w:sz w:val="21"/>
          <w:szCs w:val="21"/>
          <w:lang w:eastAsia="zh-CN"/>
        </w:rPr>
      </w:pPr>
      <w:r>
        <w:rPr>
          <w:rFonts w:hint="eastAsia"/>
          <w:sz w:val="21"/>
          <w:szCs w:val="21"/>
          <w:lang w:eastAsia="zh-CN"/>
        </w:rPr>
        <w:t xml:space="preserve">（2）、具有良好的商业信誉和健全的财务会计制度； </w:t>
      </w:r>
    </w:p>
    <w:p w14:paraId="1D732539">
      <w:pPr>
        <w:pStyle w:val="20"/>
        <w:ind w:firstLine="0" w:firstLineChars="0"/>
        <w:rPr>
          <w:rFonts w:hint="eastAsia"/>
          <w:sz w:val="21"/>
          <w:szCs w:val="21"/>
          <w:lang w:eastAsia="zh-CN"/>
        </w:rPr>
      </w:pPr>
      <w:r>
        <w:rPr>
          <w:rFonts w:hint="eastAsia"/>
          <w:sz w:val="21"/>
          <w:szCs w:val="21"/>
          <w:lang w:eastAsia="zh-CN"/>
        </w:rPr>
        <w:t xml:space="preserve">（3）、具有履行合同所必需的设备和专业技术能力； </w:t>
      </w:r>
    </w:p>
    <w:p w14:paraId="6567BB52">
      <w:pPr>
        <w:pStyle w:val="20"/>
        <w:ind w:firstLine="0" w:firstLineChars="0"/>
        <w:rPr>
          <w:rFonts w:hint="eastAsia"/>
          <w:sz w:val="21"/>
          <w:szCs w:val="21"/>
          <w:lang w:eastAsia="zh-CN"/>
        </w:rPr>
      </w:pPr>
      <w:r>
        <w:rPr>
          <w:rFonts w:hint="eastAsia"/>
          <w:sz w:val="21"/>
          <w:szCs w:val="21"/>
          <w:lang w:eastAsia="zh-CN"/>
        </w:rPr>
        <w:t xml:space="preserve">（4）、有依法缴纳税收和社会保障资金的良好记录； </w:t>
      </w:r>
    </w:p>
    <w:p w14:paraId="578A1ACB">
      <w:pPr>
        <w:pStyle w:val="20"/>
        <w:ind w:firstLine="0" w:firstLineChars="0"/>
        <w:rPr>
          <w:rFonts w:hint="eastAsia"/>
          <w:sz w:val="21"/>
          <w:szCs w:val="21"/>
          <w:lang w:eastAsia="zh-CN"/>
        </w:rPr>
      </w:pPr>
      <w:r>
        <w:rPr>
          <w:rFonts w:hint="eastAsia"/>
          <w:sz w:val="21"/>
          <w:szCs w:val="21"/>
          <w:lang w:eastAsia="zh-CN"/>
        </w:rPr>
        <w:t xml:space="preserve">（5）、参加政府招标活动前三年内，在经营活动中没有重大违法记录； </w:t>
      </w:r>
    </w:p>
    <w:p w14:paraId="6832CE10">
      <w:pPr>
        <w:pStyle w:val="20"/>
        <w:ind w:firstLine="0" w:firstLineChars="0"/>
        <w:rPr>
          <w:rFonts w:hint="eastAsia"/>
          <w:sz w:val="21"/>
          <w:szCs w:val="21"/>
          <w:lang w:eastAsia="zh-CN"/>
        </w:rPr>
      </w:pPr>
      <w:r>
        <w:rPr>
          <w:rFonts w:hint="eastAsia"/>
          <w:sz w:val="21"/>
          <w:szCs w:val="21"/>
          <w:lang w:eastAsia="zh-CN"/>
        </w:rPr>
        <w:t xml:space="preserve">（6）、法律、行政法规规定的其他条件： </w:t>
      </w:r>
    </w:p>
    <w:p w14:paraId="0018205F">
      <w:pPr>
        <w:pStyle w:val="20"/>
        <w:ind w:firstLine="0" w:firstLineChars="0"/>
        <w:rPr>
          <w:rFonts w:hint="eastAsia"/>
          <w:sz w:val="21"/>
          <w:szCs w:val="21"/>
          <w:lang w:eastAsia="zh-CN"/>
        </w:rPr>
      </w:pPr>
      <w:r>
        <w:rPr>
          <w:rFonts w:hint="eastAsia"/>
          <w:sz w:val="21"/>
          <w:szCs w:val="21"/>
          <w:lang w:eastAsia="zh-CN"/>
        </w:rPr>
        <w:t>①、单位负责人为同一人或者存在直接控股、管理关系的不同投标人，不得参加同一合同项下的投标活动。②、为项目提供整体设计、规范编制或者项目管理、监理、检测等服务的供应商不得参加该招标项目的招标活动。</w:t>
      </w:r>
    </w:p>
    <w:p w14:paraId="389E86D9">
      <w:pPr>
        <w:pStyle w:val="20"/>
        <w:ind w:firstLine="0" w:firstLineChars="0"/>
        <w:rPr>
          <w:rFonts w:hint="eastAsia"/>
          <w:sz w:val="21"/>
          <w:szCs w:val="21"/>
          <w:lang w:eastAsia="zh-CN"/>
        </w:rPr>
      </w:pPr>
      <w:r>
        <w:rPr>
          <w:rFonts w:hint="eastAsia"/>
          <w:sz w:val="21"/>
          <w:szCs w:val="21"/>
          <w:lang w:eastAsia="zh-CN"/>
        </w:rPr>
        <w:t xml:space="preserve">③、供应商被“信用中国”网站（https://www.creditchina.gov.cn/）列入“失信被执行人”和“重大税收违法失信主体”的和被“中国政府招标网”网站列入“政府招标严重违法失信行为记录名单（处罚期限尚未届满的）”的，不得参与本项目的政府招标活动。（提供网页截图或以招标代理机构开标现场查询为准） </w:t>
      </w:r>
    </w:p>
    <w:p w14:paraId="34A7FE5D">
      <w:pPr>
        <w:pStyle w:val="20"/>
        <w:ind w:firstLine="0" w:firstLineChars="0"/>
        <w:rPr>
          <w:rFonts w:hint="eastAsia"/>
          <w:sz w:val="21"/>
          <w:szCs w:val="21"/>
          <w:lang w:eastAsia="zh-CN"/>
        </w:rPr>
      </w:pPr>
      <w:r>
        <w:rPr>
          <w:rFonts w:hint="eastAsia"/>
          <w:sz w:val="21"/>
          <w:szCs w:val="21"/>
          <w:lang w:eastAsia="zh-CN"/>
        </w:rPr>
        <w:t xml:space="preserve">④、投标人必须在电子标书中提供法定代表人身份证扫描件加盖投标人公章或法定代表人授权委托书和被授权人身份证扫描件加盖投标人公章。 </w:t>
      </w:r>
    </w:p>
    <w:p w14:paraId="2BD5FA7F">
      <w:pPr>
        <w:pStyle w:val="20"/>
        <w:ind w:firstLine="0" w:firstLineChars="0"/>
        <w:rPr>
          <w:rFonts w:hint="eastAsia"/>
          <w:sz w:val="21"/>
          <w:szCs w:val="21"/>
          <w:lang w:eastAsia="zh-CN"/>
        </w:rPr>
      </w:pPr>
      <w:r>
        <w:rPr>
          <w:rFonts w:hint="eastAsia"/>
          <w:sz w:val="21"/>
          <w:szCs w:val="21"/>
          <w:lang w:eastAsia="zh-CN"/>
        </w:rPr>
        <w:t>2、本项目的特定资格要求：具备市政公用工程施工总承包二级及以上资质和有效期内的安全许可证。</w:t>
      </w:r>
    </w:p>
    <w:p w14:paraId="4AF7A344">
      <w:pPr>
        <w:pStyle w:val="8"/>
        <w:outlineLvl w:val="1"/>
        <w:rPr>
          <w:rFonts w:hint="eastAsia"/>
          <w:sz w:val="21"/>
          <w:szCs w:val="21"/>
          <w:lang w:eastAsia="zh-CN"/>
        </w:rPr>
      </w:pPr>
      <w:bookmarkStart w:id="9" w:name="_Toc212"/>
      <w:bookmarkStart w:id="10" w:name="_Toc19490"/>
      <w:r>
        <w:rPr>
          <w:rFonts w:hint="eastAsia"/>
          <w:b/>
          <w:bCs/>
          <w:sz w:val="21"/>
          <w:szCs w:val="21"/>
          <w:lang w:eastAsia="zh-CN"/>
        </w:rPr>
        <w:t>三、获取招标文件</w:t>
      </w:r>
      <w:bookmarkEnd w:id="9"/>
      <w:bookmarkEnd w:id="10"/>
    </w:p>
    <w:p w14:paraId="193F4C56">
      <w:pPr>
        <w:pStyle w:val="8"/>
        <w:jc w:val="both"/>
        <w:rPr>
          <w:rFonts w:hint="eastAsia"/>
          <w:spacing w:val="1"/>
          <w:sz w:val="21"/>
          <w:szCs w:val="21"/>
          <w:lang w:eastAsia="zh-CN"/>
        </w:rPr>
      </w:pPr>
      <w:r>
        <w:rPr>
          <w:rFonts w:hint="eastAsia"/>
          <w:sz w:val="21"/>
          <w:szCs w:val="21"/>
          <w:lang w:eastAsia="zh-CN"/>
        </w:rPr>
        <w:t>时间：2024年 月  日至2025年  月  日</w:t>
      </w:r>
      <w:r>
        <w:rPr>
          <w:rFonts w:hint="eastAsia"/>
          <w:spacing w:val="1"/>
          <w:sz w:val="21"/>
          <w:szCs w:val="21"/>
          <w:lang w:eastAsia="zh-CN"/>
        </w:rPr>
        <w:t xml:space="preserve">（提供期限自本公告发布之日起不得少于5个工作日）， </w:t>
      </w:r>
    </w:p>
    <w:p w14:paraId="2C60308C">
      <w:pPr>
        <w:pStyle w:val="8"/>
        <w:jc w:val="both"/>
        <w:rPr>
          <w:rFonts w:hint="eastAsia"/>
          <w:spacing w:val="1"/>
          <w:sz w:val="21"/>
          <w:szCs w:val="21"/>
          <w:lang w:eastAsia="zh-CN"/>
        </w:rPr>
      </w:pPr>
      <w:r>
        <w:fldChar w:fldCharType="begin"/>
      </w:r>
      <w:r>
        <w:instrText xml:space="preserve"> HYPERLINK "http://jxsggzy.cn/web/" \h </w:instrText>
      </w:r>
      <w:r>
        <w:fldChar w:fldCharType="separate"/>
      </w:r>
      <w:r>
        <w:rPr>
          <w:rFonts w:hint="eastAsia"/>
          <w:spacing w:val="1"/>
          <w:sz w:val="21"/>
          <w:szCs w:val="21"/>
          <w:lang w:eastAsia="zh-CN"/>
        </w:rPr>
        <w:t>地点：江西省公共资源交易网（网址：http://jxsggzy.cn/web/</w:t>
      </w:r>
      <w:r>
        <w:rPr>
          <w:rFonts w:hint="eastAsia"/>
          <w:spacing w:val="1"/>
          <w:sz w:val="21"/>
          <w:szCs w:val="21"/>
          <w:lang w:eastAsia="zh-CN"/>
        </w:rPr>
        <w:fldChar w:fldCharType="end"/>
      </w:r>
      <w:r>
        <w:rPr>
          <w:rFonts w:hint="eastAsia"/>
          <w:spacing w:val="1"/>
          <w:sz w:val="21"/>
          <w:szCs w:val="21"/>
          <w:lang w:eastAsia="zh-CN"/>
        </w:rPr>
        <w:t xml:space="preserve">） </w:t>
      </w:r>
    </w:p>
    <w:p w14:paraId="01333245">
      <w:pPr>
        <w:pStyle w:val="8"/>
        <w:jc w:val="both"/>
        <w:rPr>
          <w:rFonts w:hint="eastAsia"/>
          <w:spacing w:val="1"/>
          <w:sz w:val="21"/>
          <w:szCs w:val="21"/>
          <w:lang w:eastAsia="zh-CN"/>
        </w:rPr>
      </w:pPr>
      <w:r>
        <w:rPr>
          <w:rFonts w:hint="eastAsia"/>
          <w:spacing w:val="1"/>
          <w:sz w:val="21"/>
          <w:szCs w:val="21"/>
          <w:lang w:eastAsia="zh-CN"/>
        </w:rPr>
        <w:t>方式：持CA数字证书在江西省公共资源交易网自行报名并下载招标文件。（详见其他补充事宜）</w:t>
      </w:r>
    </w:p>
    <w:p w14:paraId="241C3884">
      <w:pPr>
        <w:pStyle w:val="8"/>
        <w:jc w:val="both"/>
        <w:rPr>
          <w:rFonts w:hint="eastAsia"/>
          <w:spacing w:val="1"/>
          <w:sz w:val="21"/>
          <w:szCs w:val="21"/>
          <w:lang w:eastAsia="zh-CN"/>
        </w:rPr>
      </w:pPr>
      <w:r>
        <w:rPr>
          <w:rFonts w:hint="eastAsia"/>
          <w:spacing w:val="1"/>
          <w:sz w:val="21"/>
          <w:szCs w:val="21"/>
          <w:lang w:eastAsia="zh-CN"/>
        </w:rPr>
        <w:t>售价：0.00元</w:t>
      </w:r>
    </w:p>
    <w:p w14:paraId="69B0E350">
      <w:pPr>
        <w:pStyle w:val="8"/>
        <w:outlineLvl w:val="1"/>
        <w:rPr>
          <w:rFonts w:hint="eastAsia"/>
          <w:b/>
          <w:bCs/>
          <w:sz w:val="21"/>
          <w:szCs w:val="21"/>
          <w:lang w:eastAsia="zh-CN"/>
        </w:rPr>
      </w:pPr>
      <w:bookmarkStart w:id="11" w:name="_Toc28833"/>
      <w:bookmarkStart w:id="12" w:name="_Toc18441"/>
      <w:r>
        <w:rPr>
          <w:rFonts w:hint="eastAsia"/>
          <w:b/>
          <w:bCs/>
          <w:sz w:val="21"/>
          <w:szCs w:val="21"/>
          <w:lang w:eastAsia="zh-CN"/>
        </w:rPr>
        <w:t>四、提交投标文件截止时间、开标时间和地点</w:t>
      </w:r>
      <w:bookmarkEnd w:id="11"/>
      <w:bookmarkEnd w:id="12"/>
    </w:p>
    <w:p w14:paraId="420D64B8">
      <w:pPr>
        <w:pStyle w:val="19"/>
        <w:widowControl/>
        <w:spacing w:before="0" w:beforeAutospacing="0" w:after="0" w:afterAutospacing="0"/>
        <w:rPr>
          <w:rFonts w:hint="eastAsia"/>
          <w:sz w:val="21"/>
          <w:szCs w:val="21"/>
          <w:lang w:eastAsia="zh-CN"/>
        </w:rPr>
      </w:pPr>
      <w:r>
        <w:rPr>
          <w:rFonts w:hint="eastAsia"/>
          <w:sz w:val="21"/>
          <w:szCs w:val="21"/>
          <w:lang w:eastAsia="zh-CN"/>
        </w:rPr>
        <w:t>截止时间：</w:t>
      </w:r>
      <w:r>
        <w:rPr>
          <w:rFonts w:hint="eastAsia"/>
          <w:spacing w:val="1"/>
          <w:sz w:val="21"/>
          <w:szCs w:val="21"/>
          <w:lang w:eastAsia="zh-CN"/>
        </w:rPr>
        <w:t>2025年  月  日09点 00</w:t>
      </w:r>
      <w:r>
        <w:rPr>
          <w:rFonts w:hint="eastAsia"/>
          <w:sz w:val="21"/>
          <w:szCs w:val="21"/>
          <w:lang w:eastAsia="zh-CN"/>
        </w:rPr>
        <w:t xml:space="preserve"> 分（北京时间）</w:t>
      </w:r>
      <w:r>
        <w:rPr>
          <w:spacing w:val="1"/>
          <w:sz w:val="21"/>
          <w:szCs w:val="21"/>
          <w:lang w:eastAsia="zh-CN"/>
        </w:rPr>
        <w:t>（自招标文件开始发出之日起至投标人提交投标文件截止之日止，不得少于20日）</w:t>
      </w:r>
    </w:p>
    <w:p w14:paraId="16DDB12D">
      <w:pPr>
        <w:pStyle w:val="8"/>
        <w:rPr>
          <w:rFonts w:hint="eastAsia"/>
          <w:sz w:val="21"/>
          <w:szCs w:val="21"/>
          <w:lang w:eastAsia="zh-CN"/>
        </w:rPr>
      </w:pPr>
      <w:r>
        <w:rPr>
          <w:rFonts w:hint="eastAsia"/>
          <w:sz w:val="21"/>
          <w:szCs w:val="21"/>
          <w:lang w:eastAsia="zh-CN"/>
        </w:rPr>
        <w:t>地点：上饶市公共资源交易中心三楼不见面开标室</w:t>
      </w:r>
    </w:p>
    <w:p w14:paraId="51E2C604">
      <w:pPr>
        <w:pStyle w:val="8"/>
        <w:outlineLvl w:val="1"/>
        <w:rPr>
          <w:rFonts w:hint="eastAsia"/>
          <w:b/>
          <w:bCs/>
          <w:sz w:val="21"/>
          <w:szCs w:val="21"/>
          <w:lang w:eastAsia="zh-CN"/>
        </w:rPr>
      </w:pPr>
      <w:bookmarkStart w:id="13" w:name="_Toc15332"/>
      <w:bookmarkStart w:id="14" w:name="_Toc14431"/>
      <w:r>
        <w:rPr>
          <w:rFonts w:hint="eastAsia"/>
          <w:b/>
          <w:bCs/>
          <w:sz w:val="21"/>
          <w:szCs w:val="21"/>
          <w:lang w:eastAsia="zh-CN"/>
        </w:rPr>
        <w:t>五、公告期限</w:t>
      </w:r>
      <w:bookmarkEnd w:id="13"/>
      <w:bookmarkEnd w:id="14"/>
    </w:p>
    <w:p w14:paraId="03D369EA">
      <w:pPr>
        <w:pStyle w:val="8"/>
        <w:rPr>
          <w:rFonts w:hint="eastAsia"/>
          <w:sz w:val="21"/>
          <w:szCs w:val="21"/>
          <w:lang w:eastAsia="zh-CN"/>
        </w:rPr>
      </w:pPr>
      <w:r>
        <w:rPr>
          <w:rFonts w:hint="eastAsia"/>
          <w:sz w:val="21"/>
          <w:szCs w:val="21"/>
          <w:lang w:eastAsia="zh-CN"/>
        </w:rPr>
        <w:t>自本公告发布之日起 5 个工作日。</w:t>
      </w:r>
    </w:p>
    <w:p w14:paraId="6092DD0B">
      <w:pPr>
        <w:pStyle w:val="8"/>
        <w:rPr>
          <w:rFonts w:hint="eastAsia"/>
          <w:b/>
          <w:bCs/>
          <w:sz w:val="21"/>
          <w:szCs w:val="21"/>
          <w:lang w:eastAsia="zh-CN"/>
        </w:rPr>
      </w:pPr>
      <w:r>
        <w:rPr>
          <w:rFonts w:hint="eastAsia"/>
          <w:b/>
          <w:bCs/>
          <w:sz w:val="21"/>
          <w:szCs w:val="21"/>
          <w:lang w:eastAsia="zh-CN"/>
        </w:rPr>
        <w:t>六、其他补充事宜</w:t>
      </w:r>
    </w:p>
    <w:p w14:paraId="7D36E12F">
      <w:pPr>
        <w:rPr>
          <w:rFonts w:hint="eastAsia"/>
          <w:lang w:eastAsia="zh-CN"/>
        </w:rPr>
      </w:pPr>
      <w:r>
        <w:rPr>
          <w:rFonts w:hint="eastAsia"/>
          <w:lang w:eastAsia="zh-CN"/>
        </w:rPr>
        <w:t>1</w:t>
      </w:r>
      <w:r>
        <w:rPr>
          <w:lang w:eastAsia="zh-CN"/>
        </w:rPr>
        <w:t>.请各投标人按招标文件要求做好电子标书。到江西省公共资源交易网下载电子招标文件，并在开标截止日期前上传投标文件。</w:t>
      </w:r>
    </w:p>
    <w:p w14:paraId="3D69C162">
      <w:pPr>
        <w:rPr>
          <w:rFonts w:hint="eastAsia"/>
          <w:lang w:eastAsia="zh-CN"/>
        </w:rPr>
      </w:pPr>
      <w:r>
        <w:rPr>
          <w:rFonts w:hint="eastAsia"/>
          <w:lang w:eastAsia="zh-CN"/>
        </w:rPr>
        <w:t>2</w:t>
      </w:r>
      <w:r>
        <w:rPr>
          <w:lang w:eastAsia="zh-CN"/>
        </w:rPr>
        <w:t>.以上告知内容如有变动将在相关网络媒体上另行通知。凡下载招标文件报名成功后对本标书必须仔细阅读有不清楚的地方应及时询问并反馈我代理机构要及时关注“江西省公共资源交易网”。</w:t>
      </w:r>
    </w:p>
    <w:p w14:paraId="1D2CA971">
      <w:pPr>
        <w:rPr>
          <w:rFonts w:hint="eastAsia"/>
          <w:lang w:eastAsia="zh-CN"/>
        </w:rPr>
      </w:pPr>
      <w:r>
        <w:rPr>
          <w:lang w:eastAsia="zh-CN"/>
        </w:rPr>
        <w:t>注：如对招标文件存有疑问请在投标截止三日前以书面形式询问我代理机构。</w:t>
      </w:r>
    </w:p>
    <w:p w14:paraId="556D098C">
      <w:pPr>
        <w:pStyle w:val="8"/>
        <w:rPr>
          <w:rFonts w:hint="eastAsia"/>
          <w:sz w:val="21"/>
          <w:szCs w:val="21"/>
          <w:lang w:eastAsia="zh-CN"/>
        </w:rPr>
      </w:pPr>
      <w:bookmarkStart w:id="15" w:name="4._“不见面开标”注意事项："/>
      <w:bookmarkEnd w:id="15"/>
      <w:r>
        <w:rPr>
          <w:rFonts w:hint="eastAsia"/>
          <w:sz w:val="21"/>
          <w:szCs w:val="21"/>
          <w:lang w:eastAsia="zh-CN"/>
        </w:rPr>
        <w:t>3.“不见面开标”注意事项：</w:t>
      </w:r>
    </w:p>
    <w:p w14:paraId="53143439">
      <w:pPr>
        <w:pStyle w:val="8"/>
        <w:rPr>
          <w:rFonts w:hint="eastAsia"/>
          <w:sz w:val="21"/>
          <w:szCs w:val="21"/>
          <w:lang w:eastAsia="zh-CN"/>
        </w:rPr>
      </w:pPr>
      <w:r>
        <w:rPr>
          <w:rFonts w:hint="eastAsia"/>
          <w:sz w:val="21"/>
          <w:szCs w:val="21"/>
          <w:lang w:eastAsia="zh-CN"/>
        </w:rPr>
        <w:t>（1）本项目采用“不见面开标”系统开标，投标企业不需要到场参加开标会，现场环节（包括但不限于现场签到、递交原件、现场解锁、纸质保函等）全部转为不见面开标系统线上操作。</w:t>
      </w:r>
    </w:p>
    <w:p w14:paraId="49244BEB">
      <w:pPr>
        <w:pStyle w:val="8"/>
        <w:rPr>
          <w:rFonts w:hint="eastAsia"/>
          <w:sz w:val="21"/>
          <w:szCs w:val="21"/>
          <w:lang w:eastAsia="zh-CN"/>
        </w:rPr>
      </w:pPr>
      <w:r>
        <w:rPr>
          <w:rFonts w:hint="eastAsia"/>
          <w:sz w:val="21"/>
          <w:szCs w:val="21"/>
          <w:lang w:eastAsia="zh-CN"/>
        </w:rPr>
        <w:t>（2）在投标截止时间前，各投标人必须在不见面开标系统页面进行在线签到， 否则无法进入后续的开标环节。如投标人未在投标截止时间前在线签到，按自动放弃处理。</w:t>
      </w:r>
    </w:p>
    <w:p w14:paraId="10814EB7">
      <w:pPr>
        <w:pStyle w:val="8"/>
        <w:rPr>
          <w:rFonts w:hint="eastAsia"/>
          <w:sz w:val="21"/>
          <w:szCs w:val="21"/>
          <w:lang w:eastAsia="zh-CN"/>
        </w:rPr>
      </w:pPr>
      <w:r>
        <w:rPr>
          <w:rFonts w:hint="eastAsia"/>
          <w:sz w:val="21"/>
          <w:szCs w:val="21"/>
          <w:lang w:eastAsia="zh-CN"/>
        </w:rPr>
        <w:t>（3）各投标企业的法定代表委托人必须是投标企业本单位职工，并且能够熟练的操作新点系统，因业务不熟悉而导致的一切后果由投标企业自行承担。一个项目只能有一个委托代理人，授权委托人在项目开、评标期间必须保持在线状态，随时通过“不见面开标”并在系统接收询标信息，“互动交流”中对询标内容进行回复（自询标内容发出起 30 分钟内完成回复），否则视为放弃解释说明的权利和意见。投标人回复询标内容时需将询标内容和回复意见打印并加盖投标人单位公章后扫描上传至“互动交流”（回复样式以招标人发出的询标函格式为准）。</w:t>
      </w:r>
    </w:p>
    <w:p w14:paraId="4BB57BE0">
      <w:pPr>
        <w:pStyle w:val="8"/>
        <w:rPr>
          <w:rFonts w:hint="eastAsia"/>
          <w:sz w:val="21"/>
          <w:szCs w:val="21"/>
          <w:lang w:eastAsia="zh-CN"/>
        </w:rPr>
      </w:pPr>
      <w:r>
        <w:rPr>
          <w:rFonts w:hint="eastAsia"/>
          <w:sz w:val="21"/>
          <w:szCs w:val="21"/>
          <w:lang w:eastAsia="zh-CN"/>
        </w:rPr>
        <w:t>（4）投标人对开标过程和中标结果有异议的，可将异议内容以书面形式提出并加盖单位公章后扫描上传至本项目不见面开标大厅 “开标异议文字提问”栏中。</w:t>
      </w:r>
    </w:p>
    <w:p w14:paraId="0C5E1F76">
      <w:pPr>
        <w:pStyle w:val="8"/>
        <w:spacing w:before="160"/>
        <w:ind w:left="238"/>
        <w:rPr>
          <w:rFonts w:hint="eastAsia"/>
          <w:b/>
          <w:bCs/>
          <w:sz w:val="21"/>
          <w:szCs w:val="21"/>
          <w:lang w:eastAsia="zh-CN"/>
        </w:rPr>
      </w:pPr>
      <w:r>
        <w:rPr>
          <w:rFonts w:hint="eastAsia"/>
          <w:b/>
          <w:bCs/>
          <w:sz w:val="21"/>
          <w:szCs w:val="21"/>
          <w:lang w:eastAsia="zh-CN"/>
        </w:rPr>
        <w:t>七：对本次招标提出询问，请按以下方式联系：</w:t>
      </w:r>
    </w:p>
    <w:p w14:paraId="11E9B89A">
      <w:pPr>
        <w:pStyle w:val="8"/>
        <w:rPr>
          <w:rFonts w:hint="eastAsia"/>
          <w:sz w:val="21"/>
          <w:szCs w:val="21"/>
          <w:lang w:eastAsia="zh-CN"/>
        </w:rPr>
      </w:pPr>
      <w:r>
        <w:rPr>
          <w:rFonts w:hint="eastAsia"/>
          <w:sz w:val="21"/>
          <w:szCs w:val="21"/>
          <w:lang w:eastAsia="zh-CN"/>
        </w:rPr>
        <w:t>1.招标人信息</w:t>
      </w:r>
    </w:p>
    <w:p w14:paraId="4E5BB167">
      <w:pPr>
        <w:pStyle w:val="8"/>
        <w:rPr>
          <w:rFonts w:hint="eastAsia"/>
          <w:sz w:val="21"/>
          <w:szCs w:val="21"/>
          <w:lang w:eastAsia="zh-CN"/>
        </w:rPr>
      </w:pPr>
      <w:r>
        <w:rPr>
          <w:rFonts w:hint="eastAsia"/>
          <w:sz w:val="21"/>
          <w:szCs w:val="21"/>
          <w:lang w:eastAsia="zh-CN"/>
        </w:rPr>
        <w:t>名称：上饶市瑞达环保投资有限公司</w:t>
      </w:r>
    </w:p>
    <w:p w14:paraId="2EB1A4DF">
      <w:pPr>
        <w:pStyle w:val="8"/>
        <w:rPr>
          <w:rFonts w:hint="eastAsia"/>
          <w:sz w:val="21"/>
          <w:szCs w:val="21"/>
          <w:lang w:eastAsia="zh-CN"/>
        </w:rPr>
      </w:pPr>
      <w:r>
        <w:rPr>
          <w:rFonts w:hint="eastAsia"/>
          <w:sz w:val="21"/>
          <w:szCs w:val="21"/>
          <w:lang w:eastAsia="zh-CN"/>
        </w:rPr>
        <w:t>地址：上饶市经开区</w:t>
      </w:r>
    </w:p>
    <w:p w14:paraId="700EBA6D">
      <w:pPr>
        <w:pStyle w:val="8"/>
        <w:rPr>
          <w:rFonts w:hint="eastAsia"/>
          <w:sz w:val="21"/>
          <w:szCs w:val="21"/>
          <w:lang w:eastAsia="zh-CN"/>
        </w:rPr>
      </w:pPr>
      <w:r>
        <w:rPr>
          <w:rFonts w:hint="eastAsia"/>
          <w:sz w:val="21"/>
          <w:szCs w:val="21"/>
          <w:lang w:eastAsia="zh-CN"/>
        </w:rPr>
        <w:t>联系人：熊工</w:t>
      </w:r>
    </w:p>
    <w:p w14:paraId="0012E961">
      <w:pPr>
        <w:pStyle w:val="8"/>
        <w:rPr>
          <w:rFonts w:hint="eastAsia"/>
          <w:sz w:val="21"/>
          <w:szCs w:val="21"/>
          <w:lang w:eastAsia="zh-CN"/>
        </w:rPr>
      </w:pPr>
      <w:r>
        <w:rPr>
          <w:rFonts w:hint="eastAsia"/>
          <w:sz w:val="21"/>
          <w:szCs w:val="21"/>
          <w:lang w:eastAsia="zh-CN"/>
        </w:rPr>
        <w:t>联系方式：13177930202</w:t>
      </w:r>
    </w:p>
    <w:p w14:paraId="708FD26D">
      <w:pPr>
        <w:pStyle w:val="8"/>
        <w:rPr>
          <w:rFonts w:hint="eastAsia"/>
          <w:sz w:val="21"/>
          <w:szCs w:val="21"/>
          <w:lang w:eastAsia="zh-CN"/>
        </w:rPr>
      </w:pPr>
    </w:p>
    <w:p w14:paraId="58889589">
      <w:pPr>
        <w:pStyle w:val="8"/>
        <w:rPr>
          <w:rFonts w:hint="eastAsia"/>
          <w:sz w:val="21"/>
          <w:szCs w:val="21"/>
          <w:lang w:eastAsia="zh-CN"/>
        </w:rPr>
      </w:pPr>
      <w:r>
        <w:rPr>
          <w:rFonts w:hint="eastAsia"/>
          <w:sz w:val="21"/>
          <w:szCs w:val="21"/>
          <w:lang w:eastAsia="zh-CN"/>
        </w:rPr>
        <w:t>2.代理机构信息</w:t>
      </w:r>
    </w:p>
    <w:p w14:paraId="0ADD8CA7">
      <w:pPr>
        <w:pStyle w:val="8"/>
        <w:rPr>
          <w:rFonts w:hint="eastAsia"/>
          <w:sz w:val="21"/>
          <w:szCs w:val="21"/>
          <w:lang w:eastAsia="zh-CN"/>
        </w:rPr>
      </w:pPr>
      <w:r>
        <w:rPr>
          <w:rFonts w:hint="eastAsia"/>
          <w:sz w:val="21"/>
          <w:szCs w:val="21"/>
          <w:lang w:eastAsia="zh-CN"/>
        </w:rPr>
        <w:t>名称：浩玟（江西）工程管理有限公司</w:t>
      </w:r>
    </w:p>
    <w:p w14:paraId="70699B03">
      <w:pPr>
        <w:pStyle w:val="8"/>
        <w:rPr>
          <w:rFonts w:hint="eastAsia"/>
          <w:sz w:val="21"/>
          <w:szCs w:val="21"/>
          <w:lang w:eastAsia="zh-CN"/>
        </w:rPr>
      </w:pPr>
      <w:r>
        <w:rPr>
          <w:rFonts w:hint="eastAsia"/>
          <w:sz w:val="21"/>
          <w:szCs w:val="21"/>
          <w:lang w:eastAsia="zh-CN"/>
        </w:rPr>
        <w:t>地址：江西省吉安市</w:t>
      </w:r>
    </w:p>
    <w:p w14:paraId="1E6CB2B6">
      <w:pPr>
        <w:pStyle w:val="8"/>
        <w:rPr>
          <w:rFonts w:hint="eastAsia"/>
          <w:sz w:val="21"/>
          <w:szCs w:val="21"/>
          <w:lang w:eastAsia="zh-CN"/>
        </w:rPr>
      </w:pPr>
      <w:r>
        <w:rPr>
          <w:rFonts w:hint="eastAsia"/>
          <w:sz w:val="21"/>
          <w:szCs w:val="21"/>
          <w:lang w:eastAsia="zh-CN"/>
        </w:rPr>
        <w:t xml:space="preserve">联系人：童芳  联系方式：18107931521  </w:t>
      </w:r>
    </w:p>
    <w:p w14:paraId="4B10A3E4">
      <w:pPr>
        <w:pStyle w:val="8"/>
        <w:rPr>
          <w:rFonts w:hint="eastAsia"/>
          <w:sz w:val="21"/>
          <w:szCs w:val="21"/>
          <w:lang w:eastAsia="zh-CN"/>
        </w:rPr>
      </w:pPr>
      <w:r>
        <w:rPr>
          <w:rFonts w:hint="eastAsia"/>
          <w:sz w:val="21"/>
          <w:szCs w:val="21"/>
          <w:lang w:eastAsia="zh-CN"/>
        </w:rPr>
        <w:t>3.项目联系方式</w:t>
      </w:r>
    </w:p>
    <w:p w14:paraId="586C4F5F">
      <w:pPr>
        <w:pStyle w:val="8"/>
        <w:rPr>
          <w:rFonts w:hint="eastAsia"/>
          <w:sz w:val="21"/>
          <w:szCs w:val="21"/>
          <w:lang w:eastAsia="zh-CN"/>
        </w:rPr>
      </w:pPr>
    </w:p>
    <w:p w14:paraId="00055BE2">
      <w:pPr>
        <w:pStyle w:val="8"/>
        <w:rPr>
          <w:rFonts w:hint="eastAsia"/>
          <w:lang w:eastAsia="zh-CN"/>
        </w:rPr>
        <w:sectPr>
          <w:footerReference r:id="rId4" w:type="default"/>
          <w:pgSz w:w="11910" w:h="16840"/>
          <w:pgMar w:top="1380" w:right="840" w:bottom="1380" w:left="1180" w:header="0" w:footer="1200" w:gutter="0"/>
          <w:pgNumType w:start="1"/>
          <w:cols w:space="720" w:num="1"/>
        </w:sectPr>
      </w:pPr>
      <w:r>
        <w:rPr>
          <w:rFonts w:hint="eastAsia"/>
          <w:sz w:val="21"/>
          <w:szCs w:val="21"/>
          <w:lang w:eastAsia="zh-CN"/>
        </w:rPr>
        <w:t xml:space="preserve">项目联系人： 童芳             </w:t>
      </w:r>
      <w:bookmarkStart w:id="222" w:name="_GoBack"/>
      <w:bookmarkEnd w:id="222"/>
      <w:r>
        <w:rPr>
          <w:rFonts w:hint="eastAsia"/>
          <w:sz w:val="21"/>
          <w:szCs w:val="21"/>
          <w:lang w:eastAsia="zh-CN"/>
        </w:rPr>
        <w:t xml:space="preserve"> 联系方式：18107931521</w:t>
      </w:r>
    </w:p>
    <w:p w14:paraId="50C86E61">
      <w:pPr>
        <w:pStyle w:val="5"/>
        <w:tabs>
          <w:tab w:val="left" w:pos="1286"/>
        </w:tabs>
        <w:spacing w:line="360" w:lineRule="auto"/>
        <w:jc w:val="center"/>
        <w:rPr>
          <w:rFonts w:hint="eastAsia"/>
          <w:lang w:eastAsia="zh-CN"/>
        </w:rPr>
      </w:pPr>
      <w:bookmarkStart w:id="16" w:name="_bookmark1"/>
      <w:bookmarkEnd w:id="16"/>
      <w:bookmarkStart w:id="17" w:name="第二章_投标人须知"/>
      <w:bookmarkEnd w:id="17"/>
      <w:bookmarkStart w:id="18" w:name="_Toc8906"/>
      <w:r>
        <w:rPr>
          <w:lang w:eastAsia="zh-CN"/>
        </w:rPr>
        <w:t>第二章</w:t>
      </w:r>
      <w:r>
        <w:rPr>
          <w:lang w:eastAsia="zh-CN"/>
        </w:rPr>
        <w:tab/>
      </w:r>
      <w:r>
        <w:rPr>
          <w:w w:val="95"/>
          <w:lang w:eastAsia="zh-CN"/>
        </w:rPr>
        <w:t>投标人须知</w:t>
      </w:r>
      <w:bookmarkEnd w:id="18"/>
    </w:p>
    <w:p w14:paraId="343F6345">
      <w:pPr>
        <w:pStyle w:val="6"/>
        <w:spacing w:line="360" w:lineRule="auto"/>
        <w:ind w:left="0" w:right="337"/>
        <w:jc w:val="center"/>
        <w:rPr>
          <w:rFonts w:hint="eastAsia"/>
          <w:lang w:eastAsia="zh-CN"/>
        </w:rPr>
      </w:pPr>
      <w:bookmarkStart w:id="19" w:name="_bookmark2"/>
      <w:bookmarkEnd w:id="19"/>
      <w:bookmarkStart w:id="20" w:name="一、投标人须知前附表"/>
      <w:bookmarkEnd w:id="20"/>
      <w:bookmarkStart w:id="21" w:name="_Toc559"/>
      <w:bookmarkStart w:id="22" w:name="_Toc31545"/>
      <w:r>
        <w:rPr>
          <w:w w:val="95"/>
          <w:lang w:eastAsia="zh-CN"/>
        </w:rPr>
        <w:t>一、投标人须知前附表</w:t>
      </w:r>
      <w:bookmarkEnd w:id="21"/>
      <w:bookmarkEnd w:id="22"/>
    </w:p>
    <w:tbl>
      <w:tblPr>
        <w:tblStyle w:val="22"/>
        <w:tblpPr w:leftFromText="180" w:rightFromText="180" w:vertAnchor="text" w:horzAnchor="page" w:tblpX="1254" w:tblpY="182"/>
        <w:tblOverlap w:val="never"/>
        <w:tblW w:w="95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472"/>
        <w:gridCol w:w="7254"/>
      </w:tblGrid>
      <w:tr w14:paraId="56D85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46" w:type="dxa"/>
            <w:vAlign w:val="center"/>
          </w:tcPr>
          <w:p w14:paraId="7ED01458">
            <w:pPr>
              <w:pStyle w:val="39"/>
              <w:spacing w:before="98" w:line="360" w:lineRule="auto"/>
              <w:ind w:left="161" w:right="152"/>
              <w:jc w:val="center"/>
              <w:rPr>
                <w:rFonts w:hint="eastAsia"/>
                <w:b/>
                <w:sz w:val="21"/>
                <w:szCs w:val="21"/>
              </w:rPr>
            </w:pPr>
            <w:r>
              <w:rPr>
                <w:b/>
                <w:sz w:val="21"/>
                <w:szCs w:val="21"/>
              </w:rPr>
              <w:t>序号</w:t>
            </w:r>
          </w:p>
        </w:tc>
        <w:tc>
          <w:tcPr>
            <w:tcW w:w="1472" w:type="dxa"/>
            <w:vAlign w:val="center"/>
          </w:tcPr>
          <w:p w14:paraId="0FA982B6">
            <w:pPr>
              <w:pStyle w:val="39"/>
              <w:spacing w:before="98" w:line="360" w:lineRule="auto"/>
              <w:ind w:left="373"/>
              <w:jc w:val="center"/>
              <w:rPr>
                <w:rFonts w:hint="eastAsia"/>
                <w:b/>
                <w:sz w:val="21"/>
                <w:szCs w:val="21"/>
              </w:rPr>
            </w:pPr>
            <w:r>
              <w:rPr>
                <w:b/>
                <w:sz w:val="21"/>
                <w:szCs w:val="21"/>
              </w:rPr>
              <w:t>条款号</w:t>
            </w:r>
          </w:p>
        </w:tc>
        <w:tc>
          <w:tcPr>
            <w:tcW w:w="7254" w:type="dxa"/>
          </w:tcPr>
          <w:p w14:paraId="750834A4">
            <w:pPr>
              <w:pStyle w:val="39"/>
              <w:tabs>
                <w:tab w:val="left" w:pos="729"/>
              </w:tabs>
              <w:spacing w:before="98" w:line="360" w:lineRule="auto"/>
              <w:ind w:left="7"/>
              <w:jc w:val="center"/>
              <w:rPr>
                <w:rFonts w:hint="eastAsia"/>
                <w:b/>
                <w:sz w:val="21"/>
                <w:szCs w:val="21"/>
              </w:rPr>
            </w:pPr>
            <w:r>
              <w:rPr>
                <w:b/>
                <w:sz w:val="21"/>
                <w:szCs w:val="21"/>
              </w:rPr>
              <w:t>内</w:t>
            </w:r>
            <w:r>
              <w:rPr>
                <w:b/>
                <w:sz w:val="21"/>
                <w:szCs w:val="21"/>
              </w:rPr>
              <w:tab/>
            </w:r>
            <w:r>
              <w:rPr>
                <w:b/>
                <w:sz w:val="21"/>
                <w:szCs w:val="21"/>
              </w:rPr>
              <w:t>容</w:t>
            </w:r>
          </w:p>
        </w:tc>
      </w:tr>
      <w:tr w14:paraId="5ABF0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6" w:type="dxa"/>
            <w:vAlign w:val="center"/>
          </w:tcPr>
          <w:p w14:paraId="459E11B0">
            <w:pPr>
              <w:pStyle w:val="39"/>
              <w:spacing w:line="360" w:lineRule="auto"/>
              <w:ind w:left="9"/>
              <w:jc w:val="center"/>
              <w:rPr>
                <w:rFonts w:hint="eastAsia"/>
                <w:sz w:val="21"/>
                <w:szCs w:val="21"/>
              </w:rPr>
            </w:pPr>
            <w:r>
              <w:rPr>
                <w:sz w:val="21"/>
                <w:szCs w:val="21"/>
              </w:rPr>
              <w:t>1</w:t>
            </w:r>
          </w:p>
        </w:tc>
        <w:tc>
          <w:tcPr>
            <w:tcW w:w="1472" w:type="dxa"/>
            <w:vAlign w:val="center"/>
          </w:tcPr>
          <w:p w14:paraId="5C196068">
            <w:pPr>
              <w:pStyle w:val="39"/>
              <w:spacing w:line="360" w:lineRule="auto"/>
              <w:ind w:left="475" w:right="466"/>
              <w:jc w:val="center"/>
              <w:rPr>
                <w:rFonts w:hint="eastAsia"/>
                <w:sz w:val="21"/>
                <w:szCs w:val="21"/>
              </w:rPr>
            </w:pPr>
            <w:r>
              <w:rPr>
                <w:sz w:val="21"/>
                <w:szCs w:val="21"/>
              </w:rPr>
              <w:t>1.1</w:t>
            </w:r>
          </w:p>
        </w:tc>
        <w:tc>
          <w:tcPr>
            <w:tcW w:w="7254" w:type="dxa"/>
          </w:tcPr>
          <w:p w14:paraId="54945CF5">
            <w:pPr>
              <w:pStyle w:val="39"/>
              <w:spacing w:line="360" w:lineRule="auto"/>
              <w:ind w:left="108"/>
              <w:rPr>
                <w:rFonts w:hint="eastAsia"/>
                <w:sz w:val="21"/>
                <w:szCs w:val="21"/>
                <w:lang w:eastAsia="zh-CN"/>
              </w:rPr>
            </w:pPr>
            <w:r>
              <w:rPr>
                <w:rFonts w:hint="eastAsia"/>
                <w:sz w:val="21"/>
                <w:szCs w:val="21"/>
                <w:lang w:eastAsia="zh-CN"/>
              </w:rPr>
              <w:t>项目名称及招标编号：详见“第一章 投标邀请”</w:t>
            </w:r>
          </w:p>
        </w:tc>
      </w:tr>
      <w:tr w14:paraId="6954B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6" w:type="dxa"/>
            <w:vAlign w:val="center"/>
          </w:tcPr>
          <w:p w14:paraId="6CA61440">
            <w:pPr>
              <w:pStyle w:val="39"/>
              <w:spacing w:line="360" w:lineRule="auto"/>
              <w:ind w:left="9"/>
              <w:jc w:val="center"/>
              <w:rPr>
                <w:rFonts w:hint="eastAsia"/>
                <w:sz w:val="21"/>
                <w:szCs w:val="21"/>
              </w:rPr>
            </w:pPr>
            <w:r>
              <w:rPr>
                <w:sz w:val="21"/>
                <w:szCs w:val="21"/>
              </w:rPr>
              <w:t>2</w:t>
            </w:r>
          </w:p>
        </w:tc>
        <w:tc>
          <w:tcPr>
            <w:tcW w:w="1472" w:type="dxa"/>
            <w:vAlign w:val="center"/>
          </w:tcPr>
          <w:p w14:paraId="3A63C5CC">
            <w:pPr>
              <w:pStyle w:val="39"/>
              <w:spacing w:line="360" w:lineRule="auto"/>
              <w:ind w:left="475" w:right="466"/>
              <w:jc w:val="center"/>
              <w:rPr>
                <w:rFonts w:hint="eastAsia"/>
                <w:sz w:val="21"/>
                <w:szCs w:val="21"/>
              </w:rPr>
            </w:pPr>
            <w:r>
              <w:rPr>
                <w:sz w:val="21"/>
                <w:szCs w:val="21"/>
              </w:rPr>
              <w:t>2.1</w:t>
            </w:r>
          </w:p>
        </w:tc>
        <w:tc>
          <w:tcPr>
            <w:tcW w:w="7254" w:type="dxa"/>
          </w:tcPr>
          <w:p w14:paraId="20A80857">
            <w:pPr>
              <w:pStyle w:val="39"/>
              <w:spacing w:line="360" w:lineRule="auto"/>
              <w:ind w:left="108"/>
              <w:rPr>
                <w:rFonts w:hint="eastAsia"/>
                <w:sz w:val="21"/>
                <w:szCs w:val="21"/>
                <w:lang w:eastAsia="zh-CN"/>
              </w:rPr>
            </w:pPr>
            <w:r>
              <w:rPr>
                <w:rFonts w:hint="eastAsia"/>
                <w:sz w:val="21"/>
                <w:szCs w:val="21"/>
                <w:lang w:eastAsia="zh-CN"/>
              </w:rPr>
              <w:t>招标人名称：详见“第一章 投标邀请”</w:t>
            </w:r>
          </w:p>
        </w:tc>
      </w:tr>
      <w:tr w14:paraId="13854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6" w:type="dxa"/>
            <w:vAlign w:val="center"/>
          </w:tcPr>
          <w:p w14:paraId="71956E0B">
            <w:pPr>
              <w:pStyle w:val="39"/>
              <w:spacing w:before="1" w:line="360" w:lineRule="auto"/>
              <w:ind w:left="9"/>
              <w:jc w:val="center"/>
              <w:rPr>
                <w:rFonts w:hint="eastAsia"/>
                <w:sz w:val="21"/>
                <w:szCs w:val="21"/>
              </w:rPr>
            </w:pPr>
            <w:r>
              <w:rPr>
                <w:sz w:val="21"/>
                <w:szCs w:val="21"/>
              </w:rPr>
              <w:t>3</w:t>
            </w:r>
          </w:p>
        </w:tc>
        <w:tc>
          <w:tcPr>
            <w:tcW w:w="1472" w:type="dxa"/>
            <w:vAlign w:val="center"/>
          </w:tcPr>
          <w:p w14:paraId="0CABA32C">
            <w:pPr>
              <w:pStyle w:val="39"/>
              <w:spacing w:before="1" w:line="360" w:lineRule="auto"/>
              <w:ind w:left="475" w:right="466"/>
              <w:jc w:val="center"/>
              <w:rPr>
                <w:rFonts w:hint="eastAsia"/>
                <w:sz w:val="21"/>
                <w:szCs w:val="21"/>
              </w:rPr>
            </w:pPr>
            <w:r>
              <w:rPr>
                <w:sz w:val="21"/>
                <w:szCs w:val="21"/>
              </w:rPr>
              <w:t>2.2</w:t>
            </w:r>
          </w:p>
        </w:tc>
        <w:tc>
          <w:tcPr>
            <w:tcW w:w="7254" w:type="dxa"/>
          </w:tcPr>
          <w:p w14:paraId="2F9F762C">
            <w:pPr>
              <w:pStyle w:val="39"/>
              <w:spacing w:line="360" w:lineRule="auto"/>
              <w:ind w:left="108"/>
              <w:rPr>
                <w:rFonts w:hint="eastAsia"/>
                <w:sz w:val="21"/>
                <w:szCs w:val="21"/>
                <w:lang w:eastAsia="zh-CN"/>
              </w:rPr>
            </w:pPr>
            <w:r>
              <w:rPr>
                <w:rFonts w:hint="eastAsia"/>
                <w:sz w:val="21"/>
                <w:szCs w:val="21"/>
                <w:lang w:eastAsia="zh-CN"/>
              </w:rPr>
              <w:t>代理机构：详见“第一章 投标邀请”</w:t>
            </w:r>
          </w:p>
        </w:tc>
      </w:tr>
      <w:tr w14:paraId="58878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846" w:type="dxa"/>
            <w:vAlign w:val="center"/>
          </w:tcPr>
          <w:p w14:paraId="7C514373">
            <w:pPr>
              <w:pStyle w:val="39"/>
              <w:spacing w:before="138" w:line="360" w:lineRule="auto"/>
              <w:ind w:left="9"/>
              <w:jc w:val="center"/>
              <w:rPr>
                <w:rFonts w:hint="eastAsia"/>
                <w:sz w:val="21"/>
                <w:szCs w:val="21"/>
              </w:rPr>
            </w:pPr>
            <w:r>
              <w:rPr>
                <w:sz w:val="21"/>
                <w:szCs w:val="21"/>
              </w:rPr>
              <w:t>4</w:t>
            </w:r>
          </w:p>
        </w:tc>
        <w:tc>
          <w:tcPr>
            <w:tcW w:w="1472" w:type="dxa"/>
            <w:vAlign w:val="center"/>
          </w:tcPr>
          <w:p w14:paraId="549596A6">
            <w:pPr>
              <w:pStyle w:val="39"/>
              <w:spacing w:before="138" w:line="360" w:lineRule="auto"/>
              <w:jc w:val="center"/>
              <w:rPr>
                <w:rFonts w:hint="eastAsia"/>
                <w:sz w:val="21"/>
                <w:szCs w:val="21"/>
                <w:lang w:eastAsia="zh-CN"/>
              </w:rPr>
            </w:pPr>
            <w:r>
              <w:rPr>
                <w:rFonts w:hint="eastAsia"/>
                <w:sz w:val="21"/>
                <w:szCs w:val="21"/>
                <w:lang w:eastAsia="zh-CN"/>
              </w:rPr>
              <w:t>4.1</w:t>
            </w:r>
          </w:p>
        </w:tc>
        <w:tc>
          <w:tcPr>
            <w:tcW w:w="7254" w:type="dxa"/>
          </w:tcPr>
          <w:p w14:paraId="09C15286">
            <w:pPr>
              <w:pStyle w:val="39"/>
              <w:spacing w:line="360" w:lineRule="auto"/>
              <w:ind w:left="108"/>
              <w:rPr>
                <w:rFonts w:hint="eastAsia"/>
                <w:sz w:val="21"/>
                <w:szCs w:val="21"/>
                <w:lang w:eastAsia="zh-CN"/>
              </w:rPr>
            </w:pPr>
            <w:r>
              <w:rPr>
                <w:rFonts w:hint="eastAsia"/>
                <w:sz w:val="21"/>
                <w:szCs w:val="21"/>
                <w:lang w:eastAsia="zh-CN"/>
              </w:rPr>
              <w:t>本项目是否接受联合体投标：详见“第一章 投标邀请”</w:t>
            </w:r>
          </w:p>
        </w:tc>
      </w:tr>
      <w:tr w14:paraId="653A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46" w:type="dxa"/>
            <w:vAlign w:val="center"/>
          </w:tcPr>
          <w:p w14:paraId="62698C70">
            <w:pPr>
              <w:pStyle w:val="39"/>
              <w:spacing w:before="97" w:line="360" w:lineRule="auto"/>
              <w:ind w:left="9"/>
              <w:jc w:val="center"/>
              <w:rPr>
                <w:rFonts w:hint="eastAsia"/>
                <w:sz w:val="21"/>
                <w:szCs w:val="21"/>
              </w:rPr>
            </w:pPr>
            <w:r>
              <w:rPr>
                <w:sz w:val="21"/>
                <w:szCs w:val="21"/>
              </w:rPr>
              <w:t>5</w:t>
            </w:r>
          </w:p>
        </w:tc>
        <w:tc>
          <w:tcPr>
            <w:tcW w:w="1472" w:type="dxa"/>
            <w:vAlign w:val="center"/>
          </w:tcPr>
          <w:p w14:paraId="063D83B3">
            <w:pPr>
              <w:pStyle w:val="39"/>
              <w:spacing w:before="97" w:line="360" w:lineRule="auto"/>
              <w:ind w:left="9"/>
              <w:jc w:val="center"/>
              <w:rPr>
                <w:rFonts w:hint="eastAsia"/>
                <w:sz w:val="21"/>
                <w:szCs w:val="21"/>
                <w:lang w:eastAsia="zh-CN"/>
              </w:rPr>
            </w:pPr>
            <w:r>
              <w:rPr>
                <w:rFonts w:hint="eastAsia"/>
                <w:sz w:val="21"/>
                <w:szCs w:val="21"/>
                <w:lang w:eastAsia="zh-CN"/>
              </w:rPr>
              <w:t>5.1</w:t>
            </w:r>
          </w:p>
        </w:tc>
        <w:tc>
          <w:tcPr>
            <w:tcW w:w="7254" w:type="dxa"/>
          </w:tcPr>
          <w:p w14:paraId="00F229CC">
            <w:pPr>
              <w:pStyle w:val="39"/>
              <w:spacing w:line="360" w:lineRule="auto"/>
              <w:ind w:left="108"/>
              <w:rPr>
                <w:rFonts w:hint="eastAsia"/>
                <w:sz w:val="21"/>
                <w:szCs w:val="21"/>
                <w:lang w:eastAsia="zh-CN"/>
              </w:rPr>
            </w:pPr>
            <w:r>
              <w:rPr>
                <w:rFonts w:hint="eastAsia"/>
                <w:sz w:val="21"/>
                <w:szCs w:val="21"/>
                <w:lang w:eastAsia="zh-CN"/>
              </w:rPr>
              <w:t>投标人应当提交的资格、资信证明文件</w:t>
            </w:r>
          </w:p>
        </w:tc>
      </w:tr>
      <w:tr w14:paraId="23723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46" w:type="dxa"/>
            <w:vAlign w:val="center"/>
          </w:tcPr>
          <w:p w14:paraId="0110CA3C">
            <w:pPr>
              <w:pStyle w:val="39"/>
              <w:spacing w:line="360" w:lineRule="auto"/>
              <w:ind w:left="9"/>
              <w:jc w:val="center"/>
              <w:rPr>
                <w:rFonts w:hint="eastAsia"/>
                <w:sz w:val="21"/>
                <w:szCs w:val="21"/>
                <w:lang w:eastAsia="zh-CN"/>
              </w:rPr>
            </w:pPr>
            <w:r>
              <w:rPr>
                <w:rFonts w:hint="eastAsia"/>
                <w:sz w:val="21"/>
                <w:szCs w:val="21"/>
                <w:lang w:eastAsia="zh-CN"/>
              </w:rPr>
              <w:t>6</w:t>
            </w:r>
          </w:p>
        </w:tc>
        <w:tc>
          <w:tcPr>
            <w:tcW w:w="1472" w:type="dxa"/>
            <w:vAlign w:val="center"/>
          </w:tcPr>
          <w:p w14:paraId="7C2B03D6">
            <w:pPr>
              <w:pStyle w:val="39"/>
              <w:spacing w:line="360" w:lineRule="auto"/>
              <w:ind w:left="9"/>
              <w:jc w:val="center"/>
              <w:rPr>
                <w:rFonts w:hint="eastAsia"/>
                <w:sz w:val="21"/>
                <w:szCs w:val="21"/>
                <w:lang w:eastAsia="zh-CN"/>
              </w:rPr>
            </w:pPr>
            <w:r>
              <w:rPr>
                <w:rFonts w:hint="eastAsia"/>
                <w:sz w:val="21"/>
                <w:szCs w:val="21"/>
                <w:lang w:eastAsia="zh-CN"/>
              </w:rPr>
              <w:t>6.1</w:t>
            </w:r>
          </w:p>
        </w:tc>
        <w:tc>
          <w:tcPr>
            <w:tcW w:w="7254" w:type="dxa"/>
          </w:tcPr>
          <w:p w14:paraId="193F10BF">
            <w:pPr>
              <w:pStyle w:val="39"/>
              <w:spacing w:line="360" w:lineRule="auto"/>
              <w:ind w:left="108"/>
              <w:rPr>
                <w:rFonts w:hint="eastAsia"/>
                <w:sz w:val="21"/>
                <w:szCs w:val="21"/>
                <w:lang w:eastAsia="zh-CN"/>
              </w:rPr>
            </w:pPr>
            <w:r>
              <w:rPr>
                <w:rFonts w:hint="eastAsia"/>
                <w:sz w:val="21"/>
                <w:szCs w:val="21"/>
                <w:lang w:eastAsia="zh-CN"/>
              </w:rPr>
              <w:t>本项目属于服务类招标</w:t>
            </w:r>
          </w:p>
        </w:tc>
      </w:tr>
      <w:tr w14:paraId="4D8BA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trPr>
        <w:tc>
          <w:tcPr>
            <w:tcW w:w="846" w:type="dxa"/>
            <w:vAlign w:val="center"/>
          </w:tcPr>
          <w:p w14:paraId="6F176E47">
            <w:pPr>
              <w:pStyle w:val="39"/>
              <w:spacing w:line="360" w:lineRule="auto"/>
              <w:ind w:left="9"/>
              <w:jc w:val="center"/>
              <w:rPr>
                <w:rFonts w:hint="eastAsia"/>
                <w:sz w:val="21"/>
                <w:szCs w:val="21"/>
                <w:lang w:eastAsia="zh-CN"/>
              </w:rPr>
            </w:pPr>
            <w:r>
              <w:rPr>
                <w:rFonts w:hint="eastAsia"/>
                <w:sz w:val="21"/>
                <w:szCs w:val="21"/>
                <w:lang w:eastAsia="zh-CN"/>
              </w:rPr>
              <w:t>7</w:t>
            </w:r>
          </w:p>
        </w:tc>
        <w:tc>
          <w:tcPr>
            <w:tcW w:w="1472" w:type="dxa"/>
            <w:vAlign w:val="center"/>
          </w:tcPr>
          <w:p w14:paraId="70EE99FE">
            <w:pPr>
              <w:pStyle w:val="39"/>
              <w:spacing w:line="360" w:lineRule="auto"/>
              <w:ind w:left="9"/>
              <w:jc w:val="center"/>
              <w:rPr>
                <w:rFonts w:hint="eastAsia"/>
                <w:sz w:val="21"/>
                <w:szCs w:val="21"/>
                <w:lang w:eastAsia="zh-CN"/>
              </w:rPr>
            </w:pPr>
            <w:r>
              <w:rPr>
                <w:rFonts w:hint="eastAsia"/>
                <w:sz w:val="21"/>
                <w:szCs w:val="21"/>
                <w:lang w:eastAsia="zh-CN"/>
              </w:rPr>
              <w:t>7.1</w:t>
            </w:r>
          </w:p>
        </w:tc>
        <w:tc>
          <w:tcPr>
            <w:tcW w:w="7254" w:type="dxa"/>
            <w:shd w:val="clear" w:color="auto" w:fill="auto"/>
            <w:vAlign w:val="center"/>
          </w:tcPr>
          <w:p w14:paraId="0C969D63">
            <w:pPr>
              <w:tabs>
                <w:tab w:val="right" w:pos="9638"/>
              </w:tabs>
              <w:spacing w:line="400" w:lineRule="exact"/>
              <w:rPr>
                <w:rFonts w:hint="eastAsia"/>
                <w:sz w:val="21"/>
                <w:szCs w:val="21"/>
                <w:lang w:eastAsia="zh-CN"/>
              </w:rPr>
            </w:pPr>
            <w:r>
              <w:rPr>
                <w:rFonts w:hint="eastAsia"/>
                <w:sz w:val="21"/>
                <w:szCs w:val="21"/>
                <w:lang w:eastAsia="zh-CN"/>
              </w:rPr>
              <w:t xml:space="preserve">投标保证金的形式： </w:t>
            </w:r>
          </w:p>
          <w:p w14:paraId="0920990A">
            <w:pPr>
              <w:tabs>
                <w:tab w:val="right" w:pos="9638"/>
              </w:tabs>
              <w:autoSpaceDE/>
              <w:autoSpaceDN/>
              <w:spacing w:line="400" w:lineRule="exact"/>
              <w:ind w:left="110" w:leftChars="50"/>
              <w:rPr>
                <w:rFonts w:hint="eastAsia"/>
                <w:sz w:val="21"/>
                <w:szCs w:val="21"/>
                <w:lang w:eastAsia="zh-CN"/>
              </w:rPr>
            </w:pPr>
            <w:r>
              <w:rPr>
                <w:rFonts w:hint="eastAsia"/>
                <w:sz w:val="21"/>
                <w:szCs w:val="21"/>
                <w:lang w:eastAsia="zh-CN"/>
              </w:rPr>
              <w:t>☑ 银行转账</w:t>
            </w:r>
          </w:p>
          <w:p w14:paraId="429BBF58">
            <w:pPr>
              <w:tabs>
                <w:tab w:val="right" w:pos="9638"/>
              </w:tabs>
              <w:spacing w:line="400" w:lineRule="exact"/>
              <w:rPr>
                <w:rFonts w:hint="eastAsia"/>
                <w:sz w:val="21"/>
                <w:szCs w:val="21"/>
                <w:lang w:eastAsia="zh-CN"/>
              </w:rPr>
            </w:pPr>
            <w:r>
              <w:rPr>
                <w:rFonts w:hint="eastAsia"/>
                <w:sz w:val="21"/>
                <w:szCs w:val="21"/>
                <w:lang w:eastAsia="zh-CN"/>
              </w:rPr>
              <w:t xml:space="preserve"> ☑ 银行汇票</w:t>
            </w:r>
          </w:p>
          <w:p w14:paraId="6C085AF9">
            <w:pPr>
              <w:tabs>
                <w:tab w:val="right" w:pos="9638"/>
              </w:tabs>
              <w:spacing w:line="400" w:lineRule="exact"/>
              <w:rPr>
                <w:rFonts w:hint="eastAsia"/>
                <w:sz w:val="21"/>
                <w:szCs w:val="21"/>
                <w:lang w:eastAsia="zh-CN"/>
              </w:rPr>
            </w:pPr>
            <w:r>
              <w:rPr>
                <w:rFonts w:hint="eastAsia"/>
                <w:sz w:val="21"/>
                <w:szCs w:val="21"/>
                <w:lang w:eastAsia="zh-CN"/>
              </w:rPr>
              <w:t xml:space="preserve"> ☑ 银行保函</w:t>
            </w:r>
          </w:p>
          <w:p w14:paraId="1796F1A7">
            <w:pPr>
              <w:tabs>
                <w:tab w:val="right" w:pos="9638"/>
              </w:tabs>
              <w:spacing w:line="400" w:lineRule="exact"/>
              <w:rPr>
                <w:rFonts w:hint="eastAsia"/>
                <w:spacing w:val="-10"/>
                <w:sz w:val="21"/>
                <w:szCs w:val="21"/>
                <w:lang w:eastAsia="zh-CN"/>
              </w:rPr>
            </w:pPr>
            <w:r>
              <w:rPr>
                <w:rFonts w:hint="eastAsia"/>
                <w:spacing w:val="-10"/>
                <w:sz w:val="21"/>
                <w:szCs w:val="21"/>
                <w:lang w:eastAsia="zh-CN"/>
              </w:rPr>
              <w:t xml:space="preserve"> ☑ 电子保函（此四种方式投标人可任选，招标人不得拒绝）。</w:t>
            </w:r>
          </w:p>
          <w:p w14:paraId="14C15C6D">
            <w:pPr>
              <w:widowControl/>
              <w:rPr>
                <w:rFonts w:hint="eastAsia"/>
                <w:sz w:val="21"/>
                <w:szCs w:val="21"/>
                <w:lang w:eastAsia="zh-CN"/>
              </w:rPr>
            </w:pPr>
            <w:r>
              <w:rPr>
                <w:rFonts w:hint="eastAsia"/>
                <w:sz w:val="21"/>
                <w:szCs w:val="21"/>
                <w:lang w:eastAsia="zh-CN"/>
              </w:rPr>
              <w:t xml:space="preserve">投标保证金的金额：伍万元整（￥50000.00）                                                                                                                                                                                                                                                                        </w:t>
            </w:r>
          </w:p>
          <w:p w14:paraId="59038362">
            <w:pPr>
              <w:tabs>
                <w:tab w:val="right" w:pos="9638"/>
              </w:tabs>
              <w:spacing w:line="400" w:lineRule="exact"/>
              <w:rPr>
                <w:rFonts w:hint="eastAsia"/>
                <w:sz w:val="21"/>
                <w:szCs w:val="21"/>
                <w:lang w:eastAsia="zh-CN"/>
              </w:rPr>
            </w:pPr>
            <w:r>
              <w:rPr>
                <w:rFonts w:hint="eastAsia"/>
                <w:spacing w:val="-10"/>
                <w:sz w:val="21"/>
                <w:szCs w:val="21"/>
                <w:lang w:eastAsia="zh-CN"/>
              </w:rPr>
              <w:t>开户银行：投标人自行从系统中选择。</w:t>
            </w:r>
            <w:r>
              <w:rPr>
                <w:rFonts w:hint="eastAsia"/>
                <w:sz w:val="21"/>
                <w:szCs w:val="21"/>
                <w:lang w:eastAsia="zh-CN"/>
              </w:rPr>
              <w:t> </w:t>
            </w:r>
          </w:p>
          <w:p w14:paraId="76D432DF">
            <w:pPr>
              <w:tabs>
                <w:tab w:val="right" w:pos="9638"/>
              </w:tabs>
              <w:spacing w:line="400" w:lineRule="exact"/>
              <w:rPr>
                <w:rFonts w:hint="eastAsia"/>
                <w:spacing w:val="-10"/>
                <w:sz w:val="21"/>
                <w:szCs w:val="21"/>
                <w:lang w:eastAsia="zh-CN"/>
              </w:rPr>
            </w:pPr>
            <w:r>
              <w:rPr>
                <w:rFonts w:hint="eastAsia"/>
                <w:spacing w:val="-10"/>
                <w:sz w:val="21"/>
                <w:szCs w:val="21"/>
                <w:lang w:eastAsia="zh-CN"/>
              </w:rPr>
              <w:t>账户名：从系统中获取。 </w:t>
            </w:r>
          </w:p>
          <w:p w14:paraId="45B080E9">
            <w:pPr>
              <w:widowControl/>
              <w:rPr>
                <w:rFonts w:hint="eastAsia"/>
                <w:spacing w:val="-10"/>
                <w:sz w:val="21"/>
                <w:szCs w:val="21"/>
                <w:lang w:eastAsia="zh-CN"/>
              </w:rPr>
            </w:pPr>
            <w:r>
              <w:rPr>
                <w:rFonts w:hint="eastAsia"/>
                <w:spacing w:val="-10"/>
                <w:sz w:val="21"/>
                <w:szCs w:val="21"/>
                <w:lang w:eastAsia="zh-CN"/>
              </w:rPr>
              <w:t>账号：投标人自行在系统中生成。 </w:t>
            </w:r>
          </w:p>
          <w:p w14:paraId="1F4E33B4">
            <w:pPr>
              <w:widowControl/>
              <w:rPr>
                <w:rFonts w:hint="eastAsia"/>
                <w:sz w:val="21"/>
                <w:szCs w:val="21"/>
                <w:lang w:eastAsia="zh-CN"/>
              </w:rPr>
            </w:pPr>
            <w:r>
              <w:rPr>
                <w:rFonts w:hint="eastAsia"/>
                <w:spacing w:val="-10"/>
                <w:sz w:val="21"/>
                <w:szCs w:val="21"/>
                <w:lang w:eastAsia="zh-CN"/>
              </w:rPr>
              <w:t xml:space="preserve">备注：本项目采用虚拟子账户方式网上缴纳保证金，投标人应当按照电子保证金系统中的流程操作，在系统中获取保证金子账号，在规定的到账时间之前足额转账到达该子账号中。未按上述约定要求缴纳投标保证金的，将视为无效，由投标人自行负责。 </w:t>
            </w:r>
          </w:p>
          <w:p w14:paraId="162237B1">
            <w:pPr>
              <w:widowControl/>
              <w:rPr>
                <w:rFonts w:hint="eastAsia"/>
                <w:spacing w:val="-10"/>
                <w:sz w:val="21"/>
                <w:szCs w:val="21"/>
                <w:lang w:eastAsia="zh-CN"/>
              </w:rPr>
            </w:pPr>
            <w:r>
              <w:rPr>
                <w:rFonts w:hint="eastAsia"/>
                <w:spacing w:val="-10"/>
                <w:sz w:val="21"/>
                <w:szCs w:val="21"/>
                <w:lang w:eastAsia="zh-CN"/>
              </w:rPr>
              <w:t>到账时间：同投标截止时间到账（投标截止时间有变动时，到账时间顺延）。</w:t>
            </w:r>
          </w:p>
          <w:p w14:paraId="39BF36BA">
            <w:pPr>
              <w:widowControl/>
              <w:rPr>
                <w:rFonts w:hint="eastAsia"/>
                <w:spacing w:val="-10"/>
                <w:sz w:val="21"/>
                <w:szCs w:val="21"/>
                <w:lang w:eastAsia="zh-CN"/>
              </w:rPr>
            </w:pPr>
            <w:r>
              <w:rPr>
                <w:rFonts w:hint="eastAsia"/>
                <w:spacing w:val="-10"/>
                <w:sz w:val="21"/>
                <w:szCs w:val="21"/>
                <w:lang w:eastAsia="zh-CN"/>
              </w:rPr>
              <w:t>采用银行转账方式的，投标人的投标保证金到账时间须在本招标文件规定的到账时间之前；采用银行汇票或者银行保函或者电子保函的，投标人应当在投标截止时间前将银行汇票或者银行保函或者电子保函（下载打印件）递交给招标人（或招标人委托的代理机构）。</w:t>
            </w:r>
          </w:p>
          <w:p w14:paraId="77A34499">
            <w:pPr>
              <w:widowControl/>
              <w:rPr>
                <w:rFonts w:hint="eastAsia" w:ascii="黑体" w:eastAsia="黑体"/>
                <w:spacing w:val="-10"/>
                <w:sz w:val="28"/>
                <w:szCs w:val="28"/>
                <w:u w:val="single"/>
                <w:lang w:eastAsia="zh-CN"/>
              </w:rPr>
            </w:pPr>
            <w:r>
              <w:rPr>
                <w:rFonts w:hint="eastAsia"/>
                <w:spacing w:val="-10"/>
                <w:sz w:val="21"/>
                <w:szCs w:val="21"/>
                <w:lang w:eastAsia="zh-CN"/>
              </w:rPr>
              <w:t>未按上述约定形式递交投标保证金的，招标人应当拒收，按投标人自动放弃投标处理。</w:t>
            </w:r>
          </w:p>
        </w:tc>
      </w:tr>
      <w:tr w14:paraId="2D2BC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6" w:type="dxa"/>
            <w:vAlign w:val="center"/>
          </w:tcPr>
          <w:p w14:paraId="01E9E0D6">
            <w:pPr>
              <w:pStyle w:val="39"/>
              <w:spacing w:line="360" w:lineRule="auto"/>
              <w:ind w:left="9"/>
              <w:jc w:val="center"/>
              <w:rPr>
                <w:rFonts w:hint="eastAsia"/>
                <w:sz w:val="21"/>
                <w:szCs w:val="21"/>
              </w:rPr>
            </w:pPr>
            <w:r>
              <w:rPr>
                <w:sz w:val="21"/>
                <w:szCs w:val="21"/>
              </w:rPr>
              <w:t>8</w:t>
            </w:r>
          </w:p>
        </w:tc>
        <w:tc>
          <w:tcPr>
            <w:tcW w:w="1472" w:type="dxa"/>
            <w:vAlign w:val="center"/>
          </w:tcPr>
          <w:p w14:paraId="046335A2">
            <w:pPr>
              <w:pStyle w:val="39"/>
              <w:spacing w:line="360" w:lineRule="auto"/>
              <w:ind w:left="495"/>
              <w:jc w:val="both"/>
              <w:rPr>
                <w:rFonts w:hint="eastAsia"/>
                <w:sz w:val="21"/>
                <w:szCs w:val="21"/>
                <w:lang w:eastAsia="zh-CN"/>
              </w:rPr>
            </w:pPr>
            <w:r>
              <w:rPr>
                <w:rFonts w:hint="eastAsia"/>
                <w:sz w:val="21"/>
                <w:szCs w:val="21"/>
                <w:lang w:eastAsia="zh-CN"/>
              </w:rPr>
              <w:t>8.1</w:t>
            </w:r>
          </w:p>
        </w:tc>
        <w:tc>
          <w:tcPr>
            <w:tcW w:w="7254" w:type="dxa"/>
          </w:tcPr>
          <w:p w14:paraId="6D0D2AB1">
            <w:pPr>
              <w:pStyle w:val="39"/>
              <w:spacing w:line="360" w:lineRule="auto"/>
              <w:ind w:left="108"/>
              <w:rPr>
                <w:rFonts w:hint="eastAsia"/>
                <w:sz w:val="21"/>
                <w:szCs w:val="21"/>
                <w:lang w:eastAsia="zh-CN"/>
              </w:rPr>
            </w:pPr>
            <w:r>
              <w:rPr>
                <w:rFonts w:hint="eastAsia"/>
                <w:sz w:val="21"/>
                <w:szCs w:val="21"/>
                <w:lang w:eastAsia="zh-CN"/>
              </w:rPr>
              <w:t>投标有效期：从提交投标文件的截止之日起 90 天</w:t>
            </w:r>
          </w:p>
        </w:tc>
      </w:tr>
      <w:tr w14:paraId="717AF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46" w:type="dxa"/>
            <w:vAlign w:val="center"/>
          </w:tcPr>
          <w:p w14:paraId="04136E77">
            <w:pPr>
              <w:pStyle w:val="39"/>
              <w:spacing w:before="119" w:line="360" w:lineRule="auto"/>
              <w:ind w:left="9"/>
              <w:jc w:val="center"/>
              <w:rPr>
                <w:rFonts w:hint="eastAsia"/>
                <w:sz w:val="21"/>
                <w:szCs w:val="21"/>
              </w:rPr>
            </w:pPr>
            <w:r>
              <w:rPr>
                <w:sz w:val="21"/>
                <w:szCs w:val="21"/>
              </w:rPr>
              <w:t>9</w:t>
            </w:r>
          </w:p>
        </w:tc>
        <w:tc>
          <w:tcPr>
            <w:tcW w:w="1472" w:type="dxa"/>
            <w:vAlign w:val="center"/>
          </w:tcPr>
          <w:p w14:paraId="78817257">
            <w:pPr>
              <w:pStyle w:val="39"/>
              <w:spacing w:before="119" w:line="360" w:lineRule="auto"/>
              <w:ind w:left="495"/>
              <w:jc w:val="both"/>
              <w:rPr>
                <w:rFonts w:hint="eastAsia"/>
                <w:sz w:val="21"/>
                <w:szCs w:val="21"/>
                <w:lang w:eastAsia="zh-CN"/>
              </w:rPr>
            </w:pPr>
            <w:r>
              <w:rPr>
                <w:rFonts w:hint="eastAsia"/>
                <w:sz w:val="21"/>
                <w:szCs w:val="21"/>
                <w:lang w:eastAsia="zh-CN"/>
              </w:rPr>
              <w:t>9.1</w:t>
            </w:r>
          </w:p>
        </w:tc>
        <w:tc>
          <w:tcPr>
            <w:tcW w:w="7254" w:type="dxa"/>
          </w:tcPr>
          <w:p w14:paraId="190C6CC4">
            <w:pPr>
              <w:pStyle w:val="39"/>
              <w:spacing w:line="360" w:lineRule="auto"/>
              <w:ind w:left="108"/>
              <w:rPr>
                <w:rFonts w:hint="eastAsia"/>
                <w:sz w:val="21"/>
                <w:szCs w:val="21"/>
                <w:lang w:eastAsia="zh-CN"/>
              </w:rPr>
            </w:pPr>
            <w:r>
              <w:rPr>
                <w:rFonts w:hint="eastAsia"/>
                <w:sz w:val="21"/>
                <w:szCs w:val="21"/>
                <w:lang w:eastAsia="zh-CN"/>
              </w:rPr>
              <w:t>投标截止时间：详见第一章“投标邀请”加盖电子签章的电子版投标文件必须在投标截止时间前上传到江西省公共资源交易网；</w:t>
            </w:r>
          </w:p>
          <w:p w14:paraId="0CB56A1B">
            <w:pPr>
              <w:pStyle w:val="39"/>
              <w:spacing w:line="360" w:lineRule="auto"/>
              <w:ind w:left="108"/>
              <w:rPr>
                <w:rFonts w:hint="eastAsia"/>
                <w:b/>
                <w:bCs/>
                <w:sz w:val="21"/>
                <w:szCs w:val="21"/>
                <w:lang w:eastAsia="zh-CN"/>
              </w:rPr>
            </w:pPr>
            <w:r>
              <w:rPr>
                <w:rFonts w:hint="eastAsia"/>
                <w:b/>
                <w:bCs/>
                <w:sz w:val="21"/>
                <w:szCs w:val="21"/>
                <w:lang w:eastAsia="zh-CN"/>
              </w:rPr>
              <w:t>“不见面开标”注意事项：</w:t>
            </w:r>
          </w:p>
          <w:p w14:paraId="26B44B8D">
            <w:pPr>
              <w:pStyle w:val="39"/>
              <w:spacing w:line="360" w:lineRule="auto"/>
              <w:ind w:left="108"/>
              <w:rPr>
                <w:rFonts w:hint="eastAsia"/>
                <w:sz w:val="21"/>
                <w:szCs w:val="21"/>
                <w:lang w:eastAsia="zh-CN"/>
              </w:rPr>
            </w:pPr>
            <w:r>
              <w:rPr>
                <w:rFonts w:hint="eastAsia"/>
                <w:sz w:val="21"/>
                <w:szCs w:val="21"/>
                <w:lang w:eastAsia="zh-CN"/>
              </w:rPr>
              <w:t>（1）本项目采用“不见面开标”系统开标，投标企业不需要到场参加开标会，现场环节（包括但不限于现场签到、递交原件、现场解锁、纸质保函等）全部转为不见面开标系统线上操作。</w:t>
            </w:r>
          </w:p>
          <w:p w14:paraId="6DC32D79">
            <w:pPr>
              <w:pStyle w:val="39"/>
              <w:spacing w:line="360" w:lineRule="auto"/>
              <w:ind w:left="108"/>
              <w:rPr>
                <w:rFonts w:hint="eastAsia"/>
                <w:sz w:val="21"/>
                <w:szCs w:val="21"/>
                <w:lang w:eastAsia="zh-CN"/>
              </w:rPr>
            </w:pPr>
            <w:r>
              <w:rPr>
                <w:rFonts w:hint="eastAsia"/>
                <w:sz w:val="21"/>
                <w:szCs w:val="21"/>
                <w:lang w:eastAsia="zh-CN"/>
              </w:rPr>
              <w:t>（2）在投标截止时间前，各投标人必须在不见面开标系统页面进行在线签到， 否则无法进入后续的开标环节。如投标人未在投标截止时间前在线签到，按自动放弃处理。</w:t>
            </w:r>
          </w:p>
          <w:p w14:paraId="73B45F35">
            <w:pPr>
              <w:pStyle w:val="39"/>
              <w:spacing w:line="360" w:lineRule="auto"/>
              <w:ind w:left="108"/>
              <w:rPr>
                <w:rFonts w:hint="eastAsia"/>
                <w:sz w:val="21"/>
                <w:szCs w:val="21"/>
                <w:lang w:eastAsia="zh-CN"/>
              </w:rPr>
            </w:pPr>
            <w:r>
              <w:rPr>
                <w:rFonts w:hint="eastAsia"/>
                <w:sz w:val="21"/>
                <w:szCs w:val="21"/>
                <w:lang w:eastAsia="zh-CN"/>
              </w:rPr>
              <w:t>（3）各投标企业的法定代表委托人必须是投标企业本单位职工，并且能够熟练的操作新点系统，因业务不熟悉而导致的一切后果由投标企业自行承担。一个项目只能有一个委托代理人，授权委托人在项目开、评标期间必须保持在线状态，随时通过“不见面开标”并在系统接收询标信息，“互动交流”中对询标内容进行回复（自询标内容发出起 30 分钟内完成回复），否则视为放弃解释说明的权利和意见。投标人回复询标内容时需将询标内容和回复意见打印并加盖投标人单位公章后扫描上传至“互动交流”（回复样式以招标人发出的询标函格式为准）。</w:t>
            </w:r>
          </w:p>
          <w:p w14:paraId="69B575F4">
            <w:pPr>
              <w:pStyle w:val="39"/>
              <w:spacing w:line="360" w:lineRule="auto"/>
              <w:ind w:left="108"/>
              <w:rPr>
                <w:rFonts w:hint="eastAsia"/>
                <w:sz w:val="21"/>
                <w:szCs w:val="21"/>
                <w:lang w:eastAsia="zh-CN"/>
              </w:rPr>
            </w:pPr>
            <w:r>
              <w:rPr>
                <w:rFonts w:hint="eastAsia"/>
                <w:sz w:val="21"/>
                <w:szCs w:val="21"/>
                <w:lang w:eastAsia="zh-CN"/>
              </w:rPr>
              <w:t>（4）投标人对开标过程和中标结果有异议的，可将异议内容以书面形式提出并加盖单位公章后扫描上传至本项目不见面开标大厅 “开标异议文字提问”栏中。</w:t>
            </w:r>
          </w:p>
        </w:tc>
      </w:tr>
      <w:tr w14:paraId="638F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6" w:type="dxa"/>
            <w:vAlign w:val="center"/>
          </w:tcPr>
          <w:p w14:paraId="1615836D">
            <w:pPr>
              <w:pStyle w:val="39"/>
              <w:spacing w:before="165" w:line="360" w:lineRule="auto"/>
              <w:ind w:left="161" w:right="152"/>
              <w:jc w:val="center"/>
              <w:rPr>
                <w:rFonts w:hint="eastAsia"/>
                <w:sz w:val="21"/>
                <w:szCs w:val="21"/>
              </w:rPr>
            </w:pPr>
            <w:r>
              <w:rPr>
                <w:sz w:val="21"/>
                <w:szCs w:val="21"/>
              </w:rPr>
              <w:t>10</w:t>
            </w:r>
          </w:p>
        </w:tc>
        <w:tc>
          <w:tcPr>
            <w:tcW w:w="1472" w:type="dxa"/>
            <w:vAlign w:val="center"/>
          </w:tcPr>
          <w:p w14:paraId="525F97FB">
            <w:pPr>
              <w:pStyle w:val="39"/>
              <w:spacing w:before="165" w:line="360" w:lineRule="auto"/>
              <w:ind w:left="475" w:right="466"/>
              <w:jc w:val="center"/>
              <w:rPr>
                <w:rFonts w:hint="eastAsia"/>
                <w:sz w:val="21"/>
                <w:szCs w:val="21"/>
                <w:lang w:eastAsia="zh-CN"/>
              </w:rPr>
            </w:pPr>
            <w:r>
              <w:rPr>
                <w:rFonts w:hint="eastAsia"/>
                <w:sz w:val="21"/>
                <w:szCs w:val="21"/>
                <w:lang w:eastAsia="zh-CN"/>
              </w:rPr>
              <w:t>10.1</w:t>
            </w:r>
          </w:p>
        </w:tc>
        <w:tc>
          <w:tcPr>
            <w:tcW w:w="7254" w:type="dxa"/>
            <w:vAlign w:val="center"/>
          </w:tcPr>
          <w:p w14:paraId="3856588B">
            <w:pPr>
              <w:pStyle w:val="39"/>
              <w:spacing w:line="360" w:lineRule="auto"/>
              <w:ind w:left="108"/>
              <w:jc w:val="both"/>
              <w:rPr>
                <w:rFonts w:hint="eastAsia"/>
                <w:sz w:val="21"/>
                <w:szCs w:val="21"/>
                <w:lang w:eastAsia="zh-CN"/>
              </w:rPr>
            </w:pPr>
            <w:r>
              <w:rPr>
                <w:rFonts w:hint="eastAsia"/>
                <w:sz w:val="21"/>
                <w:szCs w:val="21"/>
                <w:lang w:eastAsia="zh-CN"/>
              </w:rPr>
              <w:t>本项目不允许分包或转包。</w:t>
            </w:r>
          </w:p>
        </w:tc>
      </w:tr>
      <w:tr w14:paraId="4A570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6" w:type="dxa"/>
            <w:vAlign w:val="center"/>
          </w:tcPr>
          <w:p w14:paraId="16915E13">
            <w:pPr>
              <w:pStyle w:val="39"/>
              <w:spacing w:line="360" w:lineRule="auto"/>
              <w:ind w:left="161" w:right="152"/>
              <w:jc w:val="center"/>
              <w:rPr>
                <w:rFonts w:hint="eastAsia"/>
                <w:sz w:val="21"/>
                <w:szCs w:val="21"/>
              </w:rPr>
            </w:pPr>
            <w:r>
              <w:rPr>
                <w:sz w:val="21"/>
                <w:szCs w:val="21"/>
              </w:rPr>
              <w:t>11</w:t>
            </w:r>
          </w:p>
        </w:tc>
        <w:tc>
          <w:tcPr>
            <w:tcW w:w="1472" w:type="dxa"/>
            <w:vAlign w:val="center"/>
          </w:tcPr>
          <w:p w14:paraId="61D2C75B">
            <w:pPr>
              <w:pStyle w:val="39"/>
              <w:spacing w:line="360" w:lineRule="auto"/>
              <w:ind w:left="475" w:right="466"/>
              <w:jc w:val="center"/>
              <w:rPr>
                <w:rFonts w:hint="eastAsia"/>
                <w:sz w:val="21"/>
                <w:szCs w:val="21"/>
                <w:lang w:eastAsia="zh-CN"/>
              </w:rPr>
            </w:pPr>
            <w:r>
              <w:rPr>
                <w:rFonts w:hint="eastAsia"/>
                <w:sz w:val="21"/>
                <w:szCs w:val="21"/>
                <w:lang w:eastAsia="zh-CN"/>
              </w:rPr>
              <w:t>11.1</w:t>
            </w:r>
          </w:p>
        </w:tc>
        <w:tc>
          <w:tcPr>
            <w:tcW w:w="7254" w:type="dxa"/>
            <w:vAlign w:val="center"/>
          </w:tcPr>
          <w:p w14:paraId="6E36E0B2">
            <w:pPr>
              <w:pStyle w:val="39"/>
              <w:spacing w:line="360" w:lineRule="auto"/>
              <w:ind w:left="108"/>
              <w:rPr>
                <w:rFonts w:hint="eastAsia"/>
                <w:sz w:val="21"/>
                <w:szCs w:val="21"/>
                <w:lang w:eastAsia="zh-CN"/>
              </w:rPr>
            </w:pPr>
            <w:r>
              <w:rPr>
                <w:rFonts w:hint="eastAsia"/>
                <w:sz w:val="21"/>
                <w:szCs w:val="21"/>
                <w:lang w:eastAsia="zh-CN"/>
              </w:rPr>
              <w:t>开标时间：详见第一章“投标邀请” 、开标地点：详见第一章“投标邀请”</w:t>
            </w:r>
          </w:p>
        </w:tc>
      </w:tr>
      <w:tr w14:paraId="58468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6" w:type="dxa"/>
            <w:vAlign w:val="center"/>
          </w:tcPr>
          <w:p w14:paraId="08113859">
            <w:pPr>
              <w:pStyle w:val="39"/>
              <w:spacing w:line="360" w:lineRule="auto"/>
              <w:ind w:left="161" w:right="152"/>
              <w:jc w:val="center"/>
              <w:rPr>
                <w:rFonts w:hint="eastAsia"/>
                <w:sz w:val="21"/>
                <w:szCs w:val="21"/>
              </w:rPr>
            </w:pPr>
            <w:r>
              <w:rPr>
                <w:sz w:val="21"/>
                <w:szCs w:val="21"/>
              </w:rPr>
              <w:t>12</w:t>
            </w:r>
          </w:p>
        </w:tc>
        <w:tc>
          <w:tcPr>
            <w:tcW w:w="1472" w:type="dxa"/>
            <w:vAlign w:val="center"/>
          </w:tcPr>
          <w:p w14:paraId="17AB6615">
            <w:pPr>
              <w:pStyle w:val="39"/>
              <w:spacing w:line="360" w:lineRule="auto"/>
              <w:ind w:left="475" w:right="466"/>
              <w:jc w:val="center"/>
              <w:rPr>
                <w:rFonts w:hint="eastAsia"/>
                <w:sz w:val="21"/>
                <w:szCs w:val="21"/>
                <w:lang w:eastAsia="zh-CN"/>
              </w:rPr>
            </w:pPr>
            <w:r>
              <w:rPr>
                <w:rFonts w:hint="eastAsia"/>
                <w:sz w:val="21"/>
                <w:szCs w:val="21"/>
                <w:lang w:eastAsia="zh-CN"/>
              </w:rPr>
              <w:t>12.1</w:t>
            </w:r>
          </w:p>
        </w:tc>
        <w:tc>
          <w:tcPr>
            <w:tcW w:w="7254" w:type="dxa"/>
            <w:vAlign w:val="center"/>
          </w:tcPr>
          <w:p w14:paraId="2577EC80">
            <w:pPr>
              <w:pStyle w:val="39"/>
              <w:spacing w:line="360" w:lineRule="auto"/>
              <w:ind w:left="108"/>
              <w:rPr>
                <w:rFonts w:hint="eastAsia"/>
                <w:sz w:val="21"/>
                <w:szCs w:val="21"/>
                <w:lang w:eastAsia="zh-CN"/>
              </w:rPr>
            </w:pPr>
            <w:r>
              <w:rPr>
                <w:rFonts w:hint="eastAsia"/>
                <w:sz w:val="21"/>
                <w:szCs w:val="21"/>
                <w:lang w:eastAsia="zh-CN"/>
              </w:rPr>
              <w:t>评标办法：综合评分法</w:t>
            </w:r>
          </w:p>
          <w:p w14:paraId="04B8BF2C">
            <w:pPr>
              <w:pStyle w:val="39"/>
              <w:spacing w:line="360" w:lineRule="auto"/>
              <w:ind w:left="108"/>
              <w:rPr>
                <w:rFonts w:hint="eastAsia"/>
                <w:sz w:val="21"/>
                <w:szCs w:val="21"/>
                <w:lang w:eastAsia="zh-CN"/>
              </w:rPr>
            </w:pPr>
            <w:r>
              <w:rPr>
                <w:rFonts w:hint="eastAsia"/>
                <w:sz w:val="21"/>
                <w:szCs w:val="21"/>
                <w:lang w:eastAsia="zh-CN"/>
              </w:rPr>
              <w:t>评分说明：</w:t>
            </w:r>
          </w:p>
          <w:p w14:paraId="3E8AB834">
            <w:pPr>
              <w:pStyle w:val="39"/>
              <w:spacing w:line="360" w:lineRule="auto"/>
              <w:ind w:left="108"/>
              <w:rPr>
                <w:rFonts w:hint="eastAsia"/>
                <w:sz w:val="21"/>
                <w:szCs w:val="21"/>
                <w:lang w:eastAsia="zh-CN"/>
              </w:rPr>
            </w:pPr>
            <w:r>
              <w:rPr>
                <w:rFonts w:hint="eastAsia"/>
                <w:sz w:val="21"/>
                <w:szCs w:val="21"/>
                <w:lang w:eastAsia="zh-CN"/>
              </w:rPr>
              <w:t>1、评标专家组根据招标文件对各投标人的投标文件中技术参数要求响应评比、商务与服务响应等情况进行评审和综合评估并打分；</w:t>
            </w:r>
          </w:p>
          <w:p w14:paraId="6AC965B9">
            <w:pPr>
              <w:pStyle w:val="39"/>
              <w:spacing w:line="360" w:lineRule="auto"/>
              <w:ind w:left="108"/>
              <w:rPr>
                <w:rFonts w:hint="eastAsia"/>
                <w:sz w:val="21"/>
                <w:szCs w:val="21"/>
                <w:lang w:eastAsia="zh-CN"/>
              </w:rPr>
            </w:pPr>
            <w:r>
              <w:rPr>
                <w:rFonts w:hint="eastAsia"/>
                <w:sz w:val="21"/>
                <w:szCs w:val="21"/>
                <w:lang w:eastAsia="zh-CN"/>
              </w:rPr>
              <w:t>评标专家组成员打分时不得协商，应独立完成。根据评标专家组的综合打分结果，得出预中标人排序。</w:t>
            </w:r>
          </w:p>
          <w:p w14:paraId="4B506B4F">
            <w:pPr>
              <w:pStyle w:val="39"/>
              <w:spacing w:line="360" w:lineRule="auto"/>
              <w:ind w:left="108"/>
              <w:rPr>
                <w:rFonts w:hint="eastAsia"/>
                <w:sz w:val="21"/>
                <w:szCs w:val="21"/>
                <w:lang w:eastAsia="zh-CN"/>
              </w:rPr>
            </w:pPr>
            <w:r>
              <w:rPr>
                <w:rFonts w:hint="eastAsia"/>
                <w:sz w:val="21"/>
                <w:szCs w:val="21"/>
                <w:lang w:eastAsia="zh-CN"/>
              </w:rPr>
              <w:t>2、本标段采用“综合评分法”进行评标，总分为 100 分。</w:t>
            </w:r>
          </w:p>
          <w:p w14:paraId="67318E56">
            <w:pPr>
              <w:pStyle w:val="39"/>
              <w:spacing w:line="360" w:lineRule="auto"/>
              <w:ind w:left="108"/>
              <w:rPr>
                <w:rFonts w:hint="eastAsia"/>
                <w:sz w:val="21"/>
                <w:szCs w:val="21"/>
                <w:lang w:eastAsia="zh-CN"/>
              </w:rPr>
            </w:pPr>
            <w:r>
              <w:rPr>
                <w:rFonts w:hint="eastAsia"/>
                <w:color w:val="auto"/>
                <w:sz w:val="21"/>
                <w:szCs w:val="21"/>
                <w:lang w:eastAsia="zh-CN"/>
              </w:rPr>
              <w:t>总分＝价格分（</w:t>
            </w:r>
            <w:r>
              <w:rPr>
                <w:rFonts w:hint="eastAsia"/>
                <w:color w:val="auto"/>
                <w:sz w:val="21"/>
                <w:szCs w:val="21"/>
                <w:lang w:val="en-US" w:eastAsia="zh-CN"/>
              </w:rPr>
              <w:t>30</w:t>
            </w:r>
            <w:r>
              <w:rPr>
                <w:rFonts w:hint="eastAsia"/>
                <w:color w:val="auto"/>
                <w:sz w:val="21"/>
                <w:szCs w:val="21"/>
                <w:lang w:eastAsia="zh-CN"/>
              </w:rPr>
              <w:t>分）+技术分（</w:t>
            </w:r>
            <w:r>
              <w:rPr>
                <w:rFonts w:hint="eastAsia"/>
                <w:color w:val="auto"/>
                <w:sz w:val="21"/>
                <w:szCs w:val="21"/>
                <w:lang w:val="en-US" w:eastAsia="zh-CN"/>
              </w:rPr>
              <w:t>60</w:t>
            </w:r>
            <w:r>
              <w:rPr>
                <w:rFonts w:hint="eastAsia"/>
                <w:color w:val="auto"/>
                <w:sz w:val="21"/>
                <w:szCs w:val="21"/>
                <w:lang w:eastAsia="zh-CN"/>
              </w:rPr>
              <w:t>分）＋商务分（10 分）</w:t>
            </w:r>
            <w:r>
              <w:rPr>
                <w:rFonts w:hint="eastAsia"/>
                <w:sz w:val="21"/>
                <w:szCs w:val="21"/>
                <w:lang w:eastAsia="zh-CN"/>
              </w:rPr>
              <w:t>。</w:t>
            </w:r>
          </w:p>
          <w:p w14:paraId="732E74DF">
            <w:pPr>
              <w:pStyle w:val="39"/>
              <w:spacing w:line="360" w:lineRule="auto"/>
              <w:ind w:left="108"/>
              <w:rPr>
                <w:rFonts w:hint="eastAsia"/>
                <w:sz w:val="21"/>
                <w:szCs w:val="21"/>
                <w:lang w:eastAsia="zh-CN"/>
              </w:rPr>
            </w:pPr>
            <w:r>
              <w:rPr>
                <w:rFonts w:hint="eastAsia"/>
                <w:sz w:val="21"/>
                <w:szCs w:val="21"/>
                <w:lang w:eastAsia="zh-CN"/>
              </w:rPr>
              <w:t>综合打分只作推荐中标单位，总得分相同的，按技术得分由高到低排列，如技术得分也相同的，按报价得分由高到低排列。以上所有得分均相同的，由开标现场随机抽取。</w:t>
            </w:r>
          </w:p>
        </w:tc>
      </w:tr>
      <w:tr w14:paraId="60FC7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6" w:type="dxa"/>
            <w:vAlign w:val="center"/>
          </w:tcPr>
          <w:p w14:paraId="2441D621">
            <w:pPr>
              <w:pStyle w:val="39"/>
              <w:spacing w:before="165" w:line="360" w:lineRule="auto"/>
              <w:ind w:left="161" w:right="152"/>
              <w:jc w:val="center"/>
              <w:rPr>
                <w:rFonts w:hint="eastAsia"/>
                <w:sz w:val="21"/>
                <w:szCs w:val="21"/>
              </w:rPr>
            </w:pPr>
            <w:r>
              <w:rPr>
                <w:sz w:val="21"/>
                <w:szCs w:val="21"/>
              </w:rPr>
              <w:t>13</w:t>
            </w:r>
          </w:p>
        </w:tc>
        <w:tc>
          <w:tcPr>
            <w:tcW w:w="1472" w:type="dxa"/>
            <w:vAlign w:val="center"/>
          </w:tcPr>
          <w:p w14:paraId="0CC06E55">
            <w:pPr>
              <w:pStyle w:val="39"/>
              <w:spacing w:before="165" w:line="360" w:lineRule="auto"/>
              <w:ind w:left="475" w:right="466"/>
              <w:jc w:val="center"/>
              <w:rPr>
                <w:rFonts w:hint="eastAsia"/>
                <w:sz w:val="21"/>
                <w:szCs w:val="21"/>
                <w:lang w:eastAsia="zh-CN"/>
              </w:rPr>
            </w:pPr>
            <w:r>
              <w:rPr>
                <w:rFonts w:hint="eastAsia"/>
                <w:sz w:val="21"/>
                <w:szCs w:val="21"/>
                <w:lang w:eastAsia="zh-CN"/>
              </w:rPr>
              <w:t>13.1</w:t>
            </w:r>
          </w:p>
        </w:tc>
        <w:tc>
          <w:tcPr>
            <w:tcW w:w="7254" w:type="dxa"/>
          </w:tcPr>
          <w:p w14:paraId="4D556B26">
            <w:pPr>
              <w:pStyle w:val="39"/>
              <w:spacing w:before="96" w:line="360" w:lineRule="auto"/>
              <w:ind w:left="108"/>
              <w:rPr>
                <w:rFonts w:hint="eastAsia"/>
                <w:sz w:val="21"/>
                <w:szCs w:val="21"/>
                <w:lang w:eastAsia="zh-CN"/>
              </w:rPr>
            </w:pPr>
            <w:r>
              <w:rPr>
                <w:sz w:val="21"/>
                <w:szCs w:val="21"/>
                <w:lang w:eastAsia="zh-CN"/>
              </w:rPr>
              <w:t>评标标准（详见“第六章 评标标准”）</w:t>
            </w:r>
          </w:p>
        </w:tc>
      </w:tr>
      <w:tr w14:paraId="73014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6" w:type="dxa"/>
            <w:vAlign w:val="center"/>
          </w:tcPr>
          <w:p w14:paraId="50F29253">
            <w:pPr>
              <w:pStyle w:val="39"/>
              <w:spacing w:before="166" w:line="360" w:lineRule="auto"/>
              <w:ind w:left="161" w:right="152"/>
              <w:jc w:val="center"/>
              <w:rPr>
                <w:rFonts w:hint="eastAsia"/>
                <w:sz w:val="21"/>
                <w:szCs w:val="21"/>
              </w:rPr>
            </w:pPr>
            <w:r>
              <w:rPr>
                <w:sz w:val="21"/>
                <w:szCs w:val="21"/>
              </w:rPr>
              <w:t>14</w:t>
            </w:r>
          </w:p>
        </w:tc>
        <w:tc>
          <w:tcPr>
            <w:tcW w:w="1472" w:type="dxa"/>
            <w:vAlign w:val="center"/>
          </w:tcPr>
          <w:p w14:paraId="04E4605C">
            <w:pPr>
              <w:pStyle w:val="39"/>
              <w:spacing w:before="166" w:line="360" w:lineRule="auto"/>
              <w:ind w:left="475" w:right="466"/>
              <w:jc w:val="center"/>
              <w:rPr>
                <w:rFonts w:hint="eastAsia"/>
                <w:sz w:val="21"/>
                <w:szCs w:val="21"/>
                <w:lang w:eastAsia="zh-CN"/>
              </w:rPr>
            </w:pPr>
            <w:r>
              <w:rPr>
                <w:rFonts w:hint="eastAsia"/>
                <w:sz w:val="21"/>
                <w:szCs w:val="21"/>
                <w:lang w:eastAsia="zh-CN"/>
              </w:rPr>
              <w:t>14.1</w:t>
            </w:r>
          </w:p>
        </w:tc>
        <w:tc>
          <w:tcPr>
            <w:tcW w:w="7254" w:type="dxa"/>
          </w:tcPr>
          <w:p w14:paraId="4851539B">
            <w:pPr>
              <w:widowControl/>
              <w:spacing w:line="360" w:lineRule="auto"/>
              <w:rPr>
                <w:rFonts w:hint="eastAsia"/>
                <w:b/>
                <w:i/>
                <w:sz w:val="21"/>
                <w:szCs w:val="21"/>
                <w:lang w:eastAsia="zh-CN"/>
              </w:rPr>
            </w:pPr>
            <w:r>
              <w:rPr>
                <w:sz w:val="21"/>
                <w:szCs w:val="21"/>
              </w:rPr>
              <w:t>履约保证金金额：</w:t>
            </w:r>
            <w:r>
              <w:rPr>
                <w:rFonts w:hint="eastAsia"/>
                <w:sz w:val="21"/>
                <w:szCs w:val="21"/>
                <w:lang w:eastAsia="zh-CN"/>
              </w:rPr>
              <w:t xml:space="preserve">10%。 </w:t>
            </w:r>
          </w:p>
        </w:tc>
      </w:tr>
      <w:tr w14:paraId="77F9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6" w:type="dxa"/>
            <w:vAlign w:val="center"/>
          </w:tcPr>
          <w:p w14:paraId="12CB0105">
            <w:pPr>
              <w:pStyle w:val="39"/>
              <w:spacing w:before="166" w:line="360" w:lineRule="auto"/>
              <w:ind w:left="161" w:right="152"/>
              <w:jc w:val="center"/>
              <w:rPr>
                <w:rFonts w:hint="eastAsia"/>
                <w:sz w:val="21"/>
                <w:szCs w:val="21"/>
                <w:lang w:eastAsia="zh-CN"/>
              </w:rPr>
            </w:pPr>
            <w:r>
              <w:rPr>
                <w:rFonts w:hint="eastAsia"/>
                <w:sz w:val="21"/>
                <w:szCs w:val="21"/>
                <w:lang w:eastAsia="zh-CN"/>
              </w:rPr>
              <w:t>15.1</w:t>
            </w:r>
          </w:p>
        </w:tc>
        <w:tc>
          <w:tcPr>
            <w:tcW w:w="1472" w:type="dxa"/>
            <w:vAlign w:val="center"/>
          </w:tcPr>
          <w:p w14:paraId="10F2E307">
            <w:pPr>
              <w:pStyle w:val="39"/>
              <w:spacing w:before="166" w:line="360" w:lineRule="auto"/>
              <w:ind w:left="475" w:right="466"/>
              <w:jc w:val="center"/>
              <w:rPr>
                <w:rFonts w:hint="eastAsia"/>
                <w:sz w:val="21"/>
                <w:szCs w:val="21"/>
                <w:lang w:eastAsia="zh-CN"/>
              </w:rPr>
            </w:pPr>
            <w:r>
              <w:rPr>
                <w:rFonts w:hint="eastAsia"/>
                <w:sz w:val="21"/>
                <w:szCs w:val="21"/>
                <w:lang w:eastAsia="zh-CN"/>
              </w:rPr>
              <w:t>15.1</w:t>
            </w:r>
          </w:p>
        </w:tc>
        <w:tc>
          <w:tcPr>
            <w:tcW w:w="7254" w:type="dxa"/>
          </w:tcPr>
          <w:p w14:paraId="50FC3E96">
            <w:pPr>
              <w:widowControl/>
              <w:spacing w:line="360" w:lineRule="auto"/>
              <w:rPr>
                <w:rFonts w:hint="eastAsia"/>
                <w:sz w:val="21"/>
                <w:szCs w:val="21"/>
                <w:lang w:eastAsia="zh-CN"/>
              </w:rPr>
            </w:pPr>
            <w:r>
              <w:rPr>
                <w:rFonts w:hint="eastAsia"/>
                <w:sz w:val="21"/>
                <w:szCs w:val="21"/>
                <w:lang w:eastAsia="zh-CN"/>
              </w:rPr>
              <w:t>本项目服务的技术标准按本文件要求及国家现行规定。所有投标均以人民币报价，本项目报价包含货物成本、运输装卸、转运配送、税费、保险、企业利润、招标代理服务费等与项目相关的费用在内，招标人不再支付其他任何费用。</w:t>
            </w:r>
          </w:p>
        </w:tc>
      </w:tr>
      <w:tr w14:paraId="268DC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846" w:type="dxa"/>
            <w:vAlign w:val="center"/>
          </w:tcPr>
          <w:p w14:paraId="47FD37C2">
            <w:pPr>
              <w:pStyle w:val="39"/>
              <w:spacing w:line="360" w:lineRule="auto"/>
              <w:ind w:left="161" w:right="152"/>
              <w:jc w:val="center"/>
              <w:rPr>
                <w:rFonts w:hint="eastAsia"/>
                <w:sz w:val="21"/>
                <w:szCs w:val="21"/>
                <w:lang w:eastAsia="zh-CN"/>
              </w:rPr>
            </w:pPr>
            <w:r>
              <w:rPr>
                <w:rFonts w:hint="eastAsia"/>
                <w:sz w:val="21"/>
                <w:szCs w:val="21"/>
                <w:lang w:eastAsia="zh-CN"/>
              </w:rPr>
              <w:t>16</w:t>
            </w:r>
          </w:p>
        </w:tc>
        <w:tc>
          <w:tcPr>
            <w:tcW w:w="1472" w:type="dxa"/>
            <w:vAlign w:val="center"/>
          </w:tcPr>
          <w:p w14:paraId="5850DB53">
            <w:pPr>
              <w:pStyle w:val="39"/>
              <w:spacing w:line="360" w:lineRule="auto"/>
              <w:ind w:left="475" w:right="466"/>
              <w:jc w:val="center"/>
              <w:rPr>
                <w:rFonts w:hint="eastAsia"/>
                <w:sz w:val="21"/>
                <w:szCs w:val="21"/>
                <w:lang w:eastAsia="zh-CN"/>
              </w:rPr>
            </w:pPr>
            <w:r>
              <w:rPr>
                <w:rFonts w:hint="eastAsia"/>
                <w:sz w:val="21"/>
                <w:szCs w:val="21"/>
                <w:lang w:eastAsia="zh-CN"/>
              </w:rPr>
              <w:t>16.1</w:t>
            </w:r>
          </w:p>
        </w:tc>
        <w:tc>
          <w:tcPr>
            <w:tcW w:w="7254" w:type="dxa"/>
          </w:tcPr>
          <w:p w14:paraId="30FAF4CA">
            <w:pPr>
              <w:pStyle w:val="39"/>
              <w:spacing w:before="117" w:line="360" w:lineRule="auto"/>
              <w:ind w:left="108"/>
              <w:rPr>
                <w:rFonts w:hint="eastAsia"/>
                <w:sz w:val="21"/>
                <w:szCs w:val="21"/>
                <w:lang w:eastAsia="zh-CN"/>
              </w:rPr>
            </w:pPr>
            <w:r>
              <w:rPr>
                <w:rFonts w:hint="eastAsia"/>
                <w:sz w:val="21"/>
                <w:szCs w:val="21"/>
                <w:lang w:eastAsia="zh-CN"/>
              </w:rPr>
              <w:t>招标代理服务费依照中介超市中标价（固定金额）约定收费，中标单位在领取中标通知书前一次性缴纳招标代理服务费。</w:t>
            </w:r>
          </w:p>
        </w:tc>
      </w:tr>
    </w:tbl>
    <w:p w14:paraId="2889E7BE">
      <w:pPr>
        <w:pStyle w:val="8"/>
        <w:spacing w:before="7" w:line="360" w:lineRule="auto"/>
        <w:rPr>
          <w:rFonts w:hint="eastAsia"/>
          <w:b/>
          <w:sz w:val="10"/>
          <w:lang w:eastAsia="zh-CN"/>
        </w:rPr>
      </w:pPr>
    </w:p>
    <w:p w14:paraId="5E9CFC19">
      <w:pPr>
        <w:jc w:val="center"/>
        <w:rPr>
          <w:rFonts w:hint="eastAsia"/>
          <w:sz w:val="24"/>
          <w:lang w:eastAsia="zh-CN"/>
        </w:rPr>
        <w:sectPr>
          <w:footerReference r:id="rId5" w:type="default"/>
          <w:pgSz w:w="11910" w:h="16840"/>
          <w:pgMar w:top="1340" w:right="840" w:bottom="1300" w:left="1180" w:header="0" w:footer="1120" w:gutter="0"/>
          <w:cols w:space="720" w:num="1"/>
        </w:sectPr>
      </w:pPr>
    </w:p>
    <w:p w14:paraId="1445C5F7">
      <w:pPr>
        <w:spacing w:before="59"/>
        <w:ind w:left="1" w:right="340"/>
        <w:jc w:val="center"/>
        <w:rPr>
          <w:rFonts w:hint="eastAsia"/>
          <w:b/>
          <w:sz w:val="28"/>
        </w:rPr>
      </w:pPr>
      <w:bookmarkStart w:id="23" w:name="二、招标"/>
      <w:bookmarkEnd w:id="23"/>
      <w:bookmarkStart w:id="24" w:name="_bookmark3"/>
      <w:bookmarkEnd w:id="24"/>
      <w:r>
        <w:rPr>
          <w:b/>
          <w:sz w:val="28"/>
        </w:rPr>
        <w:t>二、招标</w:t>
      </w:r>
    </w:p>
    <w:p w14:paraId="53C85671">
      <w:pPr>
        <w:pStyle w:val="7"/>
        <w:numPr>
          <w:ilvl w:val="0"/>
          <w:numId w:val="2"/>
        </w:numPr>
        <w:tabs>
          <w:tab w:val="left" w:pos="601"/>
        </w:tabs>
        <w:spacing w:before="66"/>
        <w:ind w:hanging="362"/>
        <w:rPr>
          <w:rFonts w:hint="eastAsia"/>
        </w:rPr>
      </w:pPr>
      <w:bookmarkStart w:id="25" w:name="_bookmark4"/>
      <w:bookmarkEnd w:id="25"/>
      <w:bookmarkStart w:id="26" w:name="1._适用范围"/>
      <w:bookmarkEnd w:id="26"/>
      <w:r>
        <w:t>适用范围</w:t>
      </w:r>
    </w:p>
    <w:p w14:paraId="47A9125B">
      <w:pPr>
        <w:pStyle w:val="38"/>
        <w:numPr>
          <w:ilvl w:val="1"/>
          <w:numId w:val="2"/>
        </w:numPr>
        <w:tabs>
          <w:tab w:val="left" w:pos="659"/>
        </w:tabs>
        <w:rPr>
          <w:rFonts w:hint="eastAsia"/>
          <w:sz w:val="24"/>
          <w:lang w:eastAsia="zh-CN"/>
        </w:rPr>
      </w:pPr>
      <w:r>
        <w:rPr>
          <w:sz w:val="24"/>
          <w:lang w:eastAsia="zh-CN"/>
        </w:rPr>
        <w:t>本招标文件仅适用于本“投标邀请”中所述相关服务的</w:t>
      </w:r>
      <w:r>
        <w:rPr>
          <w:rFonts w:hint="eastAsia"/>
          <w:sz w:val="24"/>
          <w:lang w:eastAsia="zh-CN"/>
        </w:rPr>
        <w:t>招标</w:t>
      </w:r>
      <w:r>
        <w:rPr>
          <w:sz w:val="24"/>
          <w:lang w:eastAsia="zh-CN"/>
        </w:rPr>
        <w:t>。</w:t>
      </w:r>
    </w:p>
    <w:p w14:paraId="3C31F6B7">
      <w:pPr>
        <w:pStyle w:val="7"/>
        <w:numPr>
          <w:ilvl w:val="0"/>
          <w:numId w:val="2"/>
        </w:numPr>
        <w:tabs>
          <w:tab w:val="left" w:pos="601"/>
        </w:tabs>
        <w:ind w:hanging="362"/>
        <w:rPr>
          <w:rFonts w:hint="eastAsia"/>
        </w:rPr>
      </w:pPr>
      <w:bookmarkStart w:id="27" w:name="2._定义"/>
      <w:bookmarkEnd w:id="27"/>
      <w:bookmarkStart w:id="28" w:name="_bookmark5"/>
      <w:bookmarkEnd w:id="28"/>
      <w:r>
        <w:t>定义</w:t>
      </w:r>
    </w:p>
    <w:p w14:paraId="63D29329">
      <w:pPr>
        <w:pStyle w:val="38"/>
        <w:numPr>
          <w:ilvl w:val="1"/>
          <w:numId w:val="2"/>
        </w:numPr>
        <w:tabs>
          <w:tab w:val="left" w:pos="659"/>
        </w:tabs>
        <w:rPr>
          <w:rFonts w:hint="eastAsia"/>
          <w:sz w:val="24"/>
          <w:lang w:eastAsia="zh-CN"/>
        </w:rPr>
      </w:pPr>
      <w:r>
        <w:rPr>
          <w:rFonts w:hint="eastAsia"/>
          <w:color w:val="0D0D0D"/>
          <w:sz w:val="24"/>
          <w:lang w:eastAsia="zh-CN"/>
        </w:rPr>
        <w:t>招标</w:t>
      </w:r>
      <w:r>
        <w:rPr>
          <w:color w:val="0D0D0D"/>
          <w:sz w:val="24"/>
          <w:lang w:eastAsia="zh-CN"/>
        </w:rPr>
        <w:t>人：详见“投标人须知前附表”。</w:t>
      </w:r>
    </w:p>
    <w:p w14:paraId="20646D14">
      <w:pPr>
        <w:pStyle w:val="38"/>
        <w:numPr>
          <w:ilvl w:val="1"/>
          <w:numId w:val="2"/>
        </w:numPr>
        <w:tabs>
          <w:tab w:val="left" w:pos="659"/>
        </w:tabs>
        <w:spacing w:before="151"/>
        <w:rPr>
          <w:rFonts w:hint="eastAsia"/>
          <w:sz w:val="24"/>
          <w:lang w:eastAsia="zh-CN"/>
        </w:rPr>
      </w:pPr>
      <w:r>
        <w:rPr>
          <w:rFonts w:hint="eastAsia"/>
          <w:color w:val="0D0D0D"/>
          <w:sz w:val="24"/>
          <w:lang w:eastAsia="zh-CN"/>
        </w:rPr>
        <w:t>招标</w:t>
      </w:r>
      <w:r>
        <w:rPr>
          <w:color w:val="0D0D0D"/>
          <w:sz w:val="24"/>
          <w:lang w:eastAsia="zh-CN"/>
        </w:rPr>
        <w:t>代理机构：</w:t>
      </w:r>
      <w:r>
        <w:rPr>
          <w:rFonts w:hint="eastAsia"/>
          <w:color w:val="0D0D0D"/>
          <w:sz w:val="24"/>
          <w:lang w:eastAsia="zh-CN"/>
        </w:rPr>
        <w:t>浩玟（江西）工程管理有限公司</w:t>
      </w:r>
      <w:r>
        <w:rPr>
          <w:color w:val="0D0D0D"/>
          <w:sz w:val="24"/>
          <w:lang w:eastAsia="zh-CN"/>
        </w:rPr>
        <w:t>。</w:t>
      </w:r>
    </w:p>
    <w:p w14:paraId="47B9624B">
      <w:pPr>
        <w:pStyle w:val="38"/>
        <w:numPr>
          <w:ilvl w:val="1"/>
          <w:numId w:val="2"/>
        </w:numPr>
        <w:tabs>
          <w:tab w:val="left" w:pos="659"/>
        </w:tabs>
        <w:spacing w:before="154"/>
        <w:rPr>
          <w:rFonts w:hint="eastAsia"/>
          <w:sz w:val="24"/>
          <w:lang w:eastAsia="zh-CN"/>
        </w:rPr>
      </w:pPr>
      <w:r>
        <w:rPr>
          <w:color w:val="0D0D0D"/>
          <w:sz w:val="24"/>
          <w:lang w:eastAsia="zh-CN"/>
        </w:rPr>
        <w:t>投标人：是指响应招标、参加投标竞争的法人、其他组织或者自然人。</w:t>
      </w:r>
    </w:p>
    <w:p w14:paraId="2DFCC2C5">
      <w:pPr>
        <w:pStyle w:val="7"/>
        <w:numPr>
          <w:ilvl w:val="0"/>
          <w:numId w:val="2"/>
        </w:numPr>
        <w:tabs>
          <w:tab w:val="left" w:pos="601"/>
        </w:tabs>
        <w:ind w:hanging="362"/>
        <w:rPr>
          <w:rFonts w:hint="eastAsia"/>
        </w:rPr>
      </w:pPr>
      <w:bookmarkStart w:id="29" w:name="3._合格投标人"/>
      <w:bookmarkEnd w:id="29"/>
      <w:bookmarkStart w:id="30" w:name="_bookmark6"/>
      <w:bookmarkEnd w:id="30"/>
      <w:r>
        <w:t>合格投标人</w:t>
      </w:r>
    </w:p>
    <w:p w14:paraId="54C8CC24">
      <w:pPr>
        <w:pStyle w:val="8"/>
        <w:spacing w:before="1"/>
        <w:rPr>
          <w:rFonts w:hint="eastAsia"/>
          <w:b/>
          <w:sz w:val="19"/>
        </w:rPr>
      </w:pPr>
    </w:p>
    <w:p w14:paraId="364C7358">
      <w:pPr>
        <w:pStyle w:val="38"/>
        <w:numPr>
          <w:ilvl w:val="1"/>
          <w:numId w:val="2"/>
        </w:numPr>
        <w:tabs>
          <w:tab w:val="left" w:pos="659"/>
        </w:tabs>
        <w:spacing w:before="1"/>
        <w:rPr>
          <w:rFonts w:hint="eastAsia"/>
          <w:sz w:val="24"/>
          <w:lang w:eastAsia="zh-CN"/>
        </w:rPr>
      </w:pPr>
      <w:r>
        <w:rPr>
          <w:color w:val="0D0D0D"/>
          <w:sz w:val="24"/>
          <w:lang w:eastAsia="zh-CN"/>
        </w:rPr>
        <w:t>投标人的资格条件：详见“第一章投标邀请”。</w:t>
      </w:r>
    </w:p>
    <w:p w14:paraId="2DF1D0E2">
      <w:pPr>
        <w:pStyle w:val="38"/>
        <w:numPr>
          <w:ilvl w:val="1"/>
          <w:numId w:val="2"/>
        </w:numPr>
        <w:tabs>
          <w:tab w:val="left" w:pos="659"/>
        </w:tabs>
        <w:spacing w:before="136"/>
        <w:rPr>
          <w:rFonts w:hint="eastAsia"/>
          <w:sz w:val="24"/>
        </w:rPr>
      </w:pPr>
      <w:r>
        <w:rPr>
          <w:color w:val="0D0D0D"/>
          <w:sz w:val="24"/>
        </w:rPr>
        <w:t>联合体投标</w:t>
      </w:r>
    </w:p>
    <w:p w14:paraId="30E746BE">
      <w:pPr>
        <w:pStyle w:val="38"/>
        <w:numPr>
          <w:ilvl w:val="2"/>
          <w:numId w:val="2"/>
        </w:numPr>
        <w:tabs>
          <w:tab w:val="left" w:pos="899"/>
        </w:tabs>
        <w:spacing w:before="132"/>
        <w:ind w:hanging="469"/>
        <w:rPr>
          <w:rFonts w:hint="eastAsia"/>
          <w:sz w:val="24"/>
          <w:lang w:eastAsia="zh-CN"/>
        </w:rPr>
      </w:pPr>
      <w:r>
        <w:rPr>
          <w:color w:val="0D0D0D"/>
          <w:sz w:val="24"/>
          <w:lang w:eastAsia="zh-CN"/>
        </w:rPr>
        <w:t>是否接受联合体投标：详见“投标人须知前附表”。</w:t>
      </w:r>
    </w:p>
    <w:p w14:paraId="3391BC4B">
      <w:pPr>
        <w:pStyle w:val="7"/>
        <w:numPr>
          <w:ilvl w:val="0"/>
          <w:numId w:val="2"/>
        </w:numPr>
        <w:tabs>
          <w:tab w:val="left" w:pos="601"/>
        </w:tabs>
        <w:ind w:hanging="362"/>
        <w:rPr>
          <w:rFonts w:hint="eastAsia"/>
        </w:rPr>
      </w:pPr>
      <w:bookmarkStart w:id="31" w:name="4._投标费用"/>
      <w:bookmarkEnd w:id="31"/>
      <w:bookmarkStart w:id="32" w:name="_bookmark7"/>
      <w:bookmarkEnd w:id="32"/>
      <w:r>
        <w:t>投标费用</w:t>
      </w:r>
    </w:p>
    <w:p w14:paraId="78F157D8">
      <w:pPr>
        <w:pStyle w:val="38"/>
        <w:numPr>
          <w:ilvl w:val="1"/>
          <w:numId w:val="2"/>
        </w:numPr>
        <w:tabs>
          <w:tab w:val="left" w:pos="659"/>
        </w:tabs>
        <w:spacing w:line="360" w:lineRule="auto"/>
        <w:ind w:left="692" w:right="576" w:hanging="454"/>
        <w:rPr>
          <w:rFonts w:hint="eastAsia"/>
          <w:sz w:val="24"/>
          <w:lang w:eastAsia="zh-CN"/>
        </w:rPr>
      </w:pPr>
      <w:r>
        <w:rPr>
          <w:color w:val="0D0D0D"/>
          <w:sz w:val="24"/>
          <w:lang w:eastAsia="zh-CN"/>
        </w:rPr>
        <w:t xml:space="preserve">投标人应自行承担所有与准备和参加投标有关的全部费用。不论投标的结果如何， </w:t>
      </w:r>
      <w:r>
        <w:rPr>
          <w:rFonts w:hint="eastAsia"/>
          <w:color w:val="0D0D0D"/>
          <w:sz w:val="24"/>
          <w:lang w:eastAsia="zh-CN"/>
        </w:rPr>
        <w:t>招标</w:t>
      </w:r>
      <w:r>
        <w:rPr>
          <w:color w:val="0D0D0D"/>
          <w:sz w:val="24"/>
          <w:lang w:eastAsia="zh-CN"/>
        </w:rPr>
        <w:t>代理机构均无义务和责任承担这些费用。</w:t>
      </w:r>
    </w:p>
    <w:p w14:paraId="5DC3E810">
      <w:pPr>
        <w:pStyle w:val="7"/>
        <w:ind w:left="238"/>
        <w:rPr>
          <w:rFonts w:hint="eastAsia"/>
          <w:lang w:eastAsia="zh-CN"/>
        </w:rPr>
      </w:pPr>
      <w:bookmarkStart w:id="33" w:name="_bookmark8"/>
      <w:bookmarkEnd w:id="33"/>
      <w:bookmarkStart w:id="34" w:name="5.投标人代表"/>
      <w:bookmarkEnd w:id="34"/>
      <w:r>
        <w:rPr>
          <w:lang w:eastAsia="zh-CN"/>
        </w:rPr>
        <w:t>5.投标人代表</w:t>
      </w:r>
    </w:p>
    <w:p w14:paraId="3FAA8B8C">
      <w:pPr>
        <w:pStyle w:val="8"/>
        <w:spacing w:line="357" w:lineRule="auto"/>
        <w:ind w:left="691" w:right="576" w:hanging="454"/>
        <w:rPr>
          <w:rFonts w:hint="eastAsia"/>
          <w:lang w:eastAsia="zh-CN"/>
        </w:rPr>
      </w:pPr>
      <w:r>
        <w:rPr>
          <w:lang w:eastAsia="zh-CN"/>
        </w:rPr>
        <w:t>5.1</w:t>
      </w:r>
      <w:r>
        <w:rPr>
          <w:spacing w:val="-8"/>
          <w:lang w:eastAsia="zh-CN"/>
        </w:rPr>
        <w:t xml:space="preserve"> 指全权代表投标人参加投标活动并签署投标文件的人。如果投标人代表不是法定代表人，</w:t>
      </w:r>
      <w:r>
        <w:rPr>
          <w:color w:val="0D0D0D"/>
          <w:spacing w:val="-8"/>
          <w:lang w:eastAsia="zh-CN"/>
        </w:rPr>
        <w:t>须持有《法定代表人授权书》。</w:t>
      </w:r>
    </w:p>
    <w:p w14:paraId="0CB85C9E">
      <w:pPr>
        <w:pStyle w:val="7"/>
        <w:numPr>
          <w:ilvl w:val="0"/>
          <w:numId w:val="3"/>
        </w:numPr>
        <w:tabs>
          <w:tab w:val="left" w:pos="601"/>
        </w:tabs>
        <w:spacing w:before="39"/>
        <w:ind w:hanging="362"/>
        <w:rPr>
          <w:rFonts w:hint="eastAsia"/>
        </w:rPr>
      </w:pPr>
      <w:bookmarkStart w:id="35" w:name="_bookmark9"/>
      <w:bookmarkEnd w:id="35"/>
      <w:bookmarkStart w:id="36" w:name="6._招标文件的构成"/>
      <w:bookmarkEnd w:id="36"/>
      <w:r>
        <w:t>招标文件的构成</w:t>
      </w:r>
    </w:p>
    <w:p w14:paraId="17C5DC50">
      <w:pPr>
        <w:pStyle w:val="38"/>
        <w:numPr>
          <w:ilvl w:val="1"/>
          <w:numId w:val="3"/>
        </w:numPr>
        <w:tabs>
          <w:tab w:val="left" w:pos="719"/>
        </w:tabs>
        <w:spacing w:line="357" w:lineRule="auto"/>
        <w:ind w:right="577"/>
        <w:rPr>
          <w:rFonts w:hint="eastAsia"/>
          <w:color w:val="0D0D0D"/>
          <w:sz w:val="24"/>
          <w:lang w:eastAsia="zh-CN"/>
        </w:rPr>
      </w:pPr>
      <w:r>
        <w:rPr>
          <w:color w:val="0D0D0D"/>
          <w:spacing w:val="-4"/>
          <w:sz w:val="24"/>
          <w:lang w:eastAsia="zh-CN"/>
        </w:rPr>
        <w:t>要求提供的服务、招标过程和合同条款在招标文件中均有说明。招标文件共六章，各章的内容如下：</w:t>
      </w:r>
    </w:p>
    <w:p w14:paraId="1CA1A468">
      <w:pPr>
        <w:pStyle w:val="8"/>
        <w:spacing w:before="3" w:line="360" w:lineRule="auto"/>
        <w:ind w:left="718" w:right="7245"/>
        <w:rPr>
          <w:rFonts w:hint="eastAsia"/>
          <w:lang w:eastAsia="zh-CN"/>
        </w:rPr>
      </w:pPr>
      <w:r>
        <w:rPr>
          <w:lang w:eastAsia="zh-CN"/>
        </w:rPr>
        <w:t>第一章投标邀请 第二章投标人须知</w:t>
      </w:r>
    </w:p>
    <w:p w14:paraId="002CFE3B">
      <w:pPr>
        <w:pStyle w:val="8"/>
        <w:spacing w:line="360" w:lineRule="auto"/>
        <w:ind w:left="718" w:right="6525"/>
        <w:rPr>
          <w:rFonts w:hint="eastAsia"/>
          <w:lang w:eastAsia="zh-CN"/>
        </w:rPr>
      </w:pPr>
      <w:r>
        <w:rPr>
          <w:lang w:eastAsia="zh-CN"/>
        </w:rPr>
        <w:t>第三章拟签订的合同文本第四章投标文件格式</w:t>
      </w:r>
    </w:p>
    <w:p w14:paraId="5921C5BE">
      <w:pPr>
        <w:pStyle w:val="8"/>
        <w:spacing w:line="273" w:lineRule="exact"/>
        <w:ind w:left="718"/>
        <w:rPr>
          <w:rFonts w:hint="eastAsia"/>
          <w:lang w:eastAsia="zh-CN"/>
        </w:rPr>
      </w:pPr>
      <w:r>
        <w:rPr>
          <w:lang w:eastAsia="zh-CN"/>
        </w:rPr>
        <w:t>第五章</w:t>
      </w:r>
      <w:r>
        <w:rPr>
          <w:rFonts w:hint="eastAsia"/>
          <w:lang w:eastAsia="zh-CN"/>
        </w:rPr>
        <w:t>招标</w:t>
      </w:r>
      <w:r>
        <w:rPr>
          <w:lang w:eastAsia="zh-CN"/>
        </w:rPr>
        <w:t>需求表及</w:t>
      </w:r>
      <w:r>
        <w:rPr>
          <w:rFonts w:hint="eastAsia"/>
          <w:lang w:eastAsia="zh-CN"/>
        </w:rPr>
        <w:t>招标</w:t>
      </w:r>
      <w:r>
        <w:rPr>
          <w:lang w:eastAsia="zh-CN"/>
        </w:rPr>
        <w:t>要求</w:t>
      </w:r>
    </w:p>
    <w:p w14:paraId="7FABFF95">
      <w:pPr>
        <w:pStyle w:val="8"/>
        <w:spacing w:before="143"/>
        <w:ind w:left="718"/>
        <w:rPr>
          <w:rFonts w:hint="eastAsia"/>
        </w:rPr>
      </w:pPr>
      <w:r>
        <w:t>第六章评标标准</w:t>
      </w:r>
    </w:p>
    <w:p w14:paraId="0479057F">
      <w:pPr>
        <w:pStyle w:val="38"/>
        <w:numPr>
          <w:ilvl w:val="1"/>
          <w:numId w:val="3"/>
        </w:numPr>
        <w:tabs>
          <w:tab w:val="left" w:pos="724"/>
        </w:tabs>
        <w:spacing w:before="151" w:line="360" w:lineRule="auto"/>
        <w:ind w:left="692" w:right="577" w:hanging="454"/>
        <w:jc w:val="both"/>
        <w:rPr>
          <w:rFonts w:hint="eastAsia"/>
          <w:sz w:val="24"/>
          <w:lang w:eastAsia="zh-CN"/>
        </w:rPr>
      </w:pPr>
      <w:r>
        <w:rPr>
          <w:spacing w:val="1"/>
          <w:sz w:val="24"/>
          <w:lang w:eastAsia="zh-CN"/>
        </w:rPr>
        <w:t>除非有特殊要求，招标文件不单独提供招标货物和附属售后服务使用地的自然环</w:t>
      </w:r>
      <w:r>
        <w:rPr>
          <w:spacing w:val="-5"/>
          <w:sz w:val="24"/>
          <w:lang w:eastAsia="zh-CN"/>
        </w:rPr>
        <w:t>境、气候条件、公用设施等情况，投标人被视为熟悉上述与履行合同有关的一切情况。</w:t>
      </w:r>
    </w:p>
    <w:p w14:paraId="31D4911C">
      <w:pPr>
        <w:pStyle w:val="7"/>
        <w:ind w:left="238"/>
        <w:rPr>
          <w:rFonts w:hint="eastAsia"/>
          <w:lang w:eastAsia="zh-CN"/>
        </w:rPr>
      </w:pPr>
      <w:bookmarkStart w:id="37" w:name="7.投标人应当提交的资格、资信证明文件"/>
      <w:bookmarkEnd w:id="37"/>
      <w:bookmarkStart w:id="38" w:name="_bookmark10"/>
      <w:bookmarkEnd w:id="38"/>
      <w:r>
        <w:rPr>
          <w:lang w:eastAsia="zh-CN"/>
        </w:rPr>
        <w:t>7.投标人应当提交的资格、资信证明文件</w:t>
      </w:r>
    </w:p>
    <w:p w14:paraId="42CFACF3">
      <w:pPr>
        <w:pStyle w:val="38"/>
        <w:numPr>
          <w:ilvl w:val="1"/>
          <w:numId w:val="4"/>
        </w:numPr>
        <w:tabs>
          <w:tab w:val="left" w:pos="659"/>
        </w:tabs>
        <w:ind w:hanging="454"/>
        <w:rPr>
          <w:rFonts w:hint="eastAsia"/>
          <w:sz w:val="24"/>
          <w:lang w:eastAsia="zh-CN"/>
        </w:rPr>
      </w:pPr>
      <w:r>
        <w:rPr>
          <w:sz w:val="24"/>
          <w:lang w:eastAsia="zh-CN"/>
        </w:rPr>
        <w:t>具有独立承担民事责任的能力的资格证明文件</w:t>
      </w:r>
    </w:p>
    <w:p w14:paraId="342AAE96">
      <w:pPr>
        <w:pStyle w:val="38"/>
        <w:numPr>
          <w:ilvl w:val="1"/>
          <w:numId w:val="4"/>
        </w:numPr>
        <w:tabs>
          <w:tab w:val="left" w:pos="659"/>
        </w:tabs>
        <w:spacing w:before="154"/>
        <w:ind w:hanging="454"/>
        <w:rPr>
          <w:rFonts w:hint="eastAsia"/>
          <w:sz w:val="24"/>
          <w:lang w:eastAsia="zh-CN"/>
        </w:rPr>
      </w:pPr>
      <w:r>
        <w:rPr>
          <w:sz w:val="24"/>
          <w:lang w:eastAsia="zh-CN"/>
        </w:rPr>
        <w:t>具有良好的商业信誉和健全的财务会计制度的证明文件</w:t>
      </w:r>
    </w:p>
    <w:p w14:paraId="64786ED5">
      <w:pPr>
        <w:pStyle w:val="38"/>
        <w:numPr>
          <w:ilvl w:val="1"/>
          <w:numId w:val="4"/>
        </w:numPr>
        <w:tabs>
          <w:tab w:val="left" w:pos="719"/>
        </w:tabs>
        <w:spacing w:before="153"/>
        <w:ind w:left="718" w:hanging="480"/>
        <w:rPr>
          <w:rFonts w:hint="eastAsia"/>
          <w:sz w:val="24"/>
          <w:lang w:eastAsia="zh-CN"/>
        </w:rPr>
      </w:pPr>
      <w:r>
        <w:rPr>
          <w:sz w:val="24"/>
          <w:lang w:eastAsia="zh-CN"/>
        </w:rPr>
        <w:t>具有履行合同所必须的设备和专业技术能力的证明文件</w:t>
      </w:r>
    </w:p>
    <w:p w14:paraId="7B40C003">
      <w:pPr>
        <w:pStyle w:val="38"/>
        <w:numPr>
          <w:ilvl w:val="1"/>
          <w:numId w:val="4"/>
        </w:numPr>
        <w:tabs>
          <w:tab w:val="left" w:pos="719"/>
        </w:tabs>
        <w:spacing w:before="151"/>
        <w:ind w:left="718" w:hanging="480"/>
        <w:rPr>
          <w:rFonts w:hint="eastAsia"/>
          <w:sz w:val="24"/>
          <w:lang w:eastAsia="zh-CN"/>
        </w:rPr>
      </w:pPr>
      <w:r>
        <w:rPr>
          <w:sz w:val="24"/>
          <w:lang w:eastAsia="zh-CN"/>
        </w:rPr>
        <w:t>有依法缴纳税收和社会保障资金的良好记录的证明文件</w:t>
      </w:r>
    </w:p>
    <w:p w14:paraId="7E131CBC">
      <w:pPr>
        <w:pStyle w:val="38"/>
        <w:numPr>
          <w:ilvl w:val="1"/>
          <w:numId w:val="4"/>
        </w:numPr>
        <w:tabs>
          <w:tab w:val="left" w:pos="659"/>
        </w:tabs>
        <w:spacing w:before="153"/>
        <w:ind w:hanging="454"/>
        <w:rPr>
          <w:rFonts w:hint="eastAsia"/>
          <w:sz w:val="24"/>
          <w:lang w:eastAsia="zh-CN"/>
        </w:rPr>
      </w:pPr>
      <w:r>
        <w:rPr>
          <w:sz w:val="24"/>
          <w:lang w:eastAsia="zh-CN"/>
        </w:rPr>
        <w:t>参加政府</w:t>
      </w:r>
      <w:r>
        <w:rPr>
          <w:rFonts w:hint="eastAsia"/>
          <w:sz w:val="24"/>
          <w:lang w:eastAsia="zh-CN"/>
        </w:rPr>
        <w:t>招标</w:t>
      </w:r>
      <w:r>
        <w:rPr>
          <w:sz w:val="24"/>
          <w:lang w:eastAsia="zh-CN"/>
        </w:rPr>
        <w:t>前三年内，在经营活动中没有重大违法记录的证明文件</w:t>
      </w:r>
    </w:p>
    <w:p w14:paraId="3E425CFF">
      <w:pPr>
        <w:pStyle w:val="38"/>
        <w:numPr>
          <w:ilvl w:val="1"/>
          <w:numId w:val="4"/>
        </w:numPr>
        <w:tabs>
          <w:tab w:val="left" w:pos="659"/>
        </w:tabs>
        <w:spacing w:before="153"/>
        <w:ind w:hanging="454"/>
        <w:rPr>
          <w:rFonts w:hint="eastAsia"/>
          <w:sz w:val="24"/>
          <w:lang w:eastAsia="zh-CN"/>
        </w:rPr>
      </w:pPr>
      <w:r>
        <w:rPr>
          <w:sz w:val="24"/>
          <w:lang w:eastAsia="zh-CN"/>
        </w:rPr>
        <w:t>法定代表人授权书（</w:t>
      </w:r>
      <w:r>
        <w:rPr>
          <w:spacing w:val="-5"/>
          <w:sz w:val="24"/>
          <w:lang w:eastAsia="zh-CN"/>
        </w:rPr>
        <w:t xml:space="preserve">格式详见“第四章投标文件格式 </w:t>
      </w:r>
      <w:r>
        <w:rPr>
          <w:sz w:val="24"/>
          <w:lang w:eastAsia="zh-CN"/>
        </w:rPr>
        <w:t>7-6”）</w:t>
      </w:r>
    </w:p>
    <w:p w14:paraId="12F6707E">
      <w:pPr>
        <w:pStyle w:val="38"/>
        <w:numPr>
          <w:ilvl w:val="1"/>
          <w:numId w:val="4"/>
        </w:numPr>
        <w:tabs>
          <w:tab w:val="left" w:pos="659"/>
        </w:tabs>
        <w:spacing w:before="151"/>
        <w:ind w:hanging="454"/>
        <w:rPr>
          <w:rFonts w:hint="eastAsia"/>
          <w:sz w:val="24"/>
          <w:lang w:eastAsia="zh-CN"/>
        </w:rPr>
      </w:pPr>
      <w:r>
        <w:rPr>
          <w:sz w:val="24"/>
          <w:lang w:eastAsia="zh-CN"/>
        </w:rPr>
        <w:t>投标人的资格声明（</w:t>
      </w:r>
      <w:r>
        <w:rPr>
          <w:spacing w:val="-5"/>
          <w:sz w:val="24"/>
          <w:lang w:eastAsia="zh-CN"/>
        </w:rPr>
        <w:t xml:space="preserve">格式详见“第四章投标文件格式 </w:t>
      </w:r>
      <w:r>
        <w:rPr>
          <w:sz w:val="24"/>
          <w:lang w:eastAsia="zh-CN"/>
        </w:rPr>
        <w:t>7-7”）</w:t>
      </w:r>
    </w:p>
    <w:p w14:paraId="13463AB0">
      <w:pPr>
        <w:pStyle w:val="38"/>
        <w:numPr>
          <w:ilvl w:val="1"/>
          <w:numId w:val="4"/>
        </w:numPr>
        <w:tabs>
          <w:tab w:val="left" w:pos="659"/>
        </w:tabs>
        <w:spacing w:before="154"/>
        <w:ind w:hanging="454"/>
        <w:rPr>
          <w:rFonts w:hint="eastAsia"/>
          <w:sz w:val="24"/>
          <w:lang w:eastAsia="zh-CN"/>
        </w:rPr>
      </w:pPr>
      <w:r>
        <w:rPr>
          <w:sz w:val="24"/>
          <w:lang w:eastAsia="zh-CN"/>
        </w:rPr>
        <w:t>投标保证金凭证（</w:t>
      </w:r>
      <w:r>
        <w:rPr>
          <w:spacing w:val="-5"/>
          <w:sz w:val="24"/>
          <w:lang w:eastAsia="zh-CN"/>
        </w:rPr>
        <w:t xml:space="preserve">格式详见“第四章投标文件格式 </w:t>
      </w:r>
      <w:r>
        <w:rPr>
          <w:sz w:val="24"/>
          <w:lang w:eastAsia="zh-CN"/>
        </w:rPr>
        <w:t>7-8”）</w:t>
      </w:r>
    </w:p>
    <w:p w14:paraId="08462C29">
      <w:pPr>
        <w:pStyle w:val="38"/>
        <w:numPr>
          <w:ilvl w:val="1"/>
          <w:numId w:val="4"/>
        </w:numPr>
        <w:tabs>
          <w:tab w:val="left" w:pos="839"/>
        </w:tabs>
        <w:spacing w:before="150"/>
        <w:ind w:left="838" w:hanging="600"/>
        <w:rPr>
          <w:rFonts w:hint="eastAsia"/>
          <w:sz w:val="24"/>
        </w:rPr>
      </w:pPr>
      <w:r>
        <w:rPr>
          <w:sz w:val="24"/>
        </w:rPr>
        <w:t>其他资格证明文件</w:t>
      </w:r>
    </w:p>
    <w:p w14:paraId="0718D98B">
      <w:pPr>
        <w:pStyle w:val="7"/>
        <w:ind w:left="238"/>
        <w:rPr>
          <w:rFonts w:hint="eastAsia"/>
          <w:lang w:eastAsia="zh-CN"/>
        </w:rPr>
      </w:pPr>
      <w:bookmarkStart w:id="39" w:name="8.为落实政府采购政策，采购标的需满足的要求，以及投标人须提供的证明材料"/>
      <w:bookmarkEnd w:id="39"/>
      <w:bookmarkStart w:id="40" w:name="_bookmark11"/>
      <w:bookmarkEnd w:id="40"/>
      <w:r>
        <w:rPr>
          <w:lang w:eastAsia="zh-CN"/>
        </w:rPr>
        <w:t>8.为落实政府</w:t>
      </w:r>
      <w:r>
        <w:rPr>
          <w:rFonts w:hint="eastAsia"/>
          <w:lang w:eastAsia="zh-CN"/>
        </w:rPr>
        <w:t>招标</w:t>
      </w:r>
      <w:r>
        <w:rPr>
          <w:lang w:eastAsia="zh-CN"/>
        </w:rPr>
        <w:t>政策，</w:t>
      </w:r>
      <w:r>
        <w:rPr>
          <w:rFonts w:hint="eastAsia"/>
          <w:lang w:eastAsia="zh-CN"/>
        </w:rPr>
        <w:t>招标</w:t>
      </w:r>
      <w:r>
        <w:rPr>
          <w:lang w:eastAsia="zh-CN"/>
        </w:rPr>
        <w:t>标的需满足的要求，以及投标人须提供的证明材料</w:t>
      </w:r>
      <w:r>
        <w:rPr>
          <w:rFonts w:hint="eastAsia"/>
          <w:lang w:eastAsia="zh-CN"/>
        </w:rPr>
        <w:t>。</w:t>
      </w:r>
    </w:p>
    <w:p w14:paraId="5F5E6942">
      <w:pPr>
        <w:pStyle w:val="7"/>
        <w:ind w:left="238"/>
        <w:rPr>
          <w:rFonts w:hint="eastAsia"/>
          <w:lang w:eastAsia="zh-CN"/>
        </w:rPr>
      </w:pPr>
      <w:r>
        <w:rPr>
          <w:rFonts w:hint="eastAsia"/>
          <w:lang w:eastAsia="zh-CN"/>
        </w:rPr>
        <w:t>（此条不适用）</w:t>
      </w:r>
    </w:p>
    <w:p w14:paraId="43F8F8EB">
      <w:pPr>
        <w:pStyle w:val="7"/>
        <w:numPr>
          <w:ilvl w:val="0"/>
          <w:numId w:val="5"/>
        </w:numPr>
        <w:spacing w:before="31"/>
        <w:ind w:left="238"/>
        <w:rPr>
          <w:rFonts w:hint="eastAsia"/>
          <w:lang w:eastAsia="zh-CN"/>
        </w:rPr>
      </w:pPr>
      <w:r>
        <w:rPr>
          <w:lang w:eastAsia="zh-CN"/>
        </w:rPr>
        <w:t>对小型和微型企业、监狱企业、残疾人福利性单位产品参加投标享受的政策</w:t>
      </w:r>
      <w:r>
        <w:rPr>
          <w:rFonts w:hint="eastAsia"/>
          <w:lang w:eastAsia="zh-CN"/>
        </w:rPr>
        <w:t>。</w:t>
      </w:r>
    </w:p>
    <w:p w14:paraId="41723772">
      <w:pPr>
        <w:pStyle w:val="7"/>
        <w:spacing w:before="31"/>
        <w:ind w:left="0" w:firstLine="241" w:firstLineChars="100"/>
        <w:rPr>
          <w:rFonts w:hint="eastAsia"/>
        </w:rPr>
      </w:pPr>
      <w:r>
        <w:rPr>
          <w:rFonts w:hint="eastAsia"/>
          <w:lang w:eastAsia="zh-CN"/>
        </w:rPr>
        <w:t>（此条不适用）</w:t>
      </w:r>
    </w:p>
    <w:p w14:paraId="55C5F5B7">
      <w:pPr>
        <w:pStyle w:val="7"/>
        <w:numPr>
          <w:ilvl w:val="0"/>
          <w:numId w:val="6"/>
        </w:numPr>
        <w:tabs>
          <w:tab w:val="left" w:pos="721"/>
        </w:tabs>
        <w:spacing w:before="51"/>
        <w:ind w:hanging="482"/>
        <w:rPr>
          <w:rFonts w:hint="eastAsia"/>
        </w:rPr>
      </w:pPr>
      <w:r>
        <w:t>招标文件的修改</w:t>
      </w:r>
    </w:p>
    <w:p w14:paraId="26705D80">
      <w:pPr>
        <w:pStyle w:val="38"/>
        <w:numPr>
          <w:ilvl w:val="1"/>
          <w:numId w:val="6"/>
        </w:numPr>
        <w:tabs>
          <w:tab w:val="left" w:pos="779"/>
        </w:tabs>
        <w:spacing w:before="153" w:line="357" w:lineRule="auto"/>
        <w:ind w:right="577" w:hanging="454"/>
        <w:jc w:val="both"/>
        <w:rPr>
          <w:rFonts w:hint="eastAsia"/>
          <w:sz w:val="24"/>
        </w:rPr>
      </w:pPr>
      <w:r>
        <w:rPr>
          <w:rFonts w:hint="eastAsia"/>
          <w:spacing w:val="-4"/>
          <w:sz w:val="24"/>
          <w:lang w:eastAsia="zh-CN"/>
        </w:rPr>
        <w:t>招标</w:t>
      </w:r>
      <w:r>
        <w:rPr>
          <w:spacing w:val="-4"/>
          <w:sz w:val="24"/>
          <w:lang w:eastAsia="zh-CN"/>
        </w:rPr>
        <w:t>代理机构可以对已发出的招标文件进行必要澄清或者修改，澄清或者修改的内容可能影响投标文件编制的，</w:t>
      </w:r>
      <w:r>
        <w:rPr>
          <w:rFonts w:hint="eastAsia"/>
          <w:spacing w:val="-4"/>
          <w:sz w:val="24"/>
          <w:lang w:eastAsia="zh-CN"/>
        </w:rPr>
        <w:t>招标</w:t>
      </w:r>
      <w:r>
        <w:rPr>
          <w:spacing w:val="-4"/>
          <w:sz w:val="24"/>
          <w:lang w:eastAsia="zh-CN"/>
        </w:rPr>
        <w:t xml:space="preserve">代理机构在投标截止时间至少 </w:t>
      </w:r>
      <w:r>
        <w:rPr>
          <w:sz w:val="24"/>
          <w:lang w:eastAsia="zh-CN"/>
        </w:rPr>
        <w:t>15</w:t>
      </w:r>
      <w:r>
        <w:rPr>
          <w:spacing w:val="-6"/>
          <w:sz w:val="24"/>
          <w:lang w:eastAsia="zh-CN"/>
        </w:rPr>
        <w:t xml:space="preserve"> 日前，在江西</w:t>
      </w:r>
      <w:r>
        <w:rPr>
          <w:spacing w:val="-8"/>
          <w:sz w:val="24"/>
          <w:lang w:eastAsia="zh-CN"/>
        </w:rPr>
        <w:t>政府</w:t>
      </w:r>
      <w:r>
        <w:rPr>
          <w:rFonts w:hint="eastAsia"/>
          <w:spacing w:val="-8"/>
          <w:sz w:val="24"/>
          <w:lang w:eastAsia="zh-CN"/>
        </w:rPr>
        <w:t>招标</w:t>
      </w:r>
      <w:r>
        <w:rPr>
          <w:spacing w:val="-8"/>
          <w:sz w:val="24"/>
          <w:lang w:eastAsia="zh-CN"/>
        </w:rPr>
        <w:t>网以及江西省公共资源交易网上发布更正公告，上传答疑澄清文件。</w:t>
      </w:r>
      <w:r>
        <w:rPr>
          <w:spacing w:val="-8"/>
          <w:sz w:val="24"/>
        </w:rPr>
        <w:t>不足</w:t>
      </w:r>
    </w:p>
    <w:p w14:paraId="3FBFC02E">
      <w:pPr>
        <w:pStyle w:val="8"/>
        <w:spacing w:before="5"/>
        <w:ind w:left="691"/>
        <w:rPr>
          <w:rFonts w:hint="eastAsia"/>
          <w:lang w:eastAsia="zh-CN"/>
        </w:rPr>
      </w:pPr>
      <w:r>
        <w:rPr>
          <w:lang w:eastAsia="zh-CN"/>
        </w:rPr>
        <w:t>15 日的，</w:t>
      </w:r>
      <w:r>
        <w:rPr>
          <w:rFonts w:hint="eastAsia"/>
          <w:lang w:eastAsia="zh-CN"/>
        </w:rPr>
        <w:t>招标</w:t>
      </w:r>
      <w:r>
        <w:rPr>
          <w:lang w:eastAsia="zh-CN"/>
        </w:rPr>
        <w:t>代理机构应当顺延提交投标文件的截止时间。</w:t>
      </w:r>
    </w:p>
    <w:p w14:paraId="3A3C85E5">
      <w:pPr>
        <w:pStyle w:val="38"/>
        <w:numPr>
          <w:ilvl w:val="1"/>
          <w:numId w:val="6"/>
        </w:numPr>
        <w:tabs>
          <w:tab w:val="left" w:pos="779"/>
        </w:tabs>
        <w:spacing w:before="154" w:line="357" w:lineRule="auto"/>
        <w:ind w:right="577" w:hanging="454"/>
        <w:jc w:val="both"/>
        <w:rPr>
          <w:rFonts w:hint="eastAsia"/>
          <w:sz w:val="24"/>
          <w:lang w:eastAsia="zh-CN"/>
        </w:rPr>
      </w:pPr>
      <w:r>
        <w:rPr>
          <w:spacing w:val="-4"/>
          <w:sz w:val="24"/>
          <w:lang w:eastAsia="zh-CN"/>
        </w:rPr>
        <w:t>已下载招标文件的投标人必须在江西省公共资源交易网上下载答疑澄清文件。投标</w:t>
      </w:r>
      <w:r>
        <w:rPr>
          <w:spacing w:val="-7"/>
          <w:sz w:val="24"/>
          <w:lang w:eastAsia="zh-CN"/>
        </w:rPr>
        <w:t>人因未下载答疑澄清文件、由此可能引起的投标文件递交失败、解密失败、内容缺失等相关后果由投标人自行承担。</w:t>
      </w:r>
    </w:p>
    <w:p w14:paraId="3EE96C39">
      <w:pPr>
        <w:pStyle w:val="38"/>
        <w:numPr>
          <w:ilvl w:val="1"/>
          <w:numId w:val="6"/>
        </w:numPr>
        <w:tabs>
          <w:tab w:val="left" w:pos="779"/>
        </w:tabs>
        <w:spacing w:before="5"/>
        <w:ind w:hanging="454"/>
        <w:rPr>
          <w:rFonts w:hint="eastAsia"/>
          <w:sz w:val="24"/>
          <w:lang w:eastAsia="zh-CN"/>
        </w:rPr>
      </w:pPr>
      <w:r>
        <w:rPr>
          <w:sz w:val="24"/>
          <w:lang w:eastAsia="zh-CN"/>
        </w:rPr>
        <w:t>当招标文件和澄清文件在同一内容的表述上不一致时，以最后发出的文件为准。</w:t>
      </w:r>
    </w:p>
    <w:p w14:paraId="1BE98BDE">
      <w:pPr>
        <w:pStyle w:val="38"/>
        <w:numPr>
          <w:ilvl w:val="1"/>
          <w:numId w:val="6"/>
        </w:numPr>
        <w:tabs>
          <w:tab w:val="left" w:pos="839"/>
        </w:tabs>
        <w:spacing w:before="151"/>
        <w:ind w:left="838" w:hanging="600"/>
        <w:rPr>
          <w:rFonts w:hint="eastAsia"/>
          <w:sz w:val="24"/>
          <w:lang w:eastAsia="zh-CN"/>
        </w:rPr>
      </w:pPr>
      <w:r>
        <w:rPr>
          <w:sz w:val="24"/>
          <w:lang w:eastAsia="zh-CN"/>
        </w:rPr>
        <w:t>更正或者修改的内容是招标文件的组成部分，并对投标人具有约束力。</w:t>
      </w:r>
    </w:p>
    <w:p w14:paraId="69A79039">
      <w:pPr>
        <w:pStyle w:val="6"/>
        <w:spacing w:before="113"/>
        <w:ind w:left="1" w:right="340"/>
        <w:jc w:val="center"/>
        <w:rPr>
          <w:rFonts w:hint="eastAsia"/>
          <w:lang w:eastAsia="zh-CN"/>
        </w:rPr>
      </w:pPr>
      <w:bookmarkStart w:id="41" w:name="三、投标"/>
      <w:bookmarkEnd w:id="41"/>
      <w:bookmarkStart w:id="42" w:name="_bookmark13"/>
      <w:bookmarkEnd w:id="42"/>
      <w:bookmarkStart w:id="43" w:name="_Toc5389"/>
      <w:bookmarkStart w:id="44" w:name="_Toc21757"/>
      <w:r>
        <w:rPr>
          <w:lang w:eastAsia="zh-CN"/>
        </w:rPr>
        <w:t>三、投标</w:t>
      </w:r>
      <w:bookmarkEnd w:id="43"/>
      <w:bookmarkEnd w:id="44"/>
    </w:p>
    <w:p w14:paraId="5C54CCF9">
      <w:pPr>
        <w:pStyle w:val="7"/>
        <w:ind w:left="238"/>
        <w:rPr>
          <w:rFonts w:hint="eastAsia"/>
          <w:lang w:eastAsia="zh-CN"/>
        </w:rPr>
      </w:pPr>
      <w:bookmarkStart w:id="45" w:name="11.投标文件的编制"/>
      <w:bookmarkEnd w:id="45"/>
      <w:bookmarkStart w:id="46" w:name="_bookmark14"/>
      <w:bookmarkEnd w:id="46"/>
      <w:r>
        <w:rPr>
          <w:lang w:eastAsia="zh-CN"/>
        </w:rPr>
        <w:t>11.投标文件的编制</w:t>
      </w:r>
    </w:p>
    <w:p w14:paraId="3C48465F">
      <w:pPr>
        <w:pStyle w:val="38"/>
        <w:numPr>
          <w:ilvl w:val="1"/>
          <w:numId w:val="7"/>
        </w:numPr>
        <w:tabs>
          <w:tab w:val="left" w:pos="779"/>
        </w:tabs>
        <w:spacing w:line="343" w:lineRule="auto"/>
        <w:ind w:right="577" w:hanging="480"/>
        <w:rPr>
          <w:rFonts w:hint="eastAsia"/>
          <w:sz w:val="24"/>
          <w:lang w:eastAsia="zh-CN"/>
        </w:rPr>
      </w:pPr>
      <w:r>
        <w:rPr>
          <w:color w:val="0D0D0D"/>
          <w:spacing w:val="-6"/>
          <w:sz w:val="24"/>
          <w:lang w:eastAsia="zh-CN"/>
        </w:rPr>
        <w:t>投标人应当按照招标文件的要求编制投标文件。投标文件应当对招标文件提出的要求和条件做出明确响应。</w:t>
      </w:r>
    </w:p>
    <w:p w14:paraId="3BC08327">
      <w:pPr>
        <w:pStyle w:val="38"/>
        <w:numPr>
          <w:ilvl w:val="1"/>
          <w:numId w:val="7"/>
        </w:numPr>
        <w:tabs>
          <w:tab w:val="left" w:pos="779"/>
        </w:tabs>
        <w:spacing w:line="345" w:lineRule="auto"/>
        <w:ind w:right="577" w:hanging="480"/>
        <w:rPr>
          <w:rFonts w:hint="eastAsia"/>
          <w:b/>
          <w:sz w:val="24"/>
          <w:lang w:eastAsia="zh-CN"/>
        </w:rPr>
      </w:pPr>
      <w:r>
        <w:rPr>
          <w:color w:val="0D0D0D"/>
          <w:spacing w:val="-2"/>
          <w:sz w:val="24"/>
          <w:lang w:eastAsia="zh-CN"/>
        </w:rPr>
        <w:t>招标文件中注明不可以</w:t>
      </w:r>
      <w:r>
        <w:rPr>
          <w:rFonts w:hint="eastAsia"/>
          <w:color w:val="0D0D0D"/>
          <w:spacing w:val="-2"/>
          <w:sz w:val="24"/>
          <w:lang w:eastAsia="zh-CN"/>
        </w:rPr>
        <w:t>招标</w:t>
      </w:r>
      <w:r>
        <w:rPr>
          <w:color w:val="0D0D0D"/>
          <w:spacing w:val="-2"/>
          <w:sz w:val="24"/>
          <w:lang w:eastAsia="zh-CN"/>
        </w:rPr>
        <w:t>进口产品的</w:t>
      </w:r>
      <w:r>
        <w:rPr>
          <w:color w:val="0D0D0D"/>
          <w:sz w:val="24"/>
          <w:lang w:eastAsia="zh-CN"/>
        </w:rPr>
        <w:t>（</w:t>
      </w:r>
      <w:r>
        <w:rPr>
          <w:color w:val="0D0D0D"/>
          <w:spacing w:val="-5"/>
          <w:sz w:val="24"/>
          <w:lang w:eastAsia="zh-CN"/>
        </w:rPr>
        <w:t>见“第一章投标邀请</w:t>
      </w:r>
      <w:r>
        <w:rPr>
          <w:color w:val="0D0D0D"/>
          <w:spacing w:val="-22"/>
          <w:sz w:val="24"/>
          <w:lang w:eastAsia="zh-CN"/>
        </w:rPr>
        <w:t>”），</w:t>
      </w:r>
      <w:r>
        <w:rPr>
          <w:color w:val="0D0D0D"/>
          <w:sz w:val="24"/>
          <w:lang w:eastAsia="zh-CN"/>
        </w:rPr>
        <w:t>不允许提供进口产品参与</w:t>
      </w:r>
      <w:r>
        <w:rPr>
          <w:rFonts w:hint="eastAsia"/>
          <w:color w:val="0D0D0D"/>
          <w:sz w:val="24"/>
          <w:lang w:eastAsia="zh-CN"/>
        </w:rPr>
        <w:t>招标</w:t>
      </w:r>
      <w:r>
        <w:rPr>
          <w:color w:val="0D0D0D"/>
          <w:sz w:val="24"/>
          <w:lang w:eastAsia="zh-CN"/>
        </w:rPr>
        <w:t>活动。提供进口产品参与</w:t>
      </w:r>
      <w:r>
        <w:rPr>
          <w:rFonts w:hint="eastAsia"/>
          <w:color w:val="0D0D0D"/>
          <w:sz w:val="24"/>
          <w:lang w:eastAsia="zh-CN"/>
        </w:rPr>
        <w:t>招标</w:t>
      </w:r>
      <w:r>
        <w:rPr>
          <w:color w:val="0D0D0D"/>
          <w:sz w:val="24"/>
          <w:lang w:eastAsia="zh-CN"/>
        </w:rPr>
        <w:t>活动的，</w:t>
      </w:r>
      <w:r>
        <w:rPr>
          <w:b/>
          <w:color w:val="0D0D0D"/>
          <w:sz w:val="24"/>
          <w:lang w:eastAsia="zh-CN"/>
        </w:rPr>
        <w:t>被视为</w:t>
      </w:r>
      <w:r>
        <w:rPr>
          <w:b/>
          <w:sz w:val="24"/>
          <w:lang w:eastAsia="zh-CN"/>
        </w:rPr>
        <w:t>投标</w:t>
      </w:r>
      <w:r>
        <w:rPr>
          <w:b/>
          <w:color w:val="0D0D0D"/>
          <w:sz w:val="24"/>
          <w:lang w:eastAsia="zh-CN"/>
        </w:rPr>
        <w:t>无</w:t>
      </w:r>
      <w:r>
        <w:rPr>
          <w:b/>
          <w:sz w:val="24"/>
          <w:lang w:eastAsia="zh-CN"/>
        </w:rPr>
        <w:t>效。</w:t>
      </w:r>
    </w:p>
    <w:p w14:paraId="6374446F">
      <w:pPr>
        <w:pStyle w:val="38"/>
        <w:numPr>
          <w:ilvl w:val="1"/>
          <w:numId w:val="7"/>
        </w:numPr>
        <w:tabs>
          <w:tab w:val="left" w:pos="779"/>
        </w:tabs>
        <w:spacing w:before="11"/>
        <w:ind w:hanging="480"/>
        <w:rPr>
          <w:rFonts w:hint="eastAsia"/>
          <w:sz w:val="24"/>
          <w:lang w:eastAsia="zh-CN"/>
        </w:rPr>
      </w:pPr>
      <w:r>
        <w:rPr>
          <w:color w:val="0D0D0D"/>
          <w:sz w:val="24"/>
          <w:lang w:eastAsia="zh-CN"/>
        </w:rPr>
        <w:t>投标文件因字迹潦草或表达不清所引起的后果由投标人负责。</w:t>
      </w:r>
    </w:p>
    <w:p w14:paraId="7E724B49">
      <w:pPr>
        <w:pStyle w:val="7"/>
        <w:numPr>
          <w:ilvl w:val="0"/>
          <w:numId w:val="8"/>
        </w:numPr>
        <w:tabs>
          <w:tab w:val="left" w:pos="721"/>
        </w:tabs>
        <w:spacing w:before="1"/>
        <w:ind w:hanging="482"/>
        <w:rPr>
          <w:rFonts w:hint="eastAsia"/>
        </w:rPr>
      </w:pPr>
      <w:bookmarkStart w:id="47" w:name="_bookmark15"/>
      <w:bookmarkEnd w:id="47"/>
      <w:bookmarkStart w:id="48" w:name="12._投标文件计量单位"/>
      <w:bookmarkEnd w:id="48"/>
      <w:r>
        <w:t>投标文件计量单位</w:t>
      </w:r>
    </w:p>
    <w:p w14:paraId="01BF1E1E">
      <w:pPr>
        <w:pStyle w:val="38"/>
        <w:numPr>
          <w:ilvl w:val="1"/>
          <w:numId w:val="8"/>
        </w:numPr>
        <w:tabs>
          <w:tab w:val="left" w:pos="779"/>
        </w:tabs>
        <w:spacing w:line="360" w:lineRule="auto"/>
        <w:ind w:right="577" w:hanging="454"/>
        <w:rPr>
          <w:rFonts w:hint="eastAsia"/>
          <w:sz w:val="24"/>
          <w:lang w:eastAsia="zh-CN"/>
        </w:rPr>
      </w:pPr>
      <w:r>
        <w:rPr>
          <w:spacing w:val="-5"/>
          <w:sz w:val="24"/>
          <w:lang w:eastAsia="zh-CN"/>
        </w:rPr>
        <w:t>投标文件中所使用的计量单位, 除招标文件中有特殊要求外，均应采用国家法定计量单位。</w:t>
      </w:r>
    </w:p>
    <w:p w14:paraId="1BF31C46">
      <w:pPr>
        <w:pStyle w:val="7"/>
        <w:numPr>
          <w:ilvl w:val="0"/>
          <w:numId w:val="8"/>
        </w:numPr>
        <w:tabs>
          <w:tab w:val="left" w:pos="721"/>
        </w:tabs>
        <w:spacing w:before="1"/>
        <w:ind w:hanging="482"/>
        <w:rPr>
          <w:rFonts w:hint="eastAsia"/>
        </w:rPr>
      </w:pPr>
      <w:bookmarkStart w:id="49" w:name="_bookmark16"/>
      <w:bookmarkEnd w:id="49"/>
      <w:bookmarkStart w:id="50" w:name="13._投标文件的构成"/>
      <w:bookmarkEnd w:id="50"/>
      <w:r>
        <w:t>投标文件的构成</w:t>
      </w:r>
    </w:p>
    <w:p w14:paraId="589065D3">
      <w:pPr>
        <w:pStyle w:val="38"/>
        <w:numPr>
          <w:ilvl w:val="1"/>
          <w:numId w:val="8"/>
        </w:numPr>
        <w:tabs>
          <w:tab w:val="left" w:pos="779"/>
        </w:tabs>
        <w:spacing w:before="213"/>
        <w:ind w:left="778"/>
        <w:rPr>
          <w:rFonts w:hint="eastAsia"/>
          <w:sz w:val="24"/>
          <w:lang w:eastAsia="zh-CN"/>
        </w:rPr>
      </w:pPr>
      <w:r>
        <w:rPr>
          <w:sz w:val="24"/>
          <w:lang w:eastAsia="zh-CN"/>
        </w:rPr>
        <w:t>投标文件应由下列部分构成（</w:t>
      </w:r>
      <w:r>
        <w:rPr>
          <w:spacing w:val="-1"/>
          <w:sz w:val="24"/>
          <w:lang w:eastAsia="zh-CN"/>
        </w:rPr>
        <w:t>格式详见“第四章 投标文件格式</w:t>
      </w:r>
      <w:r>
        <w:rPr>
          <w:sz w:val="24"/>
          <w:lang w:eastAsia="zh-CN"/>
        </w:rPr>
        <w:t>”）：</w:t>
      </w:r>
    </w:p>
    <w:p w14:paraId="369F2991">
      <w:pPr>
        <w:pStyle w:val="8"/>
        <w:spacing w:before="112"/>
        <w:ind w:left="238"/>
        <w:rPr>
          <w:rFonts w:hint="eastAsia"/>
          <w:lang w:eastAsia="zh-CN"/>
        </w:rPr>
      </w:pPr>
      <w:r>
        <w:rPr>
          <w:lang w:eastAsia="zh-CN"/>
        </w:rPr>
        <w:t>（1）投标书</w:t>
      </w:r>
    </w:p>
    <w:p w14:paraId="130A7852">
      <w:pPr>
        <w:pStyle w:val="8"/>
        <w:spacing w:before="113"/>
        <w:ind w:left="238"/>
        <w:rPr>
          <w:rFonts w:hint="eastAsia"/>
          <w:lang w:eastAsia="zh-CN"/>
        </w:rPr>
      </w:pPr>
      <w:r>
        <w:rPr>
          <w:lang w:eastAsia="zh-CN"/>
        </w:rPr>
        <w:t>（2）开标一览表</w:t>
      </w:r>
    </w:p>
    <w:p w14:paraId="13B690B2">
      <w:pPr>
        <w:pStyle w:val="8"/>
        <w:spacing w:before="112"/>
        <w:ind w:left="238"/>
        <w:rPr>
          <w:rFonts w:hint="eastAsia"/>
          <w:lang w:eastAsia="zh-CN"/>
        </w:rPr>
      </w:pPr>
      <w:r>
        <w:rPr>
          <w:lang w:eastAsia="zh-CN"/>
        </w:rPr>
        <w:t>（3）分项报价表</w:t>
      </w:r>
    </w:p>
    <w:p w14:paraId="5DD9CB43">
      <w:pPr>
        <w:pStyle w:val="8"/>
        <w:spacing w:before="113"/>
        <w:ind w:left="238"/>
        <w:rPr>
          <w:rFonts w:hint="eastAsia"/>
          <w:lang w:eastAsia="zh-CN"/>
        </w:rPr>
      </w:pPr>
      <w:r>
        <w:rPr>
          <w:lang w:eastAsia="zh-CN"/>
        </w:rPr>
        <w:t>（4）开标一览明细表</w:t>
      </w:r>
    </w:p>
    <w:p w14:paraId="0757B7F0">
      <w:pPr>
        <w:pStyle w:val="8"/>
        <w:spacing w:before="112"/>
        <w:ind w:left="238"/>
        <w:rPr>
          <w:rFonts w:hint="eastAsia"/>
          <w:lang w:eastAsia="zh-CN"/>
        </w:rPr>
      </w:pPr>
      <w:r>
        <w:rPr>
          <w:lang w:eastAsia="zh-CN"/>
        </w:rPr>
        <w:t>（5）</w:t>
      </w:r>
      <w:r>
        <w:rPr>
          <w:rFonts w:hint="eastAsia"/>
          <w:lang w:eastAsia="zh-CN"/>
        </w:rPr>
        <w:t>技术条款</w:t>
      </w:r>
      <w:r>
        <w:rPr>
          <w:lang w:eastAsia="zh-CN"/>
        </w:rPr>
        <w:t>响应/偏离表</w:t>
      </w:r>
    </w:p>
    <w:p w14:paraId="4B38298F">
      <w:pPr>
        <w:pStyle w:val="8"/>
        <w:spacing w:before="113"/>
        <w:ind w:left="238"/>
        <w:rPr>
          <w:rFonts w:hint="eastAsia"/>
          <w:lang w:eastAsia="zh-CN"/>
        </w:rPr>
      </w:pPr>
      <w:r>
        <w:rPr>
          <w:lang w:eastAsia="zh-CN"/>
        </w:rPr>
        <w:t>（6）商务</w:t>
      </w:r>
      <w:r>
        <w:rPr>
          <w:rFonts w:hint="eastAsia"/>
          <w:lang w:eastAsia="zh-CN"/>
        </w:rPr>
        <w:t>条款</w:t>
      </w:r>
      <w:r>
        <w:rPr>
          <w:lang w:eastAsia="zh-CN"/>
        </w:rPr>
        <w:t>响应/偏离表</w:t>
      </w:r>
    </w:p>
    <w:p w14:paraId="449F35B4">
      <w:pPr>
        <w:pStyle w:val="8"/>
        <w:spacing w:before="112"/>
        <w:ind w:left="238"/>
        <w:rPr>
          <w:rFonts w:hint="eastAsia"/>
          <w:lang w:eastAsia="zh-CN"/>
        </w:rPr>
      </w:pPr>
      <w:r>
        <w:rPr>
          <w:lang w:eastAsia="zh-CN"/>
        </w:rPr>
        <w:t>（7）投标人应当提交的资格、资信证明文件</w:t>
      </w:r>
    </w:p>
    <w:p w14:paraId="2ADC23AB">
      <w:pPr>
        <w:pStyle w:val="8"/>
        <w:spacing w:before="39"/>
        <w:ind w:left="238"/>
        <w:rPr>
          <w:rFonts w:hint="eastAsia"/>
          <w:lang w:eastAsia="zh-CN"/>
        </w:rPr>
      </w:pPr>
      <w:r>
        <w:rPr>
          <w:lang w:eastAsia="zh-CN"/>
        </w:rPr>
        <w:t>（8）为落实政府</w:t>
      </w:r>
      <w:r>
        <w:rPr>
          <w:rFonts w:hint="eastAsia"/>
          <w:lang w:eastAsia="zh-CN"/>
        </w:rPr>
        <w:t>招标</w:t>
      </w:r>
      <w:r>
        <w:rPr>
          <w:lang w:eastAsia="zh-CN"/>
        </w:rPr>
        <w:t>政策投标人须提供的证明材料</w:t>
      </w:r>
    </w:p>
    <w:p w14:paraId="5A511277">
      <w:pPr>
        <w:pStyle w:val="8"/>
        <w:spacing w:before="113"/>
        <w:ind w:left="238"/>
        <w:rPr>
          <w:rFonts w:hint="eastAsia"/>
          <w:lang w:eastAsia="zh-CN"/>
        </w:rPr>
      </w:pPr>
      <w:r>
        <w:rPr>
          <w:lang w:eastAsia="zh-CN"/>
        </w:rPr>
        <w:t>（9）技术文件</w:t>
      </w:r>
    </w:p>
    <w:p w14:paraId="733E33AC">
      <w:pPr>
        <w:pStyle w:val="8"/>
        <w:spacing w:before="112"/>
        <w:ind w:left="238"/>
        <w:rPr>
          <w:rFonts w:hint="eastAsia"/>
          <w:lang w:eastAsia="zh-CN"/>
        </w:rPr>
      </w:pPr>
      <w:r>
        <w:rPr>
          <w:lang w:eastAsia="zh-CN"/>
        </w:rPr>
        <w:t>（10）其他资料</w:t>
      </w:r>
    </w:p>
    <w:p w14:paraId="34514286">
      <w:pPr>
        <w:pStyle w:val="38"/>
        <w:numPr>
          <w:ilvl w:val="1"/>
          <w:numId w:val="8"/>
        </w:numPr>
        <w:tabs>
          <w:tab w:val="left" w:pos="779"/>
        </w:tabs>
        <w:spacing w:before="113"/>
        <w:ind w:left="778"/>
        <w:rPr>
          <w:rFonts w:hint="eastAsia"/>
          <w:sz w:val="24"/>
          <w:lang w:eastAsia="zh-CN"/>
        </w:rPr>
      </w:pPr>
      <w:r>
        <w:rPr>
          <w:sz w:val="24"/>
          <w:lang w:eastAsia="zh-CN"/>
        </w:rPr>
        <w:t>投标人应编写投标文件目录及页码</w:t>
      </w:r>
    </w:p>
    <w:p w14:paraId="2C71DE08">
      <w:pPr>
        <w:pStyle w:val="7"/>
        <w:numPr>
          <w:ilvl w:val="0"/>
          <w:numId w:val="8"/>
        </w:numPr>
        <w:tabs>
          <w:tab w:val="left" w:pos="721"/>
        </w:tabs>
        <w:spacing w:before="1"/>
        <w:ind w:hanging="482"/>
        <w:rPr>
          <w:rFonts w:hint="eastAsia"/>
        </w:rPr>
      </w:pPr>
      <w:bookmarkStart w:id="51" w:name="_bookmark17"/>
      <w:bookmarkEnd w:id="51"/>
      <w:bookmarkStart w:id="52" w:name="14._投标报价"/>
      <w:bookmarkEnd w:id="52"/>
      <w:r>
        <w:t>投标报价</w:t>
      </w:r>
    </w:p>
    <w:p w14:paraId="275F9A18">
      <w:pPr>
        <w:pStyle w:val="38"/>
        <w:numPr>
          <w:ilvl w:val="1"/>
          <w:numId w:val="8"/>
        </w:numPr>
        <w:tabs>
          <w:tab w:val="left" w:pos="779"/>
        </w:tabs>
        <w:spacing w:before="210" w:line="328" w:lineRule="auto"/>
        <w:ind w:left="958" w:right="577" w:hanging="720"/>
        <w:rPr>
          <w:rFonts w:hint="eastAsia"/>
          <w:sz w:val="24"/>
          <w:lang w:eastAsia="zh-CN"/>
        </w:rPr>
      </w:pPr>
      <w:r>
        <w:rPr>
          <w:spacing w:val="-10"/>
          <w:sz w:val="24"/>
          <w:lang w:eastAsia="zh-CN"/>
        </w:rPr>
        <w:t>所有投标均以人民币报价，报价内容包含招标文件规定的完成本项目相关服务所需的设备、人员、培训、技术支持、税费等一切相关费用。</w:t>
      </w:r>
    </w:p>
    <w:p w14:paraId="19A7659C">
      <w:pPr>
        <w:pStyle w:val="38"/>
        <w:numPr>
          <w:ilvl w:val="1"/>
          <w:numId w:val="8"/>
        </w:numPr>
        <w:tabs>
          <w:tab w:val="left" w:pos="779"/>
        </w:tabs>
        <w:spacing w:line="328" w:lineRule="auto"/>
        <w:ind w:left="958" w:right="577" w:hanging="720"/>
        <w:jc w:val="both"/>
        <w:rPr>
          <w:rFonts w:hint="eastAsia"/>
          <w:b/>
          <w:sz w:val="24"/>
        </w:rPr>
      </w:pPr>
      <w:r>
        <w:rPr>
          <w:spacing w:val="-3"/>
          <w:sz w:val="24"/>
          <w:lang w:eastAsia="zh-CN"/>
        </w:rPr>
        <w:t>投标人要按开标一览表</w:t>
      </w:r>
      <w:r>
        <w:rPr>
          <w:sz w:val="24"/>
          <w:lang w:eastAsia="zh-CN"/>
        </w:rPr>
        <w:t>（统一格式</w:t>
      </w:r>
      <w:r>
        <w:rPr>
          <w:spacing w:val="-24"/>
          <w:sz w:val="24"/>
          <w:lang w:eastAsia="zh-CN"/>
        </w:rPr>
        <w:t>）</w:t>
      </w:r>
      <w:r>
        <w:rPr>
          <w:spacing w:val="-4"/>
          <w:sz w:val="24"/>
          <w:lang w:eastAsia="zh-CN"/>
        </w:rPr>
        <w:t>和分项报价表</w:t>
      </w:r>
      <w:r>
        <w:rPr>
          <w:spacing w:val="-3"/>
          <w:sz w:val="24"/>
          <w:lang w:eastAsia="zh-CN"/>
        </w:rPr>
        <w:t>（</w:t>
      </w:r>
      <w:r>
        <w:rPr>
          <w:sz w:val="24"/>
          <w:lang w:eastAsia="zh-CN"/>
        </w:rPr>
        <w:t>统一格式</w:t>
      </w:r>
      <w:r>
        <w:rPr>
          <w:spacing w:val="-22"/>
          <w:sz w:val="24"/>
          <w:lang w:eastAsia="zh-CN"/>
        </w:rPr>
        <w:t>）</w:t>
      </w:r>
      <w:r>
        <w:rPr>
          <w:spacing w:val="-5"/>
          <w:sz w:val="24"/>
          <w:lang w:eastAsia="zh-CN"/>
        </w:rPr>
        <w:t>、开标一览明细表</w:t>
      </w:r>
      <w:r>
        <w:rPr>
          <w:spacing w:val="-9"/>
          <w:sz w:val="24"/>
          <w:lang w:eastAsia="zh-CN"/>
        </w:rPr>
        <w:t>的内容填写单价、总价及其他事项。投标总价中不得包含招标文件要求以外的内容，否则，在评标时不予核减。</w:t>
      </w:r>
      <w:r>
        <w:rPr>
          <w:spacing w:val="-9"/>
          <w:sz w:val="24"/>
        </w:rPr>
        <w:t>若投标人不同意，</w:t>
      </w:r>
      <w:r>
        <w:rPr>
          <w:b/>
          <w:spacing w:val="-9"/>
          <w:sz w:val="24"/>
        </w:rPr>
        <w:t>投标无效。</w:t>
      </w:r>
    </w:p>
    <w:p w14:paraId="45F1D1CF">
      <w:pPr>
        <w:pStyle w:val="38"/>
        <w:numPr>
          <w:ilvl w:val="1"/>
          <w:numId w:val="8"/>
        </w:numPr>
        <w:tabs>
          <w:tab w:val="left" w:pos="779"/>
        </w:tabs>
        <w:spacing w:line="328" w:lineRule="auto"/>
        <w:ind w:left="838" w:right="577" w:hanging="600"/>
        <w:rPr>
          <w:rFonts w:hint="eastAsia"/>
          <w:b/>
          <w:sz w:val="24"/>
          <w:lang w:eastAsia="zh-CN"/>
        </w:rPr>
      </w:pPr>
      <w:r>
        <w:rPr>
          <w:spacing w:val="-5"/>
          <w:sz w:val="24"/>
          <w:lang w:eastAsia="zh-CN"/>
        </w:rPr>
        <w:t>投标总价中如缺漏招标文件所要求的内容，投标人中标后须提供，且中标价以投标报价为准；若投标人不同意，</w:t>
      </w:r>
      <w:r>
        <w:rPr>
          <w:b/>
          <w:spacing w:val="-5"/>
          <w:sz w:val="24"/>
          <w:lang w:eastAsia="zh-CN"/>
        </w:rPr>
        <w:t>投标无效。</w:t>
      </w:r>
    </w:p>
    <w:p w14:paraId="690ADE9E">
      <w:pPr>
        <w:pStyle w:val="38"/>
        <w:numPr>
          <w:ilvl w:val="1"/>
          <w:numId w:val="8"/>
        </w:numPr>
        <w:tabs>
          <w:tab w:val="left" w:pos="839"/>
        </w:tabs>
        <w:spacing w:line="328" w:lineRule="auto"/>
        <w:ind w:left="718" w:right="457" w:hanging="480"/>
        <w:rPr>
          <w:rFonts w:hint="eastAsia"/>
          <w:b/>
          <w:sz w:val="24"/>
          <w:lang w:eastAsia="zh-CN"/>
        </w:rPr>
      </w:pPr>
      <w:r>
        <w:rPr>
          <w:spacing w:val="-3"/>
          <w:sz w:val="24"/>
          <w:lang w:eastAsia="zh-CN"/>
        </w:rPr>
        <w:t>投标人所报的投标价在合同执行过程中是固定不变的，不得以任何理由予以变更。</w:t>
      </w:r>
      <w:r>
        <w:rPr>
          <w:spacing w:val="-6"/>
          <w:sz w:val="24"/>
          <w:lang w:eastAsia="zh-CN"/>
        </w:rPr>
        <w:t>投标人应对所有招标内容进行投标，且只提供最优方案一套，投标人提交任何包含价格调整要求的投标将按非实质性响应投标，</w:t>
      </w:r>
      <w:r>
        <w:rPr>
          <w:b/>
          <w:spacing w:val="-6"/>
          <w:sz w:val="24"/>
          <w:lang w:eastAsia="zh-CN"/>
        </w:rPr>
        <w:t>投标无效。</w:t>
      </w:r>
    </w:p>
    <w:p w14:paraId="610B4D3B">
      <w:pPr>
        <w:pStyle w:val="38"/>
        <w:numPr>
          <w:ilvl w:val="1"/>
          <w:numId w:val="8"/>
        </w:numPr>
        <w:tabs>
          <w:tab w:val="left" w:pos="779"/>
        </w:tabs>
        <w:spacing w:line="304" w:lineRule="exact"/>
        <w:ind w:left="958" w:hanging="720"/>
        <w:rPr>
          <w:rFonts w:hint="eastAsia"/>
          <w:sz w:val="24"/>
          <w:lang w:eastAsia="zh-CN"/>
        </w:rPr>
      </w:pPr>
      <w:r>
        <w:rPr>
          <w:sz w:val="24"/>
          <w:lang w:eastAsia="zh-CN"/>
        </w:rPr>
        <w:t>最低报价不能作为中标的保证。</w:t>
      </w:r>
    </w:p>
    <w:p w14:paraId="099EB79D">
      <w:pPr>
        <w:pStyle w:val="7"/>
        <w:ind w:left="238"/>
        <w:rPr>
          <w:rFonts w:hint="eastAsia"/>
        </w:rPr>
      </w:pPr>
      <w:bookmarkStart w:id="53" w:name="_bookmark18"/>
      <w:bookmarkEnd w:id="53"/>
      <w:bookmarkStart w:id="54" w:name="15.投标保证金"/>
      <w:bookmarkEnd w:id="54"/>
      <w:r>
        <w:t>15.投标保证金</w:t>
      </w:r>
    </w:p>
    <w:p w14:paraId="28F6BA15">
      <w:pPr>
        <w:pStyle w:val="38"/>
        <w:numPr>
          <w:ilvl w:val="1"/>
          <w:numId w:val="9"/>
        </w:numPr>
        <w:tabs>
          <w:tab w:val="left" w:pos="779"/>
        </w:tabs>
        <w:spacing w:before="211" w:line="328" w:lineRule="auto"/>
        <w:ind w:right="577" w:hanging="566"/>
        <w:rPr>
          <w:rFonts w:hint="eastAsia"/>
          <w:sz w:val="24"/>
          <w:lang w:eastAsia="zh-CN"/>
        </w:rPr>
      </w:pPr>
      <w:r>
        <w:rPr>
          <w:spacing w:val="-4"/>
          <w:sz w:val="24"/>
          <w:lang w:eastAsia="zh-CN"/>
        </w:rPr>
        <w:t>投标人须在投标文件递交截止时间之前向</w:t>
      </w:r>
      <w:r>
        <w:rPr>
          <w:rFonts w:hint="eastAsia"/>
          <w:spacing w:val="-4"/>
          <w:sz w:val="24"/>
          <w:lang w:eastAsia="zh-CN"/>
        </w:rPr>
        <w:t>招标</w:t>
      </w:r>
      <w:r>
        <w:rPr>
          <w:spacing w:val="-4"/>
          <w:sz w:val="24"/>
          <w:lang w:eastAsia="zh-CN"/>
        </w:rPr>
        <w:t>代理机构提交投标保证金，并作为其投标文件的一部分，详见“投标人须知前附表”。</w:t>
      </w:r>
    </w:p>
    <w:p w14:paraId="1C4D8C60">
      <w:pPr>
        <w:pStyle w:val="38"/>
        <w:numPr>
          <w:ilvl w:val="1"/>
          <w:numId w:val="9"/>
        </w:numPr>
        <w:tabs>
          <w:tab w:val="left" w:pos="839"/>
        </w:tabs>
        <w:spacing w:line="305" w:lineRule="exact"/>
        <w:ind w:left="838" w:hanging="600"/>
        <w:rPr>
          <w:rFonts w:hint="eastAsia"/>
          <w:b/>
          <w:sz w:val="24"/>
          <w:lang w:eastAsia="zh-CN"/>
        </w:rPr>
      </w:pPr>
      <w:r>
        <w:rPr>
          <w:spacing w:val="-6"/>
          <w:sz w:val="24"/>
          <w:lang w:eastAsia="zh-CN"/>
        </w:rPr>
        <w:t xml:space="preserve">任何未按“投标人须知第 </w:t>
      </w:r>
      <w:r>
        <w:rPr>
          <w:sz w:val="24"/>
          <w:lang w:eastAsia="zh-CN"/>
        </w:rPr>
        <w:t>15.1</w:t>
      </w:r>
      <w:r>
        <w:rPr>
          <w:spacing w:val="-8"/>
          <w:sz w:val="24"/>
          <w:lang w:eastAsia="zh-CN"/>
        </w:rPr>
        <w:t xml:space="preserve"> 条”要求提交投标保证金的投标文件，</w:t>
      </w:r>
      <w:r>
        <w:rPr>
          <w:b/>
          <w:sz w:val="24"/>
          <w:lang w:eastAsia="zh-CN"/>
        </w:rPr>
        <w:t>投标无效。</w:t>
      </w:r>
    </w:p>
    <w:p w14:paraId="660F030F">
      <w:pPr>
        <w:pStyle w:val="38"/>
        <w:numPr>
          <w:ilvl w:val="1"/>
          <w:numId w:val="9"/>
        </w:numPr>
        <w:tabs>
          <w:tab w:val="left" w:pos="779"/>
        </w:tabs>
        <w:spacing w:before="110" w:line="328" w:lineRule="auto"/>
        <w:ind w:right="577" w:hanging="566"/>
        <w:rPr>
          <w:rFonts w:hint="eastAsia"/>
          <w:sz w:val="24"/>
          <w:lang w:eastAsia="zh-CN"/>
        </w:rPr>
      </w:pPr>
      <w:r>
        <w:rPr>
          <w:spacing w:val="-6"/>
          <w:sz w:val="24"/>
          <w:lang w:eastAsia="zh-CN"/>
        </w:rPr>
        <w:t xml:space="preserve">自中标通知书发出之日起 </w:t>
      </w:r>
      <w:r>
        <w:rPr>
          <w:sz w:val="24"/>
          <w:lang w:eastAsia="zh-CN"/>
        </w:rPr>
        <w:t>5</w:t>
      </w:r>
      <w:r>
        <w:rPr>
          <w:spacing w:val="-14"/>
          <w:sz w:val="24"/>
          <w:lang w:eastAsia="zh-CN"/>
        </w:rPr>
        <w:t xml:space="preserve"> 个工作日内退还未中标人的投标保证金，自</w:t>
      </w:r>
      <w:r>
        <w:rPr>
          <w:rFonts w:hint="eastAsia"/>
          <w:spacing w:val="-14"/>
          <w:sz w:val="24"/>
          <w:lang w:eastAsia="zh-CN"/>
        </w:rPr>
        <w:t>招标</w:t>
      </w:r>
      <w:r>
        <w:rPr>
          <w:spacing w:val="-14"/>
          <w:sz w:val="24"/>
          <w:lang w:eastAsia="zh-CN"/>
        </w:rPr>
        <w:t>合同签</w:t>
      </w:r>
      <w:r>
        <w:rPr>
          <w:spacing w:val="-24"/>
          <w:sz w:val="24"/>
          <w:lang w:eastAsia="zh-CN"/>
        </w:rPr>
        <w:t xml:space="preserve">订之日起 </w:t>
      </w:r>
      <w:r>
        <w:rPr>
          <w:sz w:val="24"/>
          <w:lang w:eastAsia="zh-CN"/>
        </w:rPr>
        <w:t>5</w:t>
      </w:r>
      <w:r>
        <w:rPr>
          <w:spacing w:val="-8"/>
          <w:sz w:val="24"/>
          <w:lang w:eastAsia="zh-CN"/>
        </w:rPr>
        <w:t xml:space="preserve"> 个工作日内退还中标人的投标保证金。</w:t>
      </w:r>
    </w:p>
    <w:p w14:paraId="68F53B86">
      <w:pPr>
        <w:pStyle w:val="38"/>
        <w:numPr>
          <w:ilvl w:val="1"/>
          <w:numId w:val="9"/>
        </w:numPr>
        <w:tabs>
          <w:tab w:val="left" w:pos="779"/>
        </w:tabs>
        <w:spacing w:line="328" w:lineRule="auto"/>
        <w:ind w:right="577" w:hanging="566"/>
        <w:jc w:val="both"/>
        <w:rPr>
          <w:rFonts w:hint="eastAsia"/>
          <w:sz w:val="24"/>
          <w:lang w:eastAsia="zh-CN"/>
        </w:rPr>
      </w:pPr>
      <w:r>
        <w:rPr>
          <w:spacing w:val="-5"/>
          <w:sz w:val="24"/>
          <w:lang w:eastAsia="zh-CN"/>
        </w:rPr>
        <w:t>投标人在投标截止时间前撤回已提交的投标文件的，</w:t>
      </w:r>
      <w:r>
        <w:rPr>
          <w:rFonts w:hint="eastAsia"/>
          <w:spacing w:val="-5"/>
          <w:sz w:val="24"/>
          <w:lang w:eastAsia="zh-CN"/>
        </w:rPr>
        <w:t>招标</w:t>
      </w:r>
      <w:r>
        <w:rPr>
          <w:spacing w:val="-5"/>
          <w:sz w:val="24"/>
          <w:lang w:eastAsia="zh-CN"/>
        </w:rPr>
        <w:t>代理机构应当自投标截止</w:t>
      </w:r>
      <w:r>
        <w:rPr>
          <w:spacing w:val="-11"/>
          <w:sz w:val="24"/>
          <w:lang w:eastAsia="zh-CN"/>
        </w:rPr>
        <w:t xml:space="preserve">之日起 </w:t>
      </w:r>
      <w:r>
        <w:rPr>
          <w:sz w:val="24"/>
          <w:lang w:eastAsia="zh-CN"/>
        </w:rPr>
        <w:t>5</w:t>
      </w:r>
      <w:r>
        <w:rPr>
          <w:spacing w:val="-6"/>
          <w:sz w:val="24"/>
          <w:lang w:eastAsia="zh-CN"/>
        </w:rPr>
        <w:t xml:space="preserve"> 个工作日内，退还已收取的投标保证金，但因投标人自身原因导致无法及时退还的除外。</w:t>
      </w:r>
    </w:p>
    <w:p w14:paraId="22F98528">
      <w:pPr>
        <w:pStyle w:val="38"/>
        <w:numPr>
          <w:ilvl w:val="1"/>
          <w:numId w:val="9"/>
        </w:numPr>
        <w:tabs>
          <w:tab w:val="left" w:pos="779"/>
        </w:tabs>
        <w:spacing w:line="304" w:lineRule="exact"/>
        <w:ind w:hanging="566"/>
        <w:rPr>
          <w:rFonts w:hint="eastAsia"/>
          <w:sz w:val="24"/>
          <w:lang w:eastAsia="zh-CN"/>
        </w:rPr>
      </w:pPr>
      <w:r>
        <w:rPr>
          <w:sz w:val="24"/>
          <w:lang w:eastAsia="zh-CN"/>
        </w:rPr>
        <w:t>下列任何情况发生时，不予退还其交纳的投标保证金：</w:t>
      </w:r>
    </w:p>
    <w:p w14:paraId="59762493">
      <w:pPr>
        <w:pStyle w:val="8"/>
        <w:spacing w:before="110"/>
        <w:ind w:left="718"/>
        <w:rPr>
          <w:rFonts w:hint="eastAsia"/>
          <w:lang w:eastAsia="zh-CN"/>
        </w:rPr>
      </w:pPr>
      <w:r>
        <w:rPr>
          <w:lang w:eastAsia="zh-CN"/>
        </w:rPr>
        <w:t>（1)投标人在投标有效期内撤回其投标；</w:t>
      </w:r>
    </w:p>
    <w:p w14:paraId="2465FB76">
      <w:pPr>
        <w:pStyle w:val="8"/>
        <w:spacing w:before="112"/>
        <w:ind w:left="718"/>
        <w:rPr>
          <w:rFonts w:hint="eastAsia"/>
          <w:lang w:eastAsia="zh-CN"/>
        </w:rPr>
      </w:pPr>
      <w:r>
        <w:rPr>
          <w:lang w:eastAsia="zh-CN"/>
        </w:rPr>
        <w:t>（2)中标人未按招标文件所述规定签订合同；</w:t>
      </w:r>
    </w:p>
    <w:p w14:paraId="776CB275">
      <w:pPr>
        <w:pStyle w:val="8"/>
        <w:spacing w:before="113"/>
        <w:ind w:left="718"/>
        <w:rPr>
          <w:rFonts w:hint="eastAsia"/>
          <w:lang w:eastAsia="zh-CN"/>
        </w:rPr>
      </w:pPr>
      <w:r>
        <w:rPr>
          <w:lang w:eastAsia="zh-CN"/>
        </w:rPr>
        <w:t>（3)中标人未按规定缴付</w:t>
      </w:r>
      <w:r>
        <w:rPr>
          <w:rFonts w:hint="eastAsia"/>
          <w:lang w:eastAsia="zh-CN"/>
        </w:rPr>
        <w:t>招标</w:t>
      </w:r>
      <w:r>
        <w:rPr>
          <w:lang w:eastAsia="zh-CN"/>
        </w:rPr>
        <w:t>代理服务费；</w:t>
      </w:r>
    </w:p>
    <w:p w14:paraId="2007357B">
      <w:pPr>
        <w:spacing w:before="39"/>
        <w:ind w:left="718"/>
        <w:rPr>
          <w:rFonts w:hint="eastAsia"/>
          <w:sz w:val="24"/>
          <w:lang w:eastAsia="zh-CN"/>
        </w:rPr>
      </w:pPr>
      <w:r>
        <w:rPr>
          <w:sz w:val="24"/>
          <w:lang w:eastAsia="zh-CN"/>
        </w:rPr>
        <w:t>（4)中标人未按规定提交履约保证金</w:t>
      </w:r>
      <w:r>
        <w:rPr>
          <w:b/>
          <w:sz w:val="24"/>
          <w:lang w:eastAsia="zh-CN"/>
        </w:rPr>
        <w:t>（如招标文件要求提交履约保证金）</w:t>
      </w:r>
      <w:r>
        <w:rPr>
          <w:sz w:val="24"/>
          <w:lang w:eastAsia="zh-CN"/>
        </w:rPr>
        <w:t>；</w:t>
      </w:r>
    </w:p>
    <w:p w14:paraId="4F9B76A4">
      <w:pPr>
        <w:pStyle w:val="8"/>
        <w:spacing w:before="113"/>
        <w:ind w:left="718"/>
        <w:rPr>
          <w:rFonts w:hint="eastAsia"/>
          <w:lang w:eastAsia="zh-CN"/>
        </w:rPr>
      </w:pPr>
      <w:r>
        <w:rPr>
          <w:lang w:eastAsia="zh-CN"/>
        </w:rPr>
        <w:t>（5)中标人提供虚假材料和文件意图骗取中标。</w:t>
      </w:r>
    </w:p>
    <w:p w14:paraId="1A234BF2">
      <w:pPr>
        <w:pStyle w:val="7"/>
        <w:spacing w:before="1"/>
        <w:ind w:left="238"/>
        <w:rPr>
          <w:rFonts w:hint="eastAsia"/>
        </w:rPr>
      </w:pPr>
      <w:bookmarkStart w:id="55" w:name="_bookmark19"/>
      <w:bookmarkEnd w:id="55"/>
      <w:bookmarkStart w:id="56" w:name="16.投标有效期"/>
      <w:bookmarkEnd w:id="56"/>
      <w:r>
        <w:t>16.投标有效期</w:t>
      </w:r>
    </w:p>
    <w:p w14:paraId="572538A3">
      <w:pPr>
        <w:pStyle w:val="38"/>
        <w:numPr>
          <w:ilvl w:val="1"/>
          <w:numId w:val="10"/>
        </w:numPr>
        <w:tabs>
          <w:tab w:val="left" w:pos="779"/>
        </w:tabs>
        <w:spacing w:before="210" w:line="328" w:lineRule="auto"/>
        <w:ind w:right="457" w:hanging="566"/>
        <w:rPr>
          <w:rFonts w:hint="eastAsia"/>
          <w:sz w:val="24"/>
          <w:lang w:eastAsia="zh-CN"/>
        </w:rPr>
      </w:pPr>
      <w:r>
        <w:rPr>
          <w:spacing w:val="-6"/>
          <w:sz w:val="24"/>
          <w:lang w:eastAsia="zh-CN"/>
        </w:rPr>
        <w:t>投标有效期从提交投标文件的截止之日起算。投标文件中承诺的投标有效期应不少</w:t>
      </w:r>
      <w:r>
        <w:rPr>
          <w:spacing w:val="-7"/>
          <w:sz w:val="24"/>
          <w:lang w:eastAsia="zh-CN"/>
        </w:rPr>
        <w:t>于招标文件中载明的投标有效期。并在投标文件中承诺的投标有效期內保持有效。</w:t>
      </w:r>
      <w:r>
        <w:rPr>
          <w:spacing w:val="-2"/>
          <w:sz w:val="24"/>
          <w:lang w:eastAsia="zh-CN"/>
        </w:rPr>
        <w:t>招标文件中载明的投标有效期详见“投标人须知前附表”，投标有效期不足的投标，</w:t>
      </w:r>
      <w:r>
        <w:rPr>
          <w:b/>
          <w:spacing w:val="-2"/>
          <w:sz w:val="24"/>
          <w:lang w:eastAsia="zh-CN"/>
        </w:rPr>
        <w:t>投标无效</w:t>
      </w:r>
      <w:r>
        <w:rPr>
          <w:spacing w:val="-2"/>
          <w:sz w:val="24"/>
          <w:lang w:eastAsia="zh-CN"/>
        </w:rPr>
        <w:t>。</w:t>
      </w:r>
    </w:p>
    <w:p w14:paraId="49FAA81F">
      <w:pPr>
        <w:pStyle w:val="38"/>
        <w:numPr>
          <w:ilvl w:val="1"/>
          <w:numId w:val="10"/>
        </w:numPr>
        <w:tabs>
          <w:tab w:val="left" w:pos="779"/>
        </w:tabs>
        <w:spacing w:line="328" w:lineRule="auto"/>
        <w:ind w:right="577" w:hanging="566"/>
        <w:jc w:val="both"/>
        <w:rPr>
          <w:rFonts w:hint="eastAsia"/>
          <w:sz w:val="24"/>
          <w:lang w:eastAsia="zh-CN"/>
        </w:rPr>
      </w:pPr>
      <w:r>
        <w:rPr>
          <w:spacing w:val="-10"/>
          <w:sz w:val="24"/>
          <w:lang w:eastAsia="zh-CN"/>
        </w:rPr>
        <w:t>在特殊情况下，</w:t>
      </w:r>
      <w:r>
        <w:rPr>
          <w:rFonts w:hint="eastAsia"/>
          <w:spacing w:val="-10"/>
          <w:sz w:val="24"/>
          <w:lang w:eastAsia="zh-CN"/>
        </w:rPr>
        <w:t>招标</w:t>
      </w:r>
      <w:r>
        <w:rPr>
          <w:spacing w:val="-10"/>
          <w:sz w:val="24"/>
          <w:lang w:eastAsia="zh-CN"/>
        </w:rPr>
        <w:t>代理机构可延长投标有效期。延长投标有效期在</w:t>
      </w:r>
      <w:r>
        <w:rPr>
          <w:spacing w:val="-2"/>
          <w:sz w:val="24"/>
          <w:lang w:eastAsia="zh-CN"/>
        </w:rPr>
        <w:t>江西省公共资源交易网上发布，延期函以网上公告的形式通知所有已参加</w:t>
      </w:r>
      <w:r>
        <w:rPr>
          <w:sz w:val="24"/>
          <w:lang w:eastAsia="zh-CN"/>
        </w:rPr>
        <w:t>投标的投标人。已参加投标的投标人应以书面形式答复</w:t>
      </w:r>
      <w:r>
        <w:rPr>
          <w:rFonts w:hint="eastAsia"/>
          <w:sz w:val="24"/>
          <w:lang w:eastAsia="zh-CN"/>
        </w:rPr>
        <w:t>招标</w:t>
      </w:r>
      <w:r>
        <w:rPr>
          <w:sz w:val="24"/>
          <w:lang w:eastAsia="zh-CN"/>
        </w:rPr>
        <w:t>代理机构，同意延长有效期的投标人不能修改其投标文件，有关投标保证金的规定在投标有效期的延长期内继续有效。</w:t>
      </w:r>
    </w:p>
    <w:p w14:paraId="30107E1C">
      <w:pPr>
        <w:pStyle w:val="7"/>
        <w:ind w:left="238"/>
        <w:rPr>
          <w:rFonts w:hint="eastAsia"/>
        </w:rPr>
      </w:pPr>
      <w:bookmarkStart w:id="57" w:name="17.投标文件的签署"/>
      <w:bookmarkEnd w:id="57"/>
      <w:bookmarkStart w:id="58" w:name="_bookmark20"/>
      <w:bookmarkEnd w:id="58"/>
      <w:r>
        <w:t>17.投标文件的签署</w:t>
      </w:r>
    </w:p>
    <w:p w14:paraId="03C2D1A4">
      <w:pPr>
        <w:pStyle w:val="38"/>
        <w:numPr>
          <w:ilvl w:val="1"/>
          <w:numId w:val="11"/>
        </w:numPr>
        <w:tabs>
          <w:tab w:val="left" w:pos="1201"/>
        </w:tabs>
        <w:spacing w:line="379" w:lineRule="auto"/>
        <w:ind w:right="1357" w:firstLine="0"/>
        <w:jc w:val="both"/>
        <w:rPr>
          <w:rFonts w:hint="eastAsia"/>
          <w:sz w:val="24"/>
          <w:lang w:eastAsia="zh-CN"/>
        </w:rPr>
      </w:pPr>
      <w:r>
        <w:rPr>
          <w:rFonts w:hint="eastAsia"/>
          <w:sz w:val="24"/>
          <w:lang w:eastAsia="zh-CN"/>
        </w:rPr>
        <w:t>投标</w:t>
      </w:r>
      <w:r>
        <w:rPr>
          <w:sz w:val="24"/>
          <w:lang w:eastAsia="zh-CN"/>
        </w:rPr>
        <w:t>人应该按照招标文件规定由投标人法定代表人或经其授权的并对投标</w:t>
      </w:r>
      <w:r>
        <w:rPr>
          <w:spacing w:val="-4"/>
          <w:sz w:val="24"/>
          <w:lang w:eastAsia="zh-CN"/>
        </w:rPr>
        <w:t>人具有约束力的人进行签字盖章。授权代表须将以书面形式出具的“《法人代表授权书》”附在投标文件中。</w:t>
      </w:r>
    </w:p>
    <w:p w14:paraId="63F12F68">
      <w:pPr>
        <w:pStyle w:val="38"/>
        <w:numPr>
          <w:ilvl w:val="1"/>
          <w:numId w:val="11"/>
        </w:numPr>
        <w:tabs>
          <w:tab w:val="left" w:pos="1199"/>
        </w:tabs>
        <w:spacing w:before="2" w:line="379" w:lineRule="auto"/>
        <w:ind w:right="1237" w:firstLine="0"/>
        <w:rPr>
          <w:rFonts w:hint="eastAsia"/>
          <w:sz w:val="24"/>
          <w:lang w:eastAsia="zh-CN"/>
        </w:rPr>
      </w:pPr>
      <w:r>
        <w:rPr>
          <w:spacing w:val="-14"/>
          <w:sz w:val="24"/>
          <w:lang w:eastAsia="zh-CN"/>
        </w:rPr>
        <w:t>除投标人对错处作必要修改外，投标文件不得在行间插字、涂改或增删。如有修改错漏处，必须有投标人或授权代表的签字和盖章。</w:t>
      </w:r>
    </w:p>
    <w:p w14:paraId="36B496C7">
      <w:pPr>
        <w:pStyle w:val="38"/>
        <w:numPr>
          <w:ilvl w:val="1"/>
          <w:numId w:val="11"/>
        </w:numPr>
        <w:tabs>
          <w:tab w:val="left" w:pos="1199"/>
        </w:tabs>
        <w:spacing w:before="2" w:line="379" w:lineRule="auto"/>
        <w:ind w:right="1245" w:firstLine="0"/>
        <w:rPr>
          <w:rFonts w:hint="eastAsia"/>
          <w:sz w:val="24"/>
          <w:lang w:eastAsia="zh-CN"/>
        </w:rPr>
      </w:pPr>
      <w:r>
        <w:rPr>
          <w:sz w:val="24"/>
          <w:lang w:eastAsia="zh-CN"/>
        </w:rPr>
        <w:t>投标文件的电子盖章要求：投标文件（开标一览表、分项报价表除外） 必须加盖电子签章，否则其投标无效。</w:t>
      </w:r>
    </w:p>
    <w:p w14:paraId="49091CA5">
      <w:pPr>
        <w:pStyle w:val="38"/>
        <w:numPr>
          <w:ilvl w:val="1"/>
          <w:numId w:val="11"/>
        </w:numPr>
        <w:tabs>
          <w:tab w:val="left" w:pos="1199"/>
        </w:tabs>
        <w:spacing w:before="2" w:line="379" w:lineRule="auto"/>
        <w:ind w:right="1245" w:firstLine="0"/>
        <w:rPr>
          <w:rFonts w:hint="eastAsia"/>
          <w:sz w:val="24"/>
          <w:lang w:eastAsia="zh-CN"/>
        </w:rPr>
      </w:pPr>
      <w:r>
        <w:rPr>
          <w:sz w:val="24"/>
          <w:lang w:eastAsia="zh-CN"/>
        </w:rPr>
        <w:t>投标文件的电子版本应清楚工整，扫描件图像清晰加盖电子公章。</w:t>
      </w:r>
    </w:p>
    <w:p w14:paraId="7D9CC34C">
      <w:pPr>
        <w:pStyle w:val="38"/>
        <w:numPr>
          <w:ilvl w:val="1"/>
          <w:numId w:val="11"/>
        </w:numPr>
        <w:tabs>
          <w:tab w:val="left" w:pos="1199"/>
        </w:tabs>
        <w:spacing w:line="379" w:lineRule="auto"/>
        <w:ind w:right="1357" w:firstLine="0"/>
        <w:rPr>
          <w:rFonts w:hint="eastAsia"/>
          <w:sz w:val="24"/>
          <w:lang w:eastAsia="zh-CN"/>
        </w:rPr>
      </w:pPr>
      <w:r>
        <w:rPr>
          <w:spacing w:val="-11"/>
          <w:sz w:val="24"/>
          <w:lang w:eastAsia="zh-CN"/>
        </w:rPr>
        <w:t>投标文件模糊、投标内容表达不清、未按要求填写或可能导致非唯一理解的投标文件可能被认定为无效的投标。</w:t>
      </w:r>
    </w:p>
    <w:p w14:paraId="01FD4741">
      <w:pPr>
        <w:pStyle w:val="38"/>
        <w:numPr>
          <w:ilvl w:val="1"/>
          <w:numId w:val="11"/>
        </w:numPr>
        <w:tabs>
          <w:tab w:val="left" w:pos="1199"/>
        </w:tabs>
        <w:spacing w:line="360" w:lineRule="auto"/>
        <w:ind w:left="1196" w:hanging="539"/>
        <w:rPr>
          <w:rFonts w:hint="eastAsia"/>
          <w:sz w:val="24"/>
          <w:lang w:eastAsia="zh-CN"/>
        </w:rPr>
      </w:pPr>
      <w:r>
        <w:rPr>
          <w:sz w:val="24"/>
          <w:lang w:eastAsia="zh-CN"/>
        </w:rPr>
        <w:t>本项目所涉及的公章指的是投标人（制造商）单位的公章或投标专用章均可。</w:t>
      </w:r>
    </w:p>
    <w:p w14:paraId="6CA339D7">
      <w:pPr>
        <w:pStyle w:val="38"/>
        <w:numPr>
          <w:ilvl w:val="1"/>
          <w:numId w:val="11"/>
        </w:numPr>
        <w:tabs>
          <w:tab w:val="left" w:pos="1199"/>
        </w:tabs>
        <w:spacing w:before="177"/>
        <w:ind w:left="1198" w:hanging="540"/>
        <w:rPr>
          <w:rFonts w:hint="eastAsia"/>
          <w:sz w:val="24"/>
          <w:lang w:eastAsia="zh-CN"/>
        </w:rPr>
      </w:pPr>
      <w:r>
        <w:rPr>
          <w:sz w:val="24"/>
          <w:lang w:eastAsia="zh-CN"/>
        </w:rPr>
        <w:t>本文件所涉及的“签章”为“签字或盖章”。</w:t>
      </w:r>
    </w:p>
    <w:p w14:paraId="4CEED3E9">
      <w:pPr>
        <w:pStyle w:val="8"/>
        <w:spacing w:before="10"/>
        <w:rPr>
          <w:rFonts w:hint="eastAsia"/>
          <w:sz w:val="17"/>
          <w:lang w:eastAsia="zh-CN"/>
        </w:rPr>
      </w:pPr>
    </w:p>
    <w:p w14:paraId="0144644B">
      <w:pPr>
        <w:pStyle w:val="7"/>
        <w:ind w:left="238"/>
        <w:rPr>
          <w:rFonts w:hint="eastAsia"/>
        </w:rPr>
      </w:pPr>
      <w:bookmarkStart w:id="59" w:name="18.投标截止日期"/>
      <w:bookmarkEnd w:id="59"/>
      <w:r>
        <w:t>18.投标截止日期</w:t>
      </w:r>
    </w:p>
    <w:p w14:paraId="37C85223">
      <w:pPr>
        <w:pStyle w:val="38"/>
        <w:numPr>
          <w:ilvl w:val="1"/>
          <w:numId w:val="12"/>
        </w:numPr>
        <w:tabs>
          <w:tab w:val="left" w:pos="1199"/>
        </w:tabs>
        <w:spacing w:before="141" w:line="360" w:lineRule="auto"/>
        <w:ind w:firstLine="0"/>
        <w:rPr>
          <w:rFonts w:hint="eastAsia"/>
          <w:sz w:val="24"/>
          <w:szCs w:val="24"/>
          <w:lang w:eastAsia="zh-CN"/>
        </w:rPr>
      </w:pPr>
      <w:r>
        <w:rPr>
          <w:rFonts w:hint="eastAsia"/>
          <w:sz w:val="24"/>
          <w:szCs w:val="24"/>
          <w:lang w:eastAsia="zh-CN"/>
        </w:rPr>
        <w:t>电子版投标文件必须在投标截止时间前上传到江西省公共资源交易网，否则视为无效投标。代理机构将拒绝在其规定的截止时间后上传到江西省公共资源交易网的任何投标文件。</w:t>
      </w:r>
    </w:p>
    <w:p w14:paraId="1B03C7BC">
      <w:pPr>
        <w:pStyle w:val="38"/>
        <w:numPr>
          <w:ilvl w:val="1"/>
          <w:numId w:val="12"/>
        </w:numPr>
        <w:tabs>
          <w:tab w:val="left" w:pos="1199"/>
        </w:tabs>
        <w:spacing w:before="52"/>
        <w:ind w:firstLine="0"/>
        <w:rPr>
          <w:rFonts w:hint="eastAsia"/>
          <w:sz w:val="24"/>
          <w:lang w:eastAsia="zh-CN"/>
        </w:rPr>
      </w:pPr>
      <w:r>
        <w:rPr>
          <w:sz w:val="24"/>
          <w:lang w:eastAsia="zh-CN"/>
        </w:rPr>
        <w:t>投标截止时间</w:t>
      </w:r>
      <w:r>
        <w:rPr>
          <w:rFonts w:hint="eastAsia"/>
          <w:spacing w:val="1"/>
          <w:sz w:val="24"/>
          <w:szCs w:val="24"/>
          <w:lang w:eastAsia="zh-CN"/>
        </w:rPr>
        <w:t>2025年  月 日09点00分</w:t>
      </w:r>
      <w:r>
        <w:rPr>
          <w:lang w:eastAsia="zh-CN"/>
        </w:rPr>
        <w:t>(北京时间)</w:t>
      </w:r>
    </w:p>
    <w:p w14:paraId="7B122D04">
      <w:pPr>
        <w:pStyle w:val="38"/>
        <w:numPr>
          <w:ilvl w:val="1"/>
          <w:numId w:val="12"/>
        </w:numPr>
        <w:tabs>
          <w:tab w:val="left" w:pos="1199"/>
        </w:tabs>
        <w:spacing w:before="180" w:line="379" w:lineRule="auto"/>
        <w:ind w:right="1357" w:firstLine="0"/>
        <w:jc w:val="both"/>
        <w:rPr>
          <w:rFonts w:hint="eastAsia"/>
          <w:sz w:val="24"/>
          <w:lang w:eastAsia="zh-CN"/>
        </w:rPr>
      </w:pPr>
      <w:r>
        <w:rPr>
          <w:spacing w:val="-7"/>
          <w:sz w:val="24"/>
          <w:lang w:eastAsia="zh-CN"/>
        </w:rPr>
        <w:t>若代理机构推迟投标截止时间，应当在江西省</w:t>
      </w:r>
      <w:r>
        <w:rPr>
          <w:spacing w:val="-10"/>
          <w:sz w:val="24"/>
          <w:lang w:eastAsia="zh-CN"/>
        </w:rPr>
        <w:t>公共资源交易网上发布延期公告，延期函以网上公告的形式通知所有已下载</w:t>
      </w:r>
      <w:r>
        <w:rPr>
          <w:spacing w:val="-12"/>
          <w:sz w:val="24"/>
          <w:lang w:eastAsia="zh-CN"/>
        </w:rPr>
        <w:t>招标文件的投标人。在这种情况下，代理机构、</w:t>
      </w:r>
      <w:r>
        <w:rPr>
          <w:rFonts w:hint="eastAsia"/>
          <w:spacing w:val="-12"/>
          <w:sz w:val="24"/>
          <w:lang w:eastAsia="zh-CN"/>
        </w:rPr>
        <w:t>招标</w:t>
      </w:r>
      <w:r>
        <w:rPr>
          <w:spacing w:val="-12"/>
          <w:sz w:val="24"/>
          <w:lang w:eastAsia="zh-CN"/>
        </w:rPr>
        <w:t>人和投标人受投标截止时间制约的所有权利和义务均应延长至新的投标截止时间。</w:t>
      </w:r>
    </w:p>
    <w:p w14:paraId="0355FBBA">
      <w:pPr>
        <w:pStyle w:val="38"/>
        <w:numPr>
          <w:ilvl w:val="1"/>
          <w:numId w:val="12"/>
        </w:numPr>
        <w:tabs>
          <w:tab w:val="left" w:pos="1259"/>
        </w:tabs>
        <w:spacing w:before="137"/>
        <w:ind w:left="1258"/>
        <w:rPr>
          <w:rFonts w:hint="eastAsia"/>
          <w:sz w:val="24"/>
          <w:lang w:eastAsia="zh-CN"/>
        </w:rPr>
      </w:pPr>
      <w:bookmarkStart w:id="60" w:name="18.4投标文件内容以上传的电子版投标文件为准。"/>
      <w:bookmarkEnd w:id="60"/>
      <w:r>
        <w:rPr>
          <w:sz w:val="24"/>
          <w:lang w:eastAsia="zh-CN"/>
        </w:rPr>
        <w:t>投标文件内容以上传的电子版投标文件为准。</w:t>
      </w:r>
    </w:p>
    <w:p w14:paraId="14A6B90F">
      <w:pPr>
        <w:pStyle w:val="7"/>
        <w:spacing w:line="360" w:lineRule="auto"/>
        <w:ind w:left="238"/>
        <w:rPr>
          <w:rFonts w:hint="eastAsia"/>
          <w:lang w:eastAsia="zh-CN"/>
        </w:rPr>
      </w:pPr>
      <w:bookmarkStart w:id="61" w:name="19.投标签到"/>
      <w:bookmarkEnd w:id="61"/>
      <w:r>
        <w:rPr>
          <w:lang w:eastAsia="zh-CN"/>
        </w:rPr>
        <w:t>19.投标签到</w:t>
      </w:r>
    </w:p>
    <w:p w14:paraId="5B16278D">
      <w:pPr>
        <w:pStyle w:val="8"/>
        <w:spacing w:line="379" w:lineRule="auto"/>
        <w:ind w:left="478" w:right="1351" w:hanging="240"/>
        <w:jc w:val="both"/>
        <w:rPr>
          <w:rFonts w:hint="eastAsia"/>
          <w:lang w:eastAsia="zh-CN"/>
        </w:rPr>
      </w:pPr>
      <w:r>
        <w:rPr>
          <w:lang w:eastAsia="zh-CN"/>
        </w:rPr>
        <w:t>19.1 本项目投标截止时间为</w:t>
      </w:r>
      <w:r>
        <w:rPr>
          <w:rFonts w:hint="eastAsia"/>
          <w:spacing w:val="1"/>
          <w:lang w:eastAsia="zh-CN"/>
        </w:rPr>
        <w:t>2025年  月   日09点00分</w:t>
      </w:r>
      <w:r>
        <w:rPr>
          <w:lang w:eastAsia="zh-CN"/>
        </w:rPr>
        <w:t xml:space="preserve">(北京时间)， </w:t>
      </w:r>
      <w:r>
        <w:rPr>
          <w:spacing w:val="-5"/>
          <w:lang w:eastAsia="zh-CN"/>
        </w:rPr>
        <w:t>各投标人必须在不见面开标系统页面进行在线签到，否则无法进入后续的开标环节。如投标人未在投标截止时间前在线签到，按自动放弃投标处理。</w:t>
      </w:r>
    </w:p>
    <w:p w14:paraId="7BF8216A">
      <w:pPr>
        <w:pStyle w:val="7"/>
        <w:spacing w:before="126"/>
        <w:ind w:left="238"/>
        <w:rPr>
          <w:rFonts w:hint="eastAsia"/>
        </w:rPr>
      </w:pPr>
      <w:r>
        <w:t>20.投标文件的修改和撤回</w:t>
      </w:r>
    </w:p>
    <w:p w14:paraId="7926CD80">
      <w:pPr>
        <w:pStyle w:val="38"/>
        <w:numPr>
          <w:ilvl w:val="1"/>
          <w:numId w:val="13"/>
        </w:numPr>
        <w:tabs>
          <w:tab w:val="left" w:pos="779"/>
        </w:tabs>
        <w:spacing w:before="113" w:line="328" w:lineRule="auto"/>
        <w:ind w:right="577" w:hanging="720"/>
        <w:rPr>
          <w:rFonts w:hint="eastAsia"/>
          <w:sz w:val="24"/>
          <w:lang w:eastAsia="zh-CN"/>
        </w:rPr>
      </w:pPr>
      <w:r>
        <w:rPr>
          <w:spacing w:val="-10"/>
          <w:sz w:val="24"/>
          <w:lang w:eastAsia="zh-CN"/>
        </w:rPr>
        <w:t>在投标截止时间前，投标人修改或撤回投标文件的，投标人可以在江西省公共资源交易网上重新上传修改后投标文件或撤回其投标。</w:t>
      </w:r>
    </w:p>
    <w:p w14:paraId="60A69A37">
      <w:pPr>
        <w:pStyle w:val="38"/>
        <w:numPr>
          <w:ilvl w:val="1"/>
          <w:numId w:val="13"/>
        </w:numPr>
        <w:tabs>
          <w:tab w:val="left" w:pos="779"/>
        </w:tabs>
        <w:spacing w:line="328" w:lineRule="auto"/>
        <w:ind w:right="577" w:hanging="720"/>
        <w:rPr>
          <w:rFonts w:hint="eastAsia"/>
          <w:sz w:val="24"/>
          <w:lang w:eastAsia="zh-CN"/>
        </w:rPr>
      </w:pPr>
      <w:r>
        <w:rPr>
          <w:spacing w:val="-5"/>
          <w:sz w:val="24"/>
          <w:lang w:eastAsia="zh-CN"/>
        </w:rPr>
        <w:t>从投标截止期至投标有效期期满这段时间内，投标人不得撤回其投标，否则不予退还其交纳的投标保证金。</w:t>
      </w:r>
    </w:p>
    <w:p w14:paraId="72770D6A">
      <w:pPr>
        <w:pStyle w:val="7"/>
        <w:spacing w:line="305" w:lineRule="exact"/>
        <w:ind w:left="238"/>
        <w:rPr>
          <w:rFonts w:hint="eastAsia"/>
        </w:rPr>
      </w:pPr>
      <w:bookmarkStart w:id="62" w:name="20、分包的规定"/>
      <w:bookmarkEnd w:id="62"/>
      <w:bookmarkStart w:id="63" w:name="_bookmark21"/>
      <w:bookmarkEnd w:id="63"/>
      <w:r>
        <w:t>20、分包的规定</w:t>
      </w:r>
    </w:p>
    <w:p w14:paraId="5C4A88C0">
      <w:pPr>
        <w:pStyle w:val="38"/>
        <w:numPr>
          <w:ilvl w:val="1"/>
          <w:numId w:val="14"/>
        </w:numPr>
        <w:tabs>
          <w:tab w:val="left" w:pos="839"/>
        </w:tabs>
        <w:spacing w:before="110"/>
        <w:ind w:hanging="556"/>
        <w:rPr>
          <w:rFonts w:hint="eastAsia"/>
          <w:sz w:val="24"/>
          <w:lang w:eastAsia="zh-CN"/>
        </w:rPr>
      </w:pPr>
      <w:r>
        <w:rPr>
          <w:sz w:val="24"/>
          <w:lang w:eastAsia="zh-CN"/>
        </w:rPr>
        <w:t>本项目是否允许分包：详见“投标人须知前附表”；</w:t>
      </w:r>
    </w:p>
    <w:p w14:paraId="326D27A9">
      <w:pPr>
        <w:pStyle w:val="7"/>
        <w:spacing w:line="360" w:lineRule="auto"/>
        <w:ind w:left="238"/>
        <w:rPr>
          <w:rFonts w:hint="eastAsia"/>
          <w:lang w:eastAsia="zh-CN"/>
        </w:rPr>
      </w:pPr>
      <w:bookmarkStart w:id="64" w:name="_bookmark22"/>
      <w:bookmarkEnd w:id="64"/>
      <w:bookmarkStart w:id="65" w:name="21、恶意串通等行为的处理及串通投标情形的认定"/>
      <w:bookmarkEnd w:id="65"/>
      <w:r>
        <w:rPr>
          <w:lang w:eastAsia="zh-CN"/>
        </w:rPr>
        <w:t>21、恶意串通等行为的处理及串通投标情形的认定</w:t>
      </w:r>
    </w:p>
    <w:p w14:paraId="2097462E">
      <w:pPr>
        <w:pStyle w:val="38"/>
        <w:numPr>
          <w:ilvl w:val="1"/>
          <w:numId w:val="15"/>
        </w:numPr>
        <w:tabs>
          <w:tab w:val="left" w:pos="779"/>
        </w:tabs>
        <w:spacing w:before="112" w:line="328" w:lineRule="auto"/>
        <w:ind w:right="457" w:hanging="480"/>
        <w:rPr>
          <w:rFonts w:hint="eastAsia"/>
          <w:sz w:val="24"/>
          <w:lang w:eastAsia="zh-CN"/>
        </w:rPr>
      </w:pPr>
      <w:r>
        <w:rPr>
          <w:spacing w:val="-13"/>
          <w:sz w:val="24"/>
          <w:lang w:eastAsia="zh-CN"/>
        </w:rPr>
        <w:t>投标人应当遵循公平竞争的原则，不得恶意串通，不得妨碍其他投标人的竞争行为， 不得损害</w:t>
      </w:r>
      <w:r>
        <w:rPr>
          <w:rFonts w:hint="eastAsia"/>
          <w:spacing w:val="-13"/>
          <w:sz w:val="24"/>
          <w:lang w:eastAsia="zh-CN"/>
        </w:rPr>
        <w:t>招标</w:t>
      </w:r>
      <w:r>
        <w:rPr>
          <w:spacing w:val="-13"/>
          <w:sz w:val="24"/>
          <w:lang w:eastAsia="zh-CN"/>
        </w:rPr>
        <w:t>人或者其他投标人的合法权益。</w:t>
      </w:r>
    </w:p>
    <w:p w14:paraId="666C06A2">
      <w:pPr>
        <w:pStyle w:val="8"/>
        <w:spacing w:line="328" w:lineRule="auto"/>
        <w:ind w:left="718" w:right="512"/>
        <w:rPr>
          <w:rFonts w:hint="eastAsia"/>
          <w:lang w:eastAsia="zh-CN"/>
        </w:rPr>
      </w:pPr>
      <w:r>
        <w:rPr>
          <w:lang w:eastAsia="zh-CN"/>
        </w:rPr>
        <w:t>在评标过程中发现投标人有上述情形的，评标委员会应当认定其</w:t>
      </w:r>
      <w:r>
        <w:rPr>
          <w:b/>
          <w:lang w:eastAsia="zh-CN"/>
        </w:rPr>
        <w:t>投标无效</w:t>
      </w:r>
      <w:r>
        <w:rPr>
          <w:lang w:eastAsia="zh-CN"/>
        </w:rPr>
        <w:t>，并书面报告本级财政部门。</w:t>
      </w:r>
    </w:p>
    <w:p w14:paraId="59477055">
      <w:pPr>
        <w:pStyle w:val="38"/>
        <w:numPr>
          <w:ilvl w:val="1"/>
          <w:numId w:val="15"/>
        </w:numPr>
        <w:tabs>
          <w:tab w:val="left" w:pos="779"/>
        </w:tabs>
        <w:spacing w:line="305" w:lineRule="exact"/>
        <w:ind w:hanging="480"/>
        <w:rPr>
          <w:rFonts w:hint="eastAsia"/>
          <w:sz w:val="24"/>
          <w:lang w:eastAsia="zh-CN"/>
        </w:rPr>
      </w:pPr>
      <w:r>
        <w:rPr>
          <w:sz w:val="24"/>
          <w:lang w:eastAsia="zh-CN"/>
        </w:rPr>
        <w:t>有下列情形之一的，视为投标人串通投标，其</w:t>
      </w:r>
      <w:r>
        <w:rPr>
          <w:b/>
          <w:sz w:val="24"/>
          <w:lang w:eastAsia="zh-CN"/>
        </w:rPr>
        <w:t>投标无效</w:t>
      </w:r>
      <w:r>
        <w:rPr>
          <w:sz w:val="24"/>
          <w:lang w:eastAsia="zh-CN"/>
        </w:rPr>
        <w:t>：</w:t>
      </w:r>
    </w:p>
    <w:p w14:paraId="24AD53E8">
      <w:pPr>
        <w:pStyle w:val="8"/>
        <w:spacing w:before="110"/>
        <w:ind w:left="718"/>
        <w:jc w:val="both"/>
        <w:rPr>
          <w:rFonts w:hint="eastAsia"/>
          <w:lang w:eastAsia="zh-CN"/>
        </w:rPr>
      </w:pPr>
      <w:r>
        <w:rPr>
          <w:lang w:eastAsia="zh-CN"/>
        </w:rPr>
        <w:t>（1）不同投标人的投标文件由同一单位或者个人编制；</w:t>
      </w:r>
    </w:p>
    <w:p w14:paraId="2878BBC2">
      <w:pPr>
        <w:pStyle w:val="8"/>
        <w:spacing w:before="39"/>
        <w:ind w:left="718"/>
        <w:rPr>
          <w:rFonts w:hint="eastAsia"/>
          <w:lang w:eastAsia="zh-CN"/>
        </w:rPr>
      </w:pPr>
      <w:r>
        <w:rPr>
          <w:lang w:eastAsia="zh-CN"/>
        </w:rPr>
        <w:t>（2）不同投标人委托同一单位或者个人办理投标事宜；</w:t>
      </w:r>
    </w:p>
    <w:p w14:paraId="3AC7B81A">
      <w:pPr>
        <w:pStyle w:val="8"/>
        <w:spacing w:before="113"/>
        <w:ind w:left="718"/>
        <w:rPr>
          <w:rFonts w:hint="eastAsia"/>
          <w:lang w:eastAsia="zh-CN"/>
        </w:rPr>
      </w:pPr>
      <w:r>
        <w:rPr>
          <w:lang w:eastAsia="zh-CN"/>
        </w:rPr>
        <w:t>（3）不同投标人的投标文件载明的项目管理成员或者联系人员为同一人；</w:t>
      </w:r>
    </w:p>
    <w:p w14:paraId="1AEE80E2">
      <w:pPr>
        <w:pStyle w:val="8"/>
        <w:spacing w:before="112"/>
        <w:ind w:left="718"/>
        <w:rPr>
          <w:rFonts w:hint="eastAsia"/>
          <w:lang w:eastAsia="zh-CN"/>
        </w:rPr>
      </w:pPr>
      <w:r>
        <w:rPr>
          <w:lang w:eastAsia="zh-CN"/>
        </w:rPr>
        <w:t>（4）不同投标人的投标文件异常一致或者投标报价呈规律性差异；</w:t>
      </w:r>
    </w:p>
    <w:p w14:paraId="4AD323DC">
      <w:pPr>
        <w:pStyle w:val="8"/>
        <w:spacing w:before="113"/>
        <w:ind w:left="718"/>
        <w:rPr>
          <w:rFonts w:hint="eastAsia"/>
          <w:lang w:eastAsia="zh-CN"/>
        </w:rPr>
      </w:pPr>
      <w:r>
        <w:rPr>
          <w:lang w:eastAsia="zh-CN"/>
        </w:rPr>
        <w:t>（5）不同投标人的投标文件相互混装；</w:t>
      </w:r>
    </w:p>
    <w:p w14:paraId="21138CE2">
      <w:pPr>
        <w:pStyle w:val="8"/>
        <w:spacing w:before="112"/>
        <w:ind w:left="718"/>
        <w:rPr>
          <w:rFonts w:hint="eastAsia"/>
          <w:lang w:eastAsia="zh-CN"/>
        </w:rPr>
      </w:pPr>
      <w:r>
        <w:rPr>
          <w:lang w:eastAsia="zh-CN"/>
        </w:rPr>
        <w:t>（6）不同投标人的投标保证金从同一单位或者个人的账户转出。</w:t>
      </w:r>
    </w:p>
    <w:p w14:paraId="06108B67">
      <w:pPr>
        <w:pStyle w:val="6"/>
        <w:spacing w:before="104"/>
        <w:ind w:left="1" w:right="340"/>
        <w:jc w:val="center"/>
        <w:rPr>
          <w:rFonts w:hint="eastAsia"/>
        </w:rPr>
      </w:pPr>
      <w:bookmarkStart w:id="66" w:name="四、开标"/>
      <w:bookmarkEnd w:id="66"/>
      <w:bookmarkStart w:id="67" w:name="_bookmark23"/>
      <w:bookmarkEnd w:id="67"/>
      <w:bookmarkStart w:id="68" w:name="_Toc16175"/>
      <w:bookmarkStart w:id="69" w:name="_Toc25174"/>
      <w:r>
        <w:t>四、开标</w:t>
      </w:r>
      <w:bookmarkEnd w:id="68"/>
      <w:bookmarkEnd w:id="69"/>
    </w:p>
    <w:p w14:paraId="43C0A4F7">
      <w:pPr>
        <w:pStyle w:val="7"/>
        <w:ind w:left="238"/>
        <w:rPr>
          <w:rFonts w:hint="eastAsia"/>
        </w:rPr>
      </w:pPr>
      <w:bookmarkStart w:id="70" w:name="22.开标_"/>
      <w:bookmarkEnd w:id="70"/>
      <w:bookmarkStart w:id="71" w:name="_bookmark24"/>
      <w:bookmarkEnd w:id="71"/>
      <w:r>
        <w:t>22.开标</w:t>
      </w:r>
    </w:p>
    <w:p w14:paraId="50857A8F">
      <w:pPr>
        <w:pStyle w:val="38"/>
        <w:numPr>
          <w:ilvl w:val="1"/>
          <w:numId w:val="16"/>
        </w:numPr>
        <w:tabs>
          <w:tab w:val="left" w:pos="781"/>
        </w:tabs>
        <w:spacing w:before="1" w:line="343" w:lineRule="auto"/>
        <w:ind w:right="576" w:hanging="566"/>
        <w:rPr>
          <w:rFonts w:hint="eastAsia"/>
          <w:sz w:val="24"/>
          <w:lang w:eastAsia="zh-CN"/>
        </w:rPr>
      </w:pPr>
      <w:r>
        <w:rPr>
          <w:sz w:val="24"/>
          <w:lang w:eastAsia="zh-CN"/>
        </w:rPr>
        <w:t>代理机构将于</w:t>
      </w:r>
      <w:r>
        <w:rPr>
          <w:rFonts w:hint="eastAsia"/>
          <w:spacing w:val="1"/>
          <w:sz w:val="24"/>
          <w:szCs w:val="24"/>
          <w:lang w:eastAsia="zh-CN"/>
        </w:rPr>
        <w:t>2025年 月 日09点00分</w:t>
      </w:r>
      <w:r>
        <w:rPr>
          <w:lang w:eastAsia="zh-CN"/>
        </w:rPr>
        <w:t>(北京时间)</w:t>
      </w:r>
      <w:r>
        <w:rPr>
          <w:sz w:val="24"/>
          <w:lang w:eastAsia="zh-CN"/>
        </w:rPr>
        <w:t>在</w:t>
      </w:r>
      <w:r>
        <w:rPr>
          <w:rFonts w:hint="eastAsia"/>
          <w:sz w:val="24"/>
          <w:lang w:eastAsia="zh-CN"/>
        </w:rPr>
        <w:t>上饶市公共资源交易中心三楼开标室</w:t>
      </w:r>
      <w:r>
        <w:rPr>
          <w:sz w:val="24"/>
          <w:lang w:eastAsia="zh-CN"/>
        </w:rPr>
        <w:t>进行不见面开标。</w:t>
      </w:r>
    </w:p>
    <w:p w14:paraId="2BBBB032">
      <w:pPr>
        <w:pStyle w:val="38"/>
        <w:numPr>
          <w:ilvl w:val="1"/>
          <w:numId w:val="16"/>
        </w:numPr>
        <w:tabs>
          <w:tab w:val="left" w:pos="779"/>
        </w:tabs>
        <w:spacing w:line="287" w:lineRule="exact"/>
        <w:ind w:left="778" w:hanging="540"/>
        <w:rPr>
          <w:rFonts w:hint="eastAsia"/>
          <w:sz w:val="24"/>
          <w:lang w:eastAsia="zh-CN"/>
        </w:rPr>
      </w:pPr>
      <w:r>
        <w:rPr>
          <w:spacing w:val="-10"/>
          <w:sz w:val="24"/>
          <w:lang w:eastAsia="zh-CN"/>
        </w:rPr>
        <w:t>本项目采用“不见面开标”系统开标，投标企业不需要到场参加开标会，现</w:t>
      </w:r>
    </w:p>
    <w:p w14:paraId="5A632563">
      <w:pPr>
        <w:pStyle w:val="8"/>
        <w:spacing w:before="177" w:line="379" w:lineRule="auto"/>
        <w:ind w:left="718" w:right="1232"/>
        <w:rPr>
          <w:rFonts w:hint="eastAsia"/>
          <w:lang w:eastAsia="zh-CN"/>
        </w:rPr>
      </w:pPr>
      <w:r>
        <w:rPr>
          <w:lang w:eastAsia="zh-CN"/>
        </w:rPr>
        <w:t>场环节（包括但不限于现场签到、递交原件、现场解锁、纸质保函等）全部转为不见面开标系统线上操作。</w:t>
      </w:r>
    </w:p>
    <w:p w14:paraId="289E1BC9">
      <w:pPr>
        <w:pStyle w:val="38"/>
        <w:numPr>
          <w:ilvl w:val="1"/>
          <w:numId w:val="16"/>
        </w:numPr>
        <w:tabs>
          <w:tab w:val="left" w:pos="779"/>
        </w:tabs>
        <w:spacing w:before="41" w:line="357" w:lineRule="auto"/>
        <w:ind w:left="778" w:right="465" w:hanging="540"/>
        <w:rPr>
          <w:rFonts w:hint="eastAsia"/>
          <w:sz w:val="24"/>
          <w:lang w:eastAsia="zh-CN"/>
        </w:rPr>
      </w:pPr>
      <w:r>
        <w:rPr>
          <w:spacing w:val="-9"/>
          <w:sz w:val="24"/>
          <w:lang w:eastAsia="zh-CN"/>
        </w:rPr>
        <w:t>在投标截止时间前，各投标人必须在不见面开标系统页面进行在线签到，否则无法进入后续的开标环节。如投标人未在投标截止时间前在线签到，按自动放弃处理。</w:t>
      </w:r>
    </w:p>
    <w:p w14:paraId="549CB92C">
      <w:pPr>
        <w:pStyle w:val="38"/>
        <w:numPr>
          <w:ilvl w:val="1"/>
          <w:numId w:val="16"/>
        </w:numPr>
        <w:tabs>
          <w:tab w:val="left" w:pos="779"/>
        </w:tabs>
        <w:spacing w:before="3" w:line="360" w:lineRule="auto"/>
        <w:ind w:left="778" w:right="573" w:hanging="540"/>
        <w:jc w:val="both"/>
        <w:rPr>
          <w:rFonts w:hint="eastAsia"/>
          <w:sz w:val="24"/>
          <w:lang w:eastAsia="zh-CN"/>
        </w:rPr>
      </w:pPr>
      <w:r>
        <w:rPr>
          <w:spacing w:val="-5"/>
          <w:sz w:val="24"/>
          <w:lang w:eastAsia="zh-CN"/>
        </w:rPr>
        <w:t>各投标企业的法定代表委托人必须是投标企业本单位职工，并且能够熟练的操作新</w:t>
      </w:r>
      <w:r>
        <w:rPr>
          <w:spacing w:val="-11"/>
          <w:sz w:val="24"/>
          <w:lang w:eastAsia="zh-CN"/>
        </w:rPr>
        <w:t>点系统，因业务不熟悉而导致的一切后果由投标企业自行承担。一个项目只能有一</w:t>
      </w:r>
      <w:r>
        <w:rPr>
          <w:spacing w:val="-13"/>
          <w:sz w:val="24"/>
          <w:lang w:eastAsia="zh-CN"/>
        </w:rPr>
        <w:t>个委托代理人，授权委托人在项目开、评标期间必须保持在线状态，随时通过“不</w:t>
      </w:r>
      <w:r>
        <w:rPr>
          <w:spacing w:val="-8"/>
          <w:sz w:val="24"/>
          <w:lang w:eastAsia="zh-CN"/>
        </w:rPr>
        <w:t>见面开标” 并在系统接收询标信息，“互动交流”中对询标内容进行回复</w:t>
      </w:r>
      <w:r>
        <w:rPr>
          <w:sz w:val="24"/>
          <w:lang w:eastAsia="zh-CN"/>
        </w:rPr>
        <w:t xml:space="preserve">（自询标内容发出起 </w:t>
      </w:r>
      <w:r>
        <w:rPr>
          <w:rFonts w:hint="eastAsia"/>
          <w:sz w:val="24"/>
          <w:lang w:eastAsia="zh-CN"/>
        </w:rPr>
        <w:t>3</w:t>
      </w:r>
      <w:r>
        <w:rPr>
          <w:sz w:val="24"/>
          <w:lang w:eastAsia="zh-CN"/>
        </w:rPr>
        <w:t>0 分钟内完成回复</w:t>
      </w:r>
      <w:r>
        <w:rPr>
          <w:spacing w:val="-38"/>
          <w:sz w:val="24"/>
          <w:lang w:eastAsia="zh-CN"/>
        </w:rPr>
        <w:t>）</w:t>
      </w:r>
      <w:r>
        <w:rPr>
          <w:spacing w:val="-8"/>
          <w:sz w:val="24"/>
          <w:lang w:eastAsia="zh-CN"/>
        </w:rPr>
        <w:t>，否则视为放弃解释说明的权利和意见。投标</w:t>
      </w:r>
      <w:r>
        <w:rPr>
          <w:sz w:val="24"/>
          <w:lang w:eastAsia="zh-CN"/>
        </w:rPr>
        <w:t>人回复询标内容时需将询标内容和回复意见打印并加盖投标人单位公章后扫描上传至“互动交流”（回复样式以招标人发出的询标函格式为准）。</w:t>
      </w:r>
    </w:p>
    <w:p w14:paraId="1B78ADF2">
      <w:pPr>
        <w:pStyle w:val="38"/>
        <w:numPr>
          <w:ilvl w:val="1"/>
          <w:numId w:val="16"/>
        </w:numPr>
        <w:tabs>
          <w:tab w:val="left" w:pos="779"/>
        </w:tabs>
        <w:spacing w:line="357" w:lineRule="auto"/>
        <w:ind w:left="778" w:right="577" w:hanging="540"/>
        <w:rPr>
          <w:rFonts w:hint="eastAsia"/>
          <w:sz w:val="24"/>
          <w:lang w:eastAsia="zh-CN"/>
        </w:rPr>
      </w:pPr>
      <w:r>
        <w:rPr>
          <w:spacing w:val="-7"/>
          <w:sz w:val="24"/>
          <w:lang w:eastAsia="zh-CN"/>
        </w:rPr>
        <w:t>投标人对开标过程和中标结果有异议的，可将异议内容以书面形式提出并加盖单位公章后扫描上传至本项目不见面开标大厅 “开标异议文字提问”栏中。</w:t>
      </w:r>
    </w:p>
    <w:p w14:paraId="7FB5D209">
      <w:pPr>
        <w:pStyle w:val="38"/>
        <w:numPr>
          <w:ilvl w:val="1"/>
          <w:numId w:val="16"/>
        </w:numPr>
        <w:tabs>
          <w:tab w:val="left" w:pos="779"/>
        </w:tabs>
        <w:spacing w:line="274" w:lineRule="exact"/>
        <w:ind w:left="778" w:hanging="540"/>
        <w:rPr>
          <w:rFonts w:hint="eastAsia"/>
          <w:sz w:val="24"/>
        </w:rPr>
      </w:pPr>
      <w:r>
        <w:rPr>
          <w:spacing w:val="-7"/>
          <w:sz w:val="24"/>
          <w:lang w:eastAsia="zh-CN"/>
        </w:rPr>
        <w:t>开标由</w:t>
      </w:r>
      <w:r>
        <w:rPr>
          <w:rFonts w:hint="eastAsia"/>
          <w:spacing w:val="-7"/>
          <w:sz w:val="24"/>
          <w:lang w:eastAsia="zh-CN"/>
        </w:rPr>
        <w:t>招标</w:t>
      </w:r>
      <w:r>
        <w:rPr>
          <w:spacing w:val="-7"/>
          <w:sz w:val="24"/>
          <w:lang w:eastAsia="zh-CN"/>
        </w:rPr>
        <w:t>人或者</w:t>
      </w:r>
      <w:r>
        <w:rPr>
          <w:rFonts w:hint="eastAsia"/>
          <w:spacing w:val="-7"/>
          <w:sz w:val="24"/>
          <w:lang w:eastAsia="zh-CN"/>
        </w:rPr>
        <w:t>招标</w:t>
      </w:r>
      <w:r>
        <w:rPr>
          <w:spacing w:val="-7"/>
          <w:sz w:val="24"/>
          <w:lang w:eastAsia="zh-CN"/>
        </w:rPr>
        <w:t>代理机构主持，邀请投标人参加。</w:t>
      </w:r>
      <w:r>
        <w:rPr>
          <w:spacing w:val="-7"/>
          <w:sz w:val="24"/>
        </w:rPr>
        <w:t>评标委员会成员不</w:t>
      </w:r>
    </w:p>
    <w:p w14:paraId="7D479B27">
      <w:pPr>
        <w:pStyle w:val="8"/>
        <w:spacing w:before="169"/>
        <w:ind w:left="718"/>
        <w:rPr>
          <w:rFonts w:hint="eastAsia"/>
        </w:rPr>
      </w:pPr>
      <w:r>
        <w:t>得参加开标活动。</w:t>
      </w:r>
    </w:p>
    <w:p w14:paraId="3F1818FC">
      <w:pPr>
        <w:pStyle w:val="38"/>
        <w:numPr>
          <w:ilvl w:val="1"/>
          <w:numId w:val="16"/>
        </w:numPr>
        <w:tabs>
          <w:tab w:val="left" w:pos="779"/>
        </w:tabs>
        <w:spacing w:before="180" w:line="379" w:lineRule="auto"/>
        <w:ind w:left="718" w:right="1177" w:hanging="480"/>
        <w:rPr>
          <w:rFonts w:hint="eastAsia"/>
          <w:sz w:val="24"/>
          <w:lang w:eastAsia="zh-CN"/>
        </w:rPr>
      </w:pPr>
      <w:r>
        <w:rPr>
          <w:spacing w:val="-11"/>
          <w:sz w:val="24"/>
          <w:lang w:eastAsia="zh-CN"/>
        </w:rPr>
        <w:t>开标时，投标人在“不见面”开标系统进行投标文件解密，在</w:t>
      </w:r>
      <w:r>
        <w:rPr>
          <w:rFonts w:hint="eastAsia"/>
          <w:spacing w:val="-11"/>
          <w:sz w:val="24"/>
          <w:lang w:eastAsia="zh-CN"/>
        </w:rPr>
        <w:t>招标</w:t>
      </w:r>
      <w:r>
        <w:rPr>
          <w:spacing w:val="-11"/>
          <w:sz w:val="24"/>
          <w:lang w:eastAsia="zh-CN"/>
        </w:rPr>
        <w:t>代理机构</w:t>
      </w:r>
      <w:r>
        <w:rPr>
          <w:spacing w:val="-16"/>
          <w:sz w:val="24"/>
          <w:lang w:eastAsia="zh-CN"/>
        </w:rPr>
        <w:t xml:space="preserve">宣布投标人开始解密起 </w:t>
      </w:r>
      <w:r>
        <w:rPr>
          <w:rFonts w:hint="eastAsia"/>
          <w:sz w:val="24"/>
          <w:lang w:eastAsia="zh-CN"/>
        </w:rPr>
        <w:t>60</w:t>
      </w:r>
      <w:r>
        <w:rPr>
          <w:spacing w:val="-11"/>
          <w:sz w:val="24"/>
          <w:lang w:eastAsia="zh-CN"/>
        </w:rPr>
        <w:t xml:space="preserve"> 分钟内完成解密，无法解密成功的，其投标无效。</w:t>
      </w:r>
    </w:p>
    <w:p w14:paraId="1A835217">
      <w:pPr>
        <w:pStyle w:val="38"/>
        <w:numPr>
          <w:ilvl w:val="1"/>
          <w:numId w:val="16"/>
        </w:numPr>
        <w:tabs>
          <w:tab w:val="left" w:pos="779"/>
        </w:tabs>
        <w:spacing w:before="5" w:line="379" w:lineRule="auto"/>
        <w:ind w:left="718" w:right="1297" w:hanging="480"/>
        <w:rPr>
          <w:rFonts w:hint="eastAsia"/>
          <w:sz w:val="24"/>
          <w:lang w:eastAsia="zh-CN"/>
        </w:rPr>
      </w:pPr>
      <w:r>
        <w:rPr>
          <w:spacing w:val="-12"/>
          <w:sz w:val="24"/>
          <w:lang w:eastAsia="zh-CN"/>
        </w:rPr>
        <w:t>递交原件：现场递交原件环节改为将参与本项目所有证件原件的彩色扫描件放入电子投标文件并加盖公章。</w:t>
      </w:r>
    </w:p>
    <w:p w14:paraId="3AF10E54">
      <w:pPr>
        <w:pStyle w:val="38"/>
        <w:numPr>
          <w:ilvl w:val="1"/>
          <w:numId w:val="16"/>
        </w:numPr>
        <w:tabs>
          <w:tab w:val="left" w:pos="779"/>
        </w:tabs>
        <w:spacing w:before="52" w:line="379" w:lineRule="auto"/>
        <w:ind w:left="718" w:right="1298" w:hanging="480"/>
        <w:rPr>
          <w:rFonts w:hint="eastAsia"/>
          <w:sz w:val="24"/>
          <w:lang w:eastAsia="zh-CN"/>
        </w:rPr>
      </w:pPr>
      <w:r>
        <w:rPr>
          <w:spacing w:val="-11"/>
          <w:sz w:val="24"/>
          <w:lang w:eastAsia="zh-CN"/>
        </w:rPr>
        <w:t>开标时，代理机构将宣读投标人名称、投标总价以及代理机构认为</w:t>
      </w:r>
      <w:r>
        <w:rPr>
          <w:spacing w:val="-15"/>
          <w:sz w:val="24"/>
          <w:lang w:eastAsia="zh-CN"/>
        </w:rPr>
        <w:t xml:space="preserve">合适的其他内容。投标人不足 </w:t>
      </w:r>
      <w:r>
        <w:rPr>
          <w:sz w:val="24"/>
          <w:lang w:eastAsia="zh-CN"/>
        </w:rPr>
        <w:t>3</w:t>
      </w:r>
      <w:r>
        <w:rPr>
          <w:spacing w:val="-8"/>
          <w:sz w:val="24"/>
          <w:lang w:eastAsia="zh-CN"/>
        </w:rPr>
        <w:t xml:space="preserve"> 家的，不得开标。</w:t>
      </w:r>
    </w:p>
    <w:p w14:paraId="4CBF7B6A">
      <w:pPr>
        <w:pStyle w:val="38"/>
        <w:numPr>
          <w:ilvl w:val="1"/>
          <w:numId w:val="16"/>
        </w:numPr>
        <w:tabs>
          <w:tab w:val="left" w:pos="899"/>
        </w:tabs>
        <w:spacing w:before="3"/>
        <w:ind w:left="898" w:hanging="660"/>
        <w:rPr>
          <w:rFonts w:hint="eastAsia"/>
          <w:sz w:val="24"/>
          <w:lang w:eastAsia="zh-CN"/>
        </w:rPr>
      </w:pPr>
      <w:r>
        <w:rPr>
          <w:sz w:val="24"/>
          <w:lang w:eastAsia="zh-CN"/>
        </w:rPr>
        <w:t>开标过程应当由代理机构负责记录，并随</w:t>
      </w:r>
      <w:r>
        <w:rPr>
          <w:rFonts w:hint="eastAsia"/>
          <w:sz w:val="24"/>
          <w:lang w:eastAsia="zh-CN"/>
        </w:rPr>
        <w:t>招标文件</w:t>
      </w:r>
      <w:r>
        <w:rPr>
          <w:sz w:val="24"/>
          <w:lang w:eastAsia="zh-CN"/>
        </w:rPr>
        <w:t>一并存档。</w:t>
      </w:r>
    </w:p>
    <w:p w14:paraId="68EE759C">
      <w:pPr>
        <w:pStyle w:val="38"/>
        <w:numPr>
          <w:ilvl w:val="1"/>
          <w:numId w:val="16"/>
        </w:numPr>
        <w:tabs>
          <w:tab w:val="left" w:pos="899"/>
        </w:tabs>
        <w:spacing w:before="180" w:line="379" w:lineRule="auto"/>
        <w:ind w:left="718" w:right="1297" w:hanging="480"/>
        <w:jc w:val="both"/>
        <w:rPr>
          <w:rFonts w:hint="eastAsia"/>
          <w:sz w:val="24"/>
          <w:lang w:eastAsia="zh-CN"/>
        </w:rPr>
      </w:pPr>
      <w:r>
        <w:rPr>
          <w:sz w:val="24"/>
          <w:lang w:eastAsia="zh-CN"/>
        </w:rPr>
        <w:t>投标人代表对开标过程和开标记录有疑义，以及认为</w:t>
      </w:r>
      <w:r>
        <w:rPr>
          <w:rFonts w:hint="eastAsia"/>
          <w:sz w:val="24"/>
          <w:lang w:eastAsia="zh-CN"/>
        </w:rPr>
        <w:t>招标人</w:t>
      </w:r>
      <w:r>
        <w:rPr>
          <w:sz w:val="24"/>
          <w:lang w:eastAsia="zh-CN"/>
        </w:rPr>
        <w:t>、代理机</w:t>
      </w:r>
      <w:r>
        <w:rPr>
          <w:spacing w:val="-3"/>
          <w:sz w:val="24"/>
          <w:lang w:eastAsia="zh-CN"/>
        </w:rPr>
        <w:t>构相关工作人员有需要回避的情形的，应当场提出询问或者回避申请。</w:t>
      </w:r>
      <w:r>
        <w:rPr>
          <w:rFonts w:hint="eastAsia"/>
          <w:spacing w:val="-3"/>
          <w:sz w:val="24"/>
          <w:lang w:eastAsia="zh-CN"/>
        </w:rPr>
        <w:t>招标</w:t>
      </w:r>
      <w:r>
        <w:rPr>
          <w:spacing w:val="-3"/>
          <w:sz w:val="24"/>
          <w:lang w:eastAsia="zh-CN"/>
        </w:rPr>
        <w:t>人、</w:t>
      </w:r>
      <w:r>
        <w:rPr>
          <w:rFonts w:hint="eastAsia"/>
          <w:spacing w:val="-3"/>
          <w:sz w:val="24"/>
          <w:lang w:eastAsia="zh-CN"/>
        </w:rPr>
        <w:t>招标</w:t>
      </w:r>
      <w:r>
        <w:rPr>
          <w:spacing w:val="-3"/>
          <w:sz w:val="24"/>
          <w:lang w:eastAsia="zh-CN"/>
        </w:rPr>
        <w:t>代理机构对投标人代表提出的询问或者回避申请应当及时处理。</w:t>
      </w:r>
    </w:p>
    <w:p w14:paraId="1F22D54A">
      <w:pPr>
        <w:pStyle w:val="38"/>
        <w:numPr>
          <w:ilvl w:val="1"/>
          <w:numId w:val="16"/>
        </w:numPr>
        <w:tabs>
          <w:tab w:val="left" w:pos="899"/>
        </w:tabs>
        <w:spacing w:before="4"/>
        <w:ind w:left="898" w:hanging="660"/>
        <w:rPr>
          <w:rFonts w:hint="eastAsia"/>
          <w:sz w:val="24"/>
          <w:lang w:eastAsia="zh-CN"/>
        </w:rPr>
      </w:pPr>
      <w:r>
        <w:rPr>
          <w:sz w:val="24"/>
          <w:lang w:eastAsia="zh-CN"/>
        </w:rPr>
        <w:t>投标人未参加开标的，视同认可开标结果。</w:t>
      </w:r>
    </w:p>
    <w:p w14:paraId="165D35C7">
      <w:pPr>
        <w:pStyle w:val="38"/>
        <w:numPr>
          <w:ilvl w:val="1"/>
          <w:numId w:val="16"/>
        </w:numPr>
        <w:tabs>
          <w:tab w:val="left" w:pos="899"/>
        </w:tabs>
        <w:spacing w:before="179"/>
        <w:ind w:left="898" w:hanging="660"/>
        <w:rPr>
          <w:rFonts w:hint="eastAsia"/>
          <w:sz w:val="24"/>
          <w:lang w:eastAsia="zh-CN"/>
        </w:rPr>
      </w:pPr>
      <w:r>
        <w:rPr>
          <w:sz w:val="24"/>
          <w:lang w:eastAsia="zh-CN"/>
        </w:rPr>
        <w:t>如在开标时出现以下意外情况</w:t>
      </w:r>
    </w:p>
    <w:p w14:paraId="10E4C81F">
      <w:pPr>
        <w:pStyle w:val="8"/>
        <w:spacing w:before="183"/>
        <w:ind w:left="238"/>
        <w:rPr>
          <w:rFonts w:hint="eastAsia"/>
          <w:lang w:eastAsia="zh-CN"/>
        </w:rPr>
      </w:pPr>
      <w:r>
        <w:rPr>
          <w:lang w:eastAsia="zh-CN"/>
        </w:rPr>
        <w:t>(1)网络系统及其他设备发生故障，导致无法访问网站或无法使用电子化系统的；</w:t>
      </w:r>
    </w:p>
    <w:p w14:paraId="33DE02E9">
      <w:pPr>
        <w:pStyle w:val="8"/>
        <w:spacing w:before="167"/>
        <w:ind w:left="238"/>
        <w:rPr>
          <w:rFonts w:hint="eastAsia"/>
          <w:lang w:eastAsia="zh-CN"/>
        </w:rPr>
      </w:pPr>
      <w:r>
        <w:rPr>
          <w:lang w:eastAsia="zh-CN"/>
        </w:rPr>
        <w:t>(2)电子化</w:t>
      </w:r>
      <w:r>
        <w:rPr>
          <w:rFonts w:hint="eastAsia"/>
          <w:lang w:eastAsia="zh-CN"/>
        </w:rPr>
        <w:t>招标</w:t>
      </w:r>
      <w:r>
        <w:rPr>
          <w:lang w:eastAsia="zh-CN"/>
        </w:rPr>
        <w:t>系统的软件或网络数据库出现错误，导致无法正法正常操作的；</w:t>
      </w:r>
    </w:p>
    <w:p w14:paraId="67228094">
      <w:pPr>
        <w:pStyle w:val="8"/>
        <w:spacing w:before="173"/>
        <w:ind w:left="238"/>
        <w:rPr>
          <w:rFonts w:hint="eastAsia"/>
          <w:lang w:eastAsia="zh-CN"/>
        </w:rPr>
      </w:pPr>
      <w:r>
        <w:rPr>
          <w:lang w:eastAsia="zh-CN"/>
        </w:rPr>
        <w:t>(3)电子化</w:t>
      </w:r>
      <w:r>
        <w:rPr>
          <w:rFonts w:hint="eastAsia"/>
          <w:lang w:eastAsia="zh-CN"/>
        </w:rPr>
        <w:t>招标</w:t>
      </w:r>
      <w:r>
        <w:rPr>
          <w:lang w:eastAsia="zh-CN"/>
        </w:rPr>
        <w:t>系统发现有安全漏洞，有潜在泄密危险的；</w:t>
      </w:r>
    </w:p>
    <w:p w14:paraId="31ABA919">
      <w:pPr>
        <w:pStyle w:val="8"/>
        <w:spacing w:before="182" w:line="379" w:lineRule="auto"/>
        <w:ind w:left="718" w:right="1234" w:hanging="480"/>
        <w:rPr>
          <w:rFonts w:hint="eastAsia"/>
          <w:lang w:eastAsia="zh-CN"/>
        </w:rPr>
      </w:pPr>
      <w:r>
        <w:rPr>
          <w:lang w:eastAsia="zh-CN"/>
        </w:rPr>
        <w:t>(4)其他无法保证</w:t>
      </w:r>
      <w:r>
        <w:rPr>
          <w:rFonts w:hint="eastAsia"/>
          <w:lang w:eastAsia="zh-CN"/>
        </w:rPr>
        <w:t>招标</w:t>
      </w:r>
      <w:r>
        <w:rPr>
          <w:lang w:eastAsia="zh-CN"/>
        </w:rPr>
        <w:t>活动正常进行的出现上述情况，故障当日（工作时间内）可排除的，电子化</w:t>
      </w:r>
      <w:r>
        <w:rPr>
          <w:rFonts w:hint="eastAsia"/>
          <w:lang w:eastAsia="zh-CN"/>
        </w:rPr>
        <w:t>招标</w:t>
      </w:r>
      <w:r>
        <w:rPr>
          <w:lang w:eastAsia="zh-CN"/>
        </w:rPr>
        <w:t>恢复进行；如故障当日无法排除的，</w:t>
      </w:r>
      <w:r>
        <w:rPr>
          <w:rFonts w:hint="eastAsia"/>
          <w:lang w:eastAsia="zh-CN"/>
        </w:rPr>
        <w:t>招标</w:t>
      </w:r>
      <w:r>
        <w:rPr>
          <w:lang w:eastAsia="zh-CN"/>
        </w:rPr>
        <w:t>活动终止，重新组织</w:t>
      </w:r>
      <w:r>
        <w:rPr>
          <w:rFonts w:hint="eastAsia"/>
          <w:lang w:eastAsia="zh-CN"/>
        </w:rPr>
        <w:t>招标</w:t>
      </w:r>
      <w:r>
        <w:rPr>
          <w:lang w:eastAsia="zh-CN"/>
        </w:rPr>
        <w:t>活动。</w:t>
      </w:r>
    </w:p>
    <w:p w14:paraId="2182FD2D">
      <w:pPr>
        <w:pStyle w:val="8"/>
        <w:spacing w:before="11"/>
        <w:rPr>
          <w:rFonts w:hint="eastAsia"/>
          <w:sz w:val="37"/>
          <w:lang w:eastAsia="zh-CN"/>
        </w:rPr>
      </w:pPr>
    </w:p>
    <w:p w14:paraId="393759B3">
      <w:pPr>
        <w:pStyle w:val="6"/>
        <w:spacing w:before="1"/>
        <w:ind w:left="0"/>
        <w:jc w:val="center"/>
        <w:rPr>
          <w:rFonts w:hint="eastAsia"/>
        </w:rPr>
      </w:pPr>
      <w:bookmarkStart w:id="72" w:name="五、评标"/>
      <w:bookmarkEnd w:id="72"/>
      <w:bookmarkStart w:id="73" w:name="_bookmark25"/>
      <w:bookmarkEnd w:id="73"/>
      <w:bookmarkStart w:id="74" w:name="_Toc30731"/>
      <w:bookmarkStart w:id="75" w:name="_Toc32256"/>
      <w:r>
        <w:t>五、评标</w:t>
      </w:r>
      <w:bookmarkEnd w:id="74"/>
      <w:bookmarkEnd w:id="75"/>
    </w:p>
    <w:p w14:paraId="1B790444">
      <w:pPr>
        <w:pStyle w:val="7"/>
        <w:spacing w:before="66"/>
        <w:ind w:left="238"/>
        <w:rPr>
          <w:rFonts w:hint="eastAsia"/>
        </w:rPr>
      </w:pPr>
      <w:bookmarkStart w:id="76" w:name="23.评标"/>
      <w:bookmarkEnd w:id="76"/>
      <w:bookmarkStart w:id="77" w:name="_bookmark26"/>
      <w:bookmarkEnd w:id="77"/>
      <w:r>
        <w:t>23.评标</w:t>
      </w:r>
    </w:p>
    <w:p w14:paraId="0CA56F2F">
      <w:pPr>
        <w:pStyle w:val="8"/>
        <w:spacing w:before="11"/>
        <w:rPr>
          <w:rFonts w:hint="eastAsia"/>
          <w:b/>
          <w:sz w:val="18"/>
        </w:rPr>
      </w:pPr>
    </w:p>
    <w:p w14:paraId="41A726AE">
      <w:pPr>
        <w:pStyle w:val="38"/>
        <w:numPr>
          <w:ilvl w:val="1"/>
          <w:numId w:val="17"/>
        </w:numPr>
        <w:tabs>
          <w:tab w:val="left" w:pos="779"/>
        </w:tabs>
        <w:spacing w:before="1" w:line="360" w:lineRule="auto"/>
        <w:ind w:right="577"/>
        <w:rPr>
          <w:rFonts w:hint="eastAsia"/>
          <w:b/>
          <w:color w:val="0D0D0D"/>
          <w:sz w:val="24"/>
          <w:lang w:eastAsia="zh-CN"/>
        </w:rPr>
      </w:pPr>
      <w:r>
        <w:rPr>
          <w:color w:val="0D0D0D"/>
          <w:spacing w:val="-8"/>
          <w:sz w:val="24"/>
          <w:lang w:eastAsia="zh-CN"/>
        </w:rPr>
        <w:t>公开招标项目开标结束后，</w:t>
      </w:r>
      <w:r>
        <w:rPr>
          <w:rFonts w:hint="eastAsia"/>
          <w:lang w:eastAsia="zh-CN"/>
        </w:rPr>
        <w:t>招标</w:t>
      </w:r>
      <w:r>
        <w:rPr>
          <w:color w:val="0D0D0D"/>
          <w:spacing w:val="-8"/>
          <w:sz w:val="24"/>
          <w:lang w:eastAsia="zh-CN"/>
        </w:rPr>
        <w:t>人或者代理机构应当依法对投标人的资格进行审查。</w:t>
      </w:r>
      <w:r>
        <w:rPr>
          <w:b/>
          <w:color w:val="0D0D0D"/>
          <w:spacing w:val="-15"/>
          <w:sz w:val="24"/>
          <w:lang w:eastAsia="zh-CN"/>
        </w:rPr>
        <w:t xml:space="preserve">合格投标人不足 </w:t>
      </w:r>
      <w:r>
        <w:rPr>
          <w:b/>
          <w:color w:val="0D0D0D"/>
          <w:sz w:val="24"/>
          <w:lang w:eastAsia="zh-CN"/>
        </w:rPr>
        <w:t>3</w:t>
      </w:r>
      <w:r>
        <w:rPr>
          <w:b/>
          <w:color w:val="0D0D0D"/>
          <w:spacing w:val="-8"/>
          <w:sz w:val="24"/>
          <w:lang w:eastAsia="zh-CN"/>
        </w:rPr>
        <w:t xml:space="preserve"> 家的，不得评标。</w:t>
      </w:r>
    </w:p>
    <w:p w14:paraId="4483BB6D">
      <w:pPr>
        <w:pStyle w:val="38"/>
        <w:numPr>
          <w:ilvl w:val="1"/>
          <w:numId w:val="17"/>
        </w:numPr>
        <w:tabs>
          <w:tab w:val="left" w:pos="839"/>
        </w:tabs>
        <w:spacing w:line="259" w:lineRule="exact"/>
        <w:ind w:left="838" w:hanging="600"/>
        <w:rPr>
          <w:rFonts w:hint="eastAsia"/>
          <w:sz w:val="24"/>
        </w:rPr>
      </w:pPr>
      <w:r>
        <w:rPr>
          <w:rFonts w:hint="eastAsia" w:ascii="宋体" w:eastAsia="宋体"/>
          <w:sz w:val="24"/>
        </w:rPr>
        <w:t>评标委员会</w:t>
      </w:r>
    </w:p>
    <w:p w14:paraId="0CBA12C0">
      <w:pPr>
        <w:pStyle w:val="8"/>
        <w:spacing w:before="160" w:line="364" w:lineRule="auto"/>
        <w:ind w:left="716" w:right="515"/>
        <w:rPr>
          <w:rFonts w:hint="eastAsia"/>
        </w:rPr>
      </w:pPr>
      <w:r>
        <w:rPr>
          <w:color w:val="0D0D0D"/>
          <w:lang w:eastAsia="zh-CN"/>
        </w:rPr>
        <w:t>评标由依照有关法规组建的评标委员会负责。与投标人有利害关系的人不得进入评标委员会。</w:t>
      </w:r>
      <w:r>
        <w:rPr>
          <w:color w:val="0D0D0D"/>
        </w:rPr>
        <w:t>已经进入的必须退出。</w:t>
      </w:r>
    </w:p>
    <w:p w14:paraId="596E1488">
      <w:pPr>
        <w:pStyle w:val="38"/>
        <w:numPr>
          <w:ilvl w:val="1"/>
          <w:numId w:val="17"/>
        </w:numPr>
        <w:tabs>
          <w:tab w:val="left" w:pos="779"/>
        </w:tabs>
        <w:spacing w:before="121" w:line="364" w:lineRule="auto"/>
        <w:ind w:left="718" w:right="577" w:hanging="480"/>
        <w:rPr>
          <w:rFonts w:hint="eastAsia"/>
          <w:color w:val="0D0D0D"/>
          <w:sz w:val="24"/>
          <w:lang w:eastAsia="zh-CN"/>
        </w:rPr>
      </w:pPr>
      <w:r>
        <w:rPr>
          <w:color w:val="0D0D0D"/>
          <w:spacing w:val="-4"/>
          <w:sz w:val="24"/>
          <w:lang w:eastAsia="zh-CN"/>
        </w:rPr>
        <w:t>评标委员会应当对符合资格的投标人的投标文件进行符合性审查，以确定其是否满足招标文件的实质性要求。</w:t>
      </w:r>
    </w:p>
    <w:p w14:paraId="6F169BDE">
      <w:pPr>
        <w:pStyle w:val="38"/>
        <w:numPr>
          <w:ilvl w:val="1"/>
          <w:numId w:val="17"/>
        </w:numPr>
        <w:tabs>
          <w:tab w:val="left" w:pos="781"/>
        </w:tabs>
        <w:spacing w:before="11" w:line="379" w:lineRule="auto"/>
        <w:ind w:left="718" w:right="1245" w:hanging="480"/>
        <w:rPr>
          <w:rFonts w:hint="eastAsia"/>
          <w:color w:val="0D0D0D"/>
          <w:sz w:val="24"/>
          <w:lang w:eastAsia="zh-CN"/>
        </w:rPr>
      </w:pPr>
      <w:r>
        <w:rPr>
          <w:color w:val="0D0D0D"/>
          <w:sz w:val="24"/>
          <w:lang w:eastAsia="zh-CN"/>
        </w:rPr>
        <w:t>对于投标文件中含义不明确、同类问题表述不一致或者有明显文字和计算</w:t>
      </w:r>
      <w:r>
        <w:rPr>
          <w:color w:val="0D0D0D"/>
          <w:spacing w:val="-9"/>
          <w:sz w:val="24"/>
          <w:lang w:eastAsia="zh-CN"/>
        </w:rPr>
        <w:t xml:space="preserve">错误的内容，评标委员会应当以书面形式要求投标人作出必要的澄清、说明或者补正。投标人的澄清、说明或者补正应当采用书面形式，并加盖公章， </w:t>
      </w:r>
      <w:r>
        <w:rPr>
          <w:color w:val="0D0D0D"/>
          <w:spacing w:val="-14"/>
          <w:sz w:val="24"/>
          <w:lang w:eastAsia="zh-CN"/>
        </w:rPr>
        <w:t>或者由法定代表人或其授权的代表签字。投标人的澄清、说明或者补正不得超出投标文件的范围或者改变投标文件的实质性内容。</w:t>
      </w:r>
    </w:p>
    <w:p w14:paraId="51667428">
      <w:pPr>
        <w:pStyle w:val="38"/>
        <w:numPr>
          <w:ilvl w:val="1"/>
          <w:numId w:val="17"/>
        </w:numPr>
        <w:tabs>
          <w:tab w:val="left" w:pos="779"/>
        </w:tabs>
        <w:spacing w:before="51" w:line="360" w:lineRule="auto"/>
        <w:ind w:left="718" w:right="945" w:hanging="480"/>
        <w:rPr>
          <w:rFonts w:hint="eastAsia"/>
          <w:color w:val="0D0D0D"/>
          <w:sz w:val="24"/>
          <w:lang w:eastAsia="zh-CN"/>
        </w:rPr>
      </w:pPr>
      <w:r>
        <w:rPr>
          <w:color w:val="0D0D0D"/>
          <w:sz w:val="24"/>
          <w:lang w:eastAsia="zh-CN"/>
        </w:rPr>
        <w:t>评标委员会应当按照招标文件中规定的评标方法和标准，对符合性审查合格的投标文件进行商务和技术评估，综合比较与评价</w:t>
      </w:r>
      <w:r>
        <w:rPr>
          <w:rFonts w:hint="eastAsia"/>
          <w:color w:val="0D0D0D"/>
          <w:sz w:val="24"/>
          <w:lang w:eastAsia="zh-CN"/>
        </w:rPr>
        <w:t>。</w:t>
      </w:r>
    </w:p>
    <w:p w14:paraId="6282FA92">
      <w:pPr>
        <w:pStyle w:val="38"/>
        <w:numPr>
          <w:ilvl w:val="1"/>
          <w:numId w:val="17"/>
        </w:numPr>
        <w:tabs>
          <w:tab w:val="left" w:pos="779"/>
        </w:tabs>
        <w:spacing w:line="307" w:lineRule="exact"/>
        <w:rPr>
          <w:rFonts w:hint="eastAsia"/>
          <w:lang w:eastAsia="zh-CN"/>
        </w:rPr>
      </w:pPr>
      <w:r>
        <w:rPr>
          <w:color w:val="0D0D0D"/>
          <w:sz w:val="24"/>
          <w:lang w:eastAsia="zh-CN"/>
        </w:rPr>
        <w:t>采用综合评分法的，评标结果按评审后</w:t>
      </w:r>
      <w:r>
        <w:rPr>
          <w:rFonts w:hint="eastAsia"/>
          <w:color w:val="0D0D0D"/>
          <w:sz w:val="24"/>
          <w:lang w:eastAsia="zh-CN"/>
        </w:rPr>
        <w:t>总</w:t>
      </w:r>
      <w:r>
        <w:rPr>
          <w:color w:val="0D0D0D"/>
          <w:sz w:val="24"/>
          <w:lang w:eastAsia="zh-CN"/>
        </w:rPr>
        <w:t>得分由高到低顺序排列。</w:t>
      </w:r>
      <w:r>
        <w:rPr>
          <w:rFonts w:hint="eastAsia"/>
          <w:color w:val="0D0D0D"/>
          <w:sz w:val="24"/>
          <w:lang w:eastAsia="zh-CN"/>
        </w:rPr>
        <w:t>总得分相同的，按技术得分由高到低排列，如技术得分也相同的，按报价得分由高到低排列。以上所有得分均相同的，由开标现场随机抽取。</w:t>
      </w:r>
    </w:p>
    <w:p w14:paraId="55D39D49">
      <w:pPr>
        <w:pStyle w:val="38"/>
        <w:numPr>
          <w:ilvl w:val="1"/>
          <w:numId w:val="17"/>
        </w:numPr>
        <w:tabs>
          <w:tab w:val="left" w:pos="779"/>
        </w:tabs>
        <w:spacing w:before="28"/>
        <w:rPr>
          <w:rFonts w:hint="eastAsia"/>
          <w:sz w:val="24"/>
          <w:lang w:eastAsia="zh-CN"/>
        </w:rPr>
      </w:pPr>
      <w:r>
        <w:rPr>
          <w:sz w:val="24"/>
          <w:lang w:eastAsia="zh-CN"/>
        </w:rPr>
        <w:t>评标委员会根据全体评标成员签字的原始评标记录和评标结果编写评标报告。</w:t>
      </w:r>
    </w:p>
    <w:p w14:paraId="3245E917">
      <w:pPr>
        <w:pStyle w:val="38"/>
        <w:numPr>
          <w:ilvl w:val="1"/>
          <w:numId w:val="17"/>
        </w:numPr>
        <w:tabs>
          <w:tab w:val="left" w:pos="779"/>
        </w:tabs>
        <w:spacing w:before="132"/>
        <w:rPr>
          <w:rFonts w:hint="eastAsia"/>
          <w:sz w:val="24"/>
          <w:lang w:eastAsia="zh-CN"/>
        </w:rPr>
      </w:pPr>
      <w:r>
        <w:rPr>
          <w:sz w:val="24"/>
          <w:lang w:eastAsia="zh-CN"/>
        </w:rPr>
        <w:t>投标文件报价出现前后不一致的，除招标文件另有规定外，按照下列规定修正</w:t>
      </w:r>
    </w:p>
    <w:p w14:paraId="3F0BDC97">
      <w:pPr>
        <w:pStyle w:val="8"/>
        <w:spacing w:before="151" w:line="360" w:lineRule="auto"/>
        <w:ind w:left="1078" w:right="576" w:hanging="600"/>
        <w:rPr>
          <w:rFonts w:hint="eastAsia"/>
          <w:lang w:eastAsia="zh-CN"/>
        </w:rPr>
      </w:pPr>
      <w:r>
        <w:rPr>
          <w:lang w:eastAsia="zh-CN"/>
        </w:rPr>
        <w:t>（1）投标文件中开标一览表（报价表）内容与投标文件中相应内容不一致的，以开标一览表（报价表）为准；</w:t>
      </w:r>
    </w:p>
    <w:p w14:paraId="451A6067">
      <w:pPr>
        <w:pStyle w:val="8"/>
        <w:spacing w:line="307" w:lineRule="exact"/>
        <w:ind w:left="478"/>
        <w:rPr>
          <w:rFonts w:hint="eastAsia"/>
          <w:lang w:eastAsia="zh-CN"/>
        </w:rPr>
      </w:pPr>
      <w:r>
        <w:rPr>
          <w:lang w:eastAsia="zh-CN"/>
        </w:rPr>
        <w:t>（2）大写金额和小写金额不一致的，以大写金额为准；</w:t>
      </w:r>
    </w:p>
    <w:p w14:paraId="1FF11734">
      <w:pPr>
        <w:pStyle w:val="8"/>
        <w:spacing w:before="151" w:line="360" w:lineRule="auto"/>
        <w:ind w:left="1078" w:right="576" w:hanging="600"/>
        <w:rPr>
          <w:rFonts w:hint="eastAsia"/>
          <w:lang w:eastAsia="zh-CN"/>
        </w:rPr>
      </w:pPr>
      <w:r>
        <w:rPr>
          <w:lang w:eastAsia="zh-CN"/>
        </w:rPr>
        <w:t>（3）单价金额小数点或者百分比有明显错位的，以开标一览表的总价为准，并修改单价；</w:t>
      </w:r>
    </w:p>
    <w:p w14:paraId="7F13D9D0">
      <w:pPr>
        <w:pStyle w:val="8"/>
        <w:spacing w:line="307" w:lineRule="exact"/>
        <w:ind w:left="478"/>
        <w:rPr>
          <w:rFonts w:hint="eastAsia"/>
          <w:lang w:eastAsia="zh-CN"/>
        </w:rPr>
      </w:pPr>
      <w:r>
        <w:rPr>
          <w:lang w:eastAsia="zh-CN"/>
        </w:rPr>
        <w:t>（4）总价金额与按单价汇总金额不一致的，以单价金额计算结果为准。</w:t>
      </w:r>
    </w:p>
    <w:p w14:paraId="3797FC0C">
      <w:pPr>
        <w:pStyle w:val="8"/>
        <w:spacing w:before="151" w:line="360" w:lineRule="auto"/>
        <w:ind w:left="970" w:right="577"/>
        <w:rPr>
          <w:rFonts w:hint="eastAsia"/>
          <w:lang w:eastAsia="zh-CN"/>
        </w:rPr>
      </w:pPr>
      <w:r>
        <w:rPr>
          <w:spacing w:val="-5"/>
          <w:lang w:eastAsia="zh-CN"/>
        </w:rPr>
        <w:t>同时出现两种以上不一致的，按照前款规定的顺序修正。修正后的报价按照投标</w:t>
      </w:r>
      <w:r>
        <w:rPr>
          <w:spacing w:val="-9"/>
          <w:lang w:eastAsia="zh-CN"/>
        </w:rPr>
        <w:t>人的澄清、说明或者补正应当采用书面形式，并加盖公章，或者由法定代表人或</w:t>
      </w:r>
      <w:r>
        <w:rPr>
          <w:spacing w:val="-12"/>
          <w:lang w:eastAsia="zh-CN"/>
        </w:rPr>
        <w:t>其授权的代表签字。投标人的澄清、说明或者补正不得超出投标文件的范围或者改变投标文件的实质性内容的规定经投标人确认后产生约束力，投标人不确认的，其</w:t>
      </w:r>
      <w:r>
        <w:rPr>
          <w:b/>
          <w:spacing w:val="-12"/>
          <w:lang w:eastAsia="zh-CN"/>
        </w:rPr>
        <w:t>投标无效</w:t>
      </w:r>
      <w:r>
        <w:rPr>
          <w:spacing w:val="-12"/>
          <w:lang w:eastAsia="zh-CN"/>
        </w:rPr>
        <w:t>。</w:t>
      </w:r>
    </w:p>
    <w:p w14:paraId="5CAD1905">
      <w:pPr>
        <w:pStyle w:val="38"/>
        <w:numPr>
          <w:ilvl w:val="1"/>
          <w:numId w:val="17"/>
        </w:numPr>
        <w:tabs>
          <w:tab w:val="left" w:pos="947"/>
        </w:tabs>
        <w:spacing w:line="360" w:lineRule="auto"/>
        <w:ind w:left="802" w:right="577" w:hanging="576"/>
        <w:rPr>
          <w:rFonts w:hint="eastAsia"/>
          <w:b/>
          <w:sz w:val="24"/>
          <w:lang w:eastAsia="zh-CN"/>
        </w:rPr>
      </w:pPr>
      <w:r>
        <w:rPr>
          <w:spacing w:val="-2"/>
          <w:sz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w:t>
      </w:r>
      <w:r>
        <w:rPr>
          <w:b/>
          <w:spacing w:val="-2"/>
          <w:sz w:val="24"/>
          <w:lang w:eastAsia="zh-CN"/>
        </w:rPr>
        <w:t>为无效投标处理。</w:t>
      </w:r>
    </w:p>
    <w:p w14:paraId="77A5CBA6">
      <w:pPr>
        <w:pStyle w:val="38"/>
        <w:numPr>
          <w:ilvl w:val="1"/>
          <w:numId w:val="17"/>
        </w:numPr>
        <w:tabs>
          <w:tab w:val="left" w:pos="899"/>
        </w:tabs>
        <w:spacing w:line="286" w:lineRule="exact"/>
        <w:ind w:left="898" w:hanging="660"/>
        <w:rPr>
          <w:rFonts w:hint="eastAsia"/>
          <w:sz w:val="24"/>
          <w:lang w:eastAsia="zh-CN"/>
        </w:rPr>
      </w:pPr>
      <w:r>
        <w:rPr>
          <w:sz w:val="24"/>
          <w:lang w:eastAsia="zh-CN"/>
        </w:rPr>
        <w:t>投标人存在下列情况之一的，投标无效</w:t>
      </w:r>
    </w:p>
    <w:p w14:paraId="2E82A2A8">
      <w:pPr>
        <w:pStyle w:val="8"/>
        <w:spacing w:before="127"/>
        <w:ind w:left="478"/>
        <w:rPr>
          <w:rFonts w:hint="eastAsia"/>
          <w:lang w:eastAsia="zh-CN"/>
        </w:rPr>
      </w:pPr>
      <w:r>
        <w:rPr>
          <w:lang w:eastAsia="zh-CN"/>
        </w:rPr>
        <w:t>（1）未按照招标文件的规定提交投标保证金的；</w:t>
      </w:r>
    </w:p>
    <w:p w14:paraId="64A6CA8A">
      <w:pPr>
        <w:pStyle w:val="8"/>
        <w:spacing w:before="131"/>
        <w:ind w:left="478"/>
        <w:rPr>
          <w:rFonts w:hint="eastAsia"/>
          <w:lang w:eastAsia="zh-CN"/>
        </w:rPr>
      </w:pPr>
      <w:r>
        <w:rPr>
          <w:lang w:eastAsia="zh-CN"/>
        </w:rPr>
        <w:t>（2）投标文件未按招标文件要求签署、盖章的；</w:t>
      </w:r>
    </w:p>
    <w:p w14:paraId="6DB50338">
      <w:pPr>
        <w:pStyle w:val="8"/>
        <w:spacing w:before="36"/>
        <w:ind w:left="478"/>
        <w:rPr>
          <w:rFonts w:hint="eastAsia"/>
          <w:lang w:eastAsia="zh-CN"/>
        </w:rPr>
      </w:pPr>
      <w:r>
        <w:rPr>
          <w:lang w:eastAsia="zh-CN"/>
        </w:rPr>
        <w:t>（3）不具备招标文件中规定的资格要求的；</w:t>
      </w:r>
    </w:p>
    <w:p w14:paraId="54497B8C">
      <w:pPr>
        <w:pStyle w:val="8"/>
        <w:spacing w:before="132"/>
        <w:ind w:left="478"/>
        <w:rPr>
          <w:rFonts w:hint="eastAsia"/>
          <w:lang w:eastAsia="zh-CN"/>
        </w:rPr>
      </w:pPr>
      <w:r>
        <w:rPr>
          <w:lang w:eastAsia="zh-CN"/>
        </w:rPr>
        <w:t>（4）投标文件未按招标文件要求编制或涂改投标文件及字迹辨认不清的；</w:t>
      </w:r>
    </w:p>
    <w:p w14:paraId="22157B9C">
      <w:pPr>
        <w:pStyle w:val="8"/>
        <w:spacing w:before="132"/>
        <w:ind w:left="478"/>
        <w:rPr>
          <w:rFonts w:hint="eastAsia"/>
          <w:lang w:eastAsia="zh-CN"/>
        </w:rPr>
      </w:pPr>
      <w:r>
        <w:rPr>
          <w:lang w:eastAsia="zh-CN"/>
        </w:rPr>
        <w:t>（5）未按电子化政府</w:t>
      </w:r>
      <w:r>
        <w:rPr>
          <w:rFonts w:hint="eastAsia"/>
          <w:lang w:eastAsia="zh-CN"/>
        </w:rPr>
        <w:t>招标</w:t>
      </w:r>
      <w:r>
        <w:rPr>
          <w:lang w:eastAsia="zh-CN"/>
        </w:rPr>
        <w:t>规定的格式制作投标文件的；</w:t>
      </w:r>
    </w:p>
    <w:p w14:paraId="2D33C9AB">
      <w:pPr>
        <w:pStyle w:val="8"/>
        <w:spacing w:before="134"/>
        <w:ind w:left="478"/>
        <w:rPr>
          <w:rFonts w:hint="eastAsia"/>
          <w:lang w:eastAsia="zh-CN"/>
        </w:rPr>
      </w:pPr>
      <w:r>
        <w:rPr>
          <w:lang w:eastAsia="zh-CN"/>
        </w:rPr>
        <w:t>（6）报价超过招标文件中规定的预算金额或者最高限价的；</w:t>
      </w:r>
    </w:p>
    <w:p w14:paraId="36CC6F3A">
      <w:pPr>
        <w:pStyle w:val="8"/>
        <w:spacing w:before="131"/>
        <w:ind w:left="478"/>
        <w:rPr>
          <w:rFonts w:hint="eastAsia"/>
          <w:lang w:eastAsia="zh-CN"/>
        </w:rPr>
      </w:pPr>
      <w:r>
        <w:rPr>
          <w:lang w:eastAsia="zh-CN"/>
        </w:rPr>
        <w:t>（7）投标文件含有</w:t>
      </w:r>
      <w:r>
        <w:rPr>
          <w:rFonts w:hint="eastAsia"/>
          <w:lang w:eastAsia="zh-CN"/>
        </w:rPr>
        <w:t>招标</w:t>
      </w:r>
      <w:r>
        <w:rPr>
          <w:lang w:eastAsia="zh-CN"/>
        </w:rPr>
        <w:t>人不能接受的附加条件的；</w:t>
      </w:r>
    </w:p>
    <w:p w14:paraId="5BD3D032">
      <w:pPr>
        <w:pStyle w:val="8"/>
        <w:spacing w:before="132"/>
        <w:ind w:left="478"/>
        <w:rPr>
          <w:rFonts w:hint="eastAsia"/>
          <w:lang w:eastAsia="zh-CN"/>
        </w:rPr>
      </w:pPr>
      <w:r>
        <w:rPr>
          <w:lang w:eastAsia="zh-CN"/>
        </w:rPr>
        <w:t>（8）法律、法规和招标文件规定的其他无效情形。</w:t>
      </w:r>
    </w:p>
    <w:p w14:paraId="67E6FCFB">
      <w:pPr>
        <w:pStyle w:val="38"/>
        <w:numPr>
          <w:ilvl w:val="1"/>
          <w:numId w:val="17"/>
        </w:numPr>
        <w:tabs>
          <w:tab w:val="left" w:pos="899"/>
        </w:tabs>
        <w:spacing w:before="134"/>
        <w:ind w:left="898" w:hanging="660"/>
        <w:rPr>
          <w:rFonts w:hint="eastAsia"/>
          <w:b/>
          <w:sz w:val="24"/>
          <w:lang w:eastAsia="zh-CN"/>
        </w:rPr>
      </w:pPr>
      <w:r>
        <w:rPr>
          <w:sz w:val="24"/>
          <w:lang w:eastAsia="zh-CN"/>
        </w:rPr>
        <w:t>在招标</w:t>
      </w:r>
      <w:r>
        <w:rPr>
          <w:rFonts w:hint="eastAsia"/>
          <w:sz w:val="24"/>
          <w:lang w:eastAsia="zh-CN"/>
        </w:rPr>
        <w:t>过程</w:t>
      </w:r>
      <w:r>
        <w:rPr>
          <w:sz w:val="24"/>
          <w:lang w:eastAsia="zh-CN"/>
        </w:rPr>
        <w:t>中，出现下列情形之一的，</w:t>
      </w:r>
      <w:r>
        <w:rPr>
          <w:b/>
          <w:sz w:val="24"/>
          <w:lang w:eastAsia="zh-CN"/>
        </w:rPr>
        <w:t>应予废标</w:t>
      </w:r>
    </w:p>
    <w:p w14:paraId="23841BD3">
      <w:pPr>
        <w:pStyle w:val="8"/>
        <w:spacing w:before="132"/>
        <w:ind w:left="478"/>
        <w:rPr>
          <w:rFonts w:hint="eastAsia"/>
          <w:lang w:eastAsia="zh-CN"/>
        </w:rPr>
      </w:pPr>
      <w:r>
        <w:rPr>
          <w:lang w:eastAsia="zh-CN"/>
        </w:rPr>
        <w:t>（1）符合专业条件的投标人或者对招标文件作实质响应的投标人不足三家的；</w:t>
      </w:r>
    </w:p>
    <w:p w14:paraId="1E2C440C">
      <w:pPr>
        <w:pStyle w:val="8"/>
        <w:spacing w:before="132"/>
        <w:ind w:left="478"/>
        <w:rPr>
          <w:rFonts w:hint="eastAsia"/>
          <w:lang w:eastAsia="zh-CN"/>
        </w:rPr>
      </w:pPr>
      <w:r>
        <w:rPr>
          <w:lang w:eastAsia="zh-CN"/>
        </w:rPr>
        <w:t>（2）出现影响</w:t>
      </w:r>
      <w:r>
        <w:rPr>
          <w:rFonts w:hint="eastAsia"/>
          <w:lang w:eastAsia="zh-CN"/>
        </w:rPr>
        <w:t>招标</w:t>
      </w:r>
      <w:r>
        <w:rPr>
          <w:lang w:eastAsia="zh-CN"/>
        </w:rPr>
        <w:t>公正的违法、违规行为的；</w:t>
      </w:r>
    </w:p>
    <w:p w14:paraId="233B4465">
      <w:pPr>
        <w:pStyle w:val="8"/>
        <w:spacing w:before="134"/>
        <w:ind w:left="478"/>
        <w:rPr>
          <w:rFonts w:hint="eastAsia"/>
          <w:lang w:eastAsia="zh-CN"/>
        </w:rPr>
      </w:pPr>
      <w:r>
        <w:rPr>
          <w:lang w:eastAsia="zh-CN"/>
        </w:rPr>
        <w:t>（3）投标人的报价均超过了预算，</w:t>
      </w:r>
      <w:r>
        <w:rPr>
          <w:rFonts w:hint="eastAsia"/>
          <w:lang w:eastAsia="zh-CN"/>
        </w:rPr>
        <w:t>招标</w:t>
      </w:r>
      <w:r>
        <w:rPr>
          <w:lang w:eastAsia="zh-CN"/>
        </w:rPr>
        <w:t>人不能支付的；</w:t>
      </w:r>
    </w:p>
    <w:p w14:paraId="33BBADD6">
      <w:pPr>
        <w:pStyle w:val="8"/>
        <w:spacing w:before="131"/>
        <w:ind w:left="478"/>
        <w:rPr>
          <w:rFonts w:hint="eastAsia"/>
          <w:lang w:eastAsia="zh-CN"/>
        </w:rPr>
      </w:pPr>
      <w:r>
        <w:rPr>
          <w:lang w:eastAsia="zh-CN"/>
        </w:rPr>
        <w:t>（4）因重大变故，</w:t>
      </w:r>
      <w:r>
        <w:rPr>
          <w:rFonts w:hint="eastAsia"/>
          <w:lang w:eastAsia="zh-CN"/>
        </w:rPr>
        <w:t>招标</w:t>
      </w:r>
      <w:r>
        <w:rPr>
          <w:lang w:eastAsia="zh-CN"/>
        </w:rPr>
        <w:t>任务取消。</w:t>
      </w:r>
    </w:p>
    <w:p w14:paraId="4208A7BC">
      <w:pPr>
        <w:pStyle w:val="38"/>
        <w:numPr>
          <w:ilvl w:val="1"/>
          <w:numId w:val="17"/>
        </w:numPr>
        <w:tabs>
          <w:tab w:val="left" w:pos="899"/>
        </w:tabs>
        <w:spacing w:before="149" w:line="360" w:lineRule="auto"/>
        <w:ind w:left="718" w:right="577" w:hanging="480"/>
        <w:jc w:val="both"/>
        <w:rPr>
          <w:rFonts w:hint="eastAsia"/>
          <w:sz w:val="24"/>
          <w:lang w:eastAsia="zh-CN"/>
        </w:rPr>
      </w:pPr>
      <w:r>
        <w:rPr>
          <w:sz w:val="24"/>
          <w:lang w:eastAsia="zh-CN"/>
        </w:rPr>
        <w:t>评标委员会发现招标文件存在歧义、重大缺陷导致评标工作无法进行，或者招标</w:t>
      </w:r>
      <w:r>
        <w:rPr>
          <w:spacing w:val="-3"/>
          <w:sz w:val="24"/>
          <w:lang w:eastAsia="zh-CN"/>
        </w:rPr>
        <w:t>文件内容违反国家有关强制性规定的，应当停止评标工作，与</w:t>
      </w:r>
      <w:r>
        <w:rPr>
          <w:rFonts w:hint="eastAsia"/>
          <w:lang w:eastAsia="zh-CN"/>
        </w:rPr>
        <w:t>招标</w:t>
      </w:r>
      <w:r>
        <w:rPr>
          <w:spacing w:val="-3"/>
          <w:sz w:val="24"/>
          <w:lang w:eastAsia="zh-CN"/>
        </w:rPr>
        <w:t>人或者代理</w:t>
      </w:r>
      <w:r>
        <w:rPr>
          <w:spacing w:val="-7"/>
          <w:sz w:val="24"/>
          <w:lang w:eastAsia="zh-CN"/>
        </w:rPr>
        <w:t>机构沟通并作书面记录。</w:t>
      </w:r>
      <w:r>
        <w:rPr>
          <w:rFonts w:hint="eastAsia"/>
          <w:spacing w:val="-7"/>
          <w:sz w:val="24"/>
          <w:lang w:eastAsia="zh-CN"/>
        </w:rPr>
        <w:t>招标</w:t>
      </w:r>
      <w:r>
        <w:rPr>
          <w:spacing w:val="-7"/>
          <w:sz w:val="24"/>
          <w:lang w:eastAsia="zh-CN"/>
        </w:rPr>
        <w:t>人或者代理机构确认后，应当修改招标文件，重新组织</w:t>
      </w:r>
      <w:r>
        <w:rPr>
          <w:rFonts w:hint="eastAsia"/>
          <w:lang w:eastAsia="zh-CN"/>
        </w:rPr>
        <w:t>招标</w:t>
      </w:r>
      <w:r>
        <w:rPr>
          <w:spacing w:val="-7"/>
          <w:sz w:val="24"/>
          <w:lang w:eastAsia="zh-CN"/>
        </w:rPr>
        <w:t>活动。</w:t>
      </w:r>
    </w:p>
    <w:p w14:paraId="6117AB97">
      <w:pPr>
        <w:pStyle w:val="38"/>
        <w:numPr>
          <w:ilvl w:val="1"/>
          <w:numId w:val="17"/>
        </w:numPr>
        <w:tabs>
          <w:tab w:val="left" w:pos="899"/>
        </w:tabs>
        <w:spacing w:line="357" w:lineRule="auto"/>
        <w:ind w:left="718" w:right="525" w:hanging="480"/>
        <w:jc w:val="both"/>
        <w:rPr>
          <w:rFonts w:hint="eastAsia"/>
          <w:sz w:val="24"/>
          <w:lang w:eastAsia="zh-CN"/>
        </w:rPr>
      </w:pPr>
      <w:r>
        <w:rPr>
          <w:sz w:val="24"/>
          <w:lang w:eastAsia="zh-CN"/>
        </w:rPr>
        <w:t>评标委员会成员对需要共同认定的事项存在争议的，应当按照少数服从多数的原则作出结论。存在不同意见的评标委员会应当在评标报告上签署不同意见及理由， 否则视为同意评标报告。</w:t>
      </w:r>
    </w:p>
    <w:p w14:paraId="641EA6F4">
      <w:pPr>
        <w:pStyle w:val="38"/>
        <w:numPr>
          <w:ilvl w:val="1"/>
          <w:numId w:val="17"/>
        </w:numPr>
        <w:tabs>
          <w:tab w:val="left" w:pos="899"/>
        </w:tabs>
        <w:spacing w:before="1" w:line="357" w:lineRule="auto"/>
        <w:ind w:left="718" w:right="576" w:hanging="480"/>
        <w:rPr>
          <w:rFonts w:hint="eastAsia"/>
          <w:sz w:val="24"/>
          <w:lang w:eastAsia="zh-CN"/>
        </w:rPr>
      </w:pPr>
      <w:r>
        <w:rPr>
          <w:sz w:val="24"/>
          <w:lang w:eastAsia="zh-CN"/>
        </w:rPr>
        <w:t>评标委员会决定投标的实质性响应，只根据投标本身的真实无误的内容，评审工作不依据外部的证据，但投标有不真实不正确的内容时除外。</w:t>
      </w:r>
    </w:p>
    <w:p w14:paraId="06F7DC73">
      <w:pPr>
        <w:pStyle w:val="38"/>
        <w:numPr>
          <w:ilvl w:val="1"/>
          <w:numId w:val="17"/>
        </w:numPr>
        <w:tabs>
          <w:tab w:val="left" w:pos="899"/>
        </w:tabs>
        <w:spacing w:before="3"/>
        <w:ind w:left="898" w:hanging="660"/>
        <w:rPr>
          <w:rFonts w:hint="eastAsia"/>
          <w:sz w:val="24"/>
          <w:lang w:eastAsia="zh-CN"/>
        </w:rPr>
      </w:pPr>
      <w:r>
        <w:rPr>
          <w:sz w:val="24"/>
          <w:lang w:eastAsia="zh-CN"/>
        </w:rPr>
        <w:t>招标机构不解释中标或落标原因，不退回报价文件和其他报价资料。</w:t>
      </w:r>
    </w:p>
    <w:p w14:paraId="6DD0DA47">
      <w:pPr>
        <w:pStyle w:val="8"/>
        <w:spacing w:before="6"/>
        <w:rPr>
          <w:rFonts w:hint="eastAsia"/>
          <w:sz w:val="19"/>
          <w:lang w:eastAsia="zh-CN"/>
        </w:rPr>
      </w:pPr>
    </w:p>
    <w:p w14:paraId="0052BFF8">
      <w:pPr>
        <w:ind w:left="238"/>
        <w:rPr>
          <w:rFonts w:hint="eastAsia"/>
          <w:b/>
          <w:sz w:val="24"/>
        </w:rPr>
      </w:pPr>
      <w:bookmarkStart w:id="78" w:name="24.评标原则、标准和方法"/>
      <w:bookmarkEnd w:id="78"/>
      <w:r>
        <w:rPr>
          <w:sz w:val="24"/>
        </w:rPr>
        <w:t>24.</w:t>
      </w:r>
      <w:r>
        <w:rPr>
          <w:b/>
          <w:sz w:val="24"/>
        </w:rPr>
        <w:t>评标原则、标准和方法</w:t>
      </w:r>
    </w:p>
    <w:p w14:paraId="019B4F69">
      <w:pPr>
        <w:pStyle w:val="8"/>
        <w:spacing w:before="10"/>
        <w:rPr>
          <w:rFonts w:hint="eastAsia"/>
          <w:b/>
          <w:sz w:val="17"/>
        </w:rPr>
      </w:pPr>
    </w:p>
    <w:p w14:paraId="3E42191B">
      <w:pPr>
        <w:pStyle w:val="38"/>
        <w:numPr>
          <w:ilvl w:val="1"/>
          <w:numId w:val="18"/>
        </w:numPr>
        <w:tabs>
          <w:tab w:val="left" w:pos="779"/>
        </w:tabs>
        <w:ind w:hanging="840"/>
        <w:rPr>
          <w:rFonts w:hint="eastAsia"/>
          <w:sz w:val="24"/>
          <w:lang w:eastAsia="zh-CN"/>
        </w:rPr>
      </w:pPr>
      <w:r>
        <w:rPr>
          <w:sz w:val="24"/>
          <w:lang w:eastAsia="zh-CN"/>
        </w:rPr>
        <w:t>根据招标项目的特点组建专家评标委员会，由评标委员会负责评标工作；</w:t>
      </w:r>
    </w:p>
    <w:p w14:paraId="08C9FE3C">
      <w:pPr>
        <w:pStyle w:val="38"/>
        <w:numPr>
          <w:ilvl w:val="1"/>
          <w:numId w:val="18"/>
        </w:numPr>
        <w:tabs>
          <w:tab w:val="left" w:pos="779"/>
        </w:tabs>
        <w:spacing w:before="112" w:line="343" w:lineRule="auto"/>
        <w:ind w:right="465" w:hanging="840"/>
        <w:rPr>
          <w:rFonts w:hint="eastAsia"/>
          <w:sz w:val="24"/>
          <w:lang w:eastAsia="zh-CN"/>
        </w:rPr>
      </w:pPr>
      <w:r>
        <w:rPr>
          <w:sz w:val="24"/>
          <w:lang w:eastAsia="zh-CN"/>
        </w:rPr>
        <w:t>本次招标采取综合评分法，专家评标小组遵循“公平、公正、公开、择优、信用” 的原则，对投标人着重在</w:t>
      </w:r>
      <w:r>
        <w:rPr>
          <w:color w:val="000000" w:themeColor="text1"/>
          <w:sz w:val="24"/>
          <w:lang w:eastAsia="zh-CN"/>
          <w14:textFill>
            <w14:solidFill>
              <w14:schemeClr w14:val="tx1"/>
            </w14:solidFill>
          </w14:textFill>
        </w:rPr>
        <w:t>投标报价、</w:t>
      </w:r>
      <w:r>
        <w:rPr>
          <w:rFonts w:hint="eastAsia"/>
          <w:color w:val="000000" w:themeColor="text1"/>
          <w:sz w:val="24"/>
          <w:lang w:eastAsia="zh-CN"/>
          <w14:textFill>
            <w14:solidFill>
              <w14:schemeClr w14:val="tx1"/>
            </w14:solidFill>
          </w14:textFill>
        </w:rPr>
        <w:t>实施方案</w:t>
      </w:r>
      <w:r>
        <w:rPr>
          <w:color w:val="000000" w:themeColor="text1"/>
          <w:sz w:val="24"/>
          <w:lang w:eastAsia="zh-CN"/>
          <w14:textFill>
            <w14:solidFill>
              <w14:schemeClr w14:val="tx1"/>
            </w14:solidFill>
          </w14:textFill>
        </w:rPr>
        <w:t>、</w:t>
      </w:r>
      <w:r>
        <w:rPr>
          <w:rFonts w:hint="eastAsia"/>
          <w:color w:val="000000" w:themeColor="text1"/>
          <w:sz w:val="24"/>
          <w:lang w:eastAsia="zh-CN"/>
          <w14:textFill>
            <w14:solidFill>
              <w14:schemeClr w14:val="tx1"/>
            </w14:solidFill>
          </w14:textFill>
        </w:rPr>
        <w:t>技术团队人员、拟投入项目设备、</w:t>
      </w:r>
      <w:r>
        <w:rPr>
          <w:color w:val="000000" w:themeColor="text1"/>
          <w:sz w:val="24"/>
          <w:lang w:eastAsia="zh-CN"/>
          <w14:textFill>
            <w14:solidFill>
              <w14:schemeClr w14:val="tx1"/>
            </w14:solidFill>
          </w14:textFill>
        </w:rPr>
        <w:t>服务</w:t>
      </w:r>
      <w:r>
        <w:rPr>
          <w:rFonts w:hint="eastAsia"/>
          <w:color w:val="000000" w:themeColor="text1"/>
          <w:sz w:val="24"/>
          <w:lang w:eastAsia="zh-CN"/>
          <w14:textFill>
            <w14:solidFill>
              <w14:schemeClr w14:val="tx1"/>
            </w14:solidFill>
          </w14:textFill>
        </w:rPr>
        <w:t>承诺</w:t>
      </w:r>
      <w:r>
        <w:rPr>
          <w:color w:val="000000" w:themeColor="text1"/>
          <w:sz w:val="24"/>
          <w:lang w:eastAsia="zh-CN"/>
          <w14:textFill>
            <w14:solidFill>
              <w14:schemeClr w14:val="tx1"/>
            </w14:solidFill>
          </w14:textFill>
        </w:rPr>
        <w:t>、业绩情况、</w:t>
      </w:r>
      <w:r>
        <w:rPr>
          <w:rFonts w:hint="eastAsia"/>
          <w:color w:val="000000" w:themeColor="text1"/>
          <w:sz w:val="24"/>
          <w:lang w:eastAsia="zh-CN"/>
          <w14:textFill>
            <w14:solidFill>
              <w14:schemeClr w14:val="tx1"/>
            </w14:solidFill>
          </w14:textFill>
        </w:rPr>
        <w:t>企业资质</w:t>
      </w:r>
      <w:r>
        <w:rPr>
          <w:sz w:val="24"/>
          <w:lang w:eastAsia="zh-CN"/>
        </w:rPr>
        <w:t>等方面进行综合评议；评标委员会对所有合格投标文件，按招标文件规定的评标方法、评标标准进行独立评标并签字，必要时标明评标理由。</w:t>
      </w:r>
    </w:p>
    <w:p w14:paraId="482AFF4A">
      <w:pPr>
        <w:pStyle w:val="38"/>
        <w:numPr>
          <w:ilvl w:val="1"/>
          <w:numId w:val="18"/>
        </w:numPr>
        <w:tabs>
          <w:tab w:val="left" w:pos="779"/>
        </w:tabs>
        <w:spacing w:before="3" w:line="343" w:lineRule="auto"/>
        <w:ind w:right="457" w:hanging="840"/>
        <w:rPr>
          <w:rFonts w:hint="eastAsia"/>
        </w:rPr>
      </w:pPr>
      <w:r>
        <w:rPr>
          <w:spacing w:val="-16"/>
          <w:sz w:val="24"/>
          <w:lang w:eastAsia="zh-CN"/>
        </w:rPr>
        <w:t>采用综合评分法的，价格分值</w:t>
      </w:r>
      <w:r>
        <w:rPr>
          <w:rFonts w:hint="eastAsia"/>
          <w:spacing w:val="-16"/>
          <w:sz w:val="24"/>
          <w:lang w:eastAsia="zh-CN"/>
        </w:rPr>
        <w:t>按评分标准中</w:t>
      </w:r>
      <w:r>
        <w:rPr>
          <w:spacing w:val="-16"/>
          <w:sz w:val="24"/>
          <w:lang w:eastAsia="zh-CN"/>
        </w:rPr>
        <w:t>公式计算，其结果由评标委员会签字确认。代理机构负责复核、统计各评标专家的评标结果，发现评标差异较大时，可提请评标委员会讨论，形成书面意见备查。</w:t>
      </w:r>
      <w:r>
        <w:rPr>
          <w:spacing w:val="-16"/>
          <w:sz w:val="24"/>
        </w:rPr>
        <w:t>评标专家认为必要时可修改自己的评</w:t>
      </w:r>
      <w:r>
        <w:t>标意见。</w:t>
      </w:r>
    </w:p>
    <w:p w14:paraId="34909C44">
      <w:pPr>
        <w:pStyle w:val="38"/>
        <w:numPr>
          <w:ilvl w:val="1"/>
          <w:numId w:val="18"/>
        </w:numPr>
        <w:tabs>
          <w:tab w:val="left" w:pos="779"/>
        </w:tabs>
        <w:spacing w:before="36"/>
        <w:ind w:hanging="840"/>
        <w:rPr>
          <w:rFonts w:hint="eastAsia"/>
          <w:sz w:val="24"/>
          <w:lang w:eastAsia="zh-CN"/>
        </w:rPr>
      </w:pPr>
      <w:r>
        <w:rPr>
          <w:sz w:val="24"/>
          <w:lang w:eastAsia="zh-CN"/>
        </w:rPr>
        <w:t>评标标准。（评标标准详见“第六章评标标准”）</w:t>
      </w:r>
    </w:p>
    <w:p w14:paraId="2AC7A323">
      <w:pPr>
        <w:pStyle w:val="6"/>
        <w:spacing w:before="109"/>
        <w:ind w:left="0" w:right="337"/>
        <w:jc w:val="center"/>
        <w:rPr>
          <w:rFonts w:hint="eastAsia"/>
          <w:lang w:eastAsia="zh-CN"/>
        </w:rPr>
      </w:pPr>
      <w:bookmarkStart w:id="79" w:name="六、意外情况的情形和处理"/>
      <w:bookmarkEnd w:id="79"/>
      <w:bookmarkStart w:id="80" w:name="_bookmark27"/>
      <w:bookmarkEnd w:id="80"/>
      <w:bookmarkStart w:id="81" w:name="_Toc3405"/>
      <w:bookmarkStart w:id="82" w:name="_Toc8417"/>
      <w:r>
        <w:rPr>
          <w:lang w:eastAsia="zh-CN"/>
        </w:rPr>
        <w:t>六、意外情况的情形和处理</w:t>
      </w:r>
      <w:bookmarkEnd w:id="81"/>
      <w:bookmarkEnd w:id="82"/>
    </w:p>
    <w:p w14:paraId="47CA45AA">
      <w:pPr>
        <w:pStyle w:val="7"/>
        <w:ind w:left="238"/>
        <w:rPr>
          <w:rFonts w:hint="eastAsia"/>
          <w:lang w:eastAsia="zh-CN"/>
        </w:rPr>
      </w:pPr>
      <w:bookmarkStart w:id="83" w:name="_bookmark28"/>
      <w:bookmarkEnd w:id="83"/>
      <w:bookmarkStart w:id="84" w:name="25._意外情况的情形"/>
      <w:bookmarkEnd w:id="84"/>
      <w:r>
        <w:rPr>
          <w:lang w:eastAsia="zh-CN"/>
        </w:rPr>
        <w:t>25. 意外情况的情形</w:t>
      </w:r>
    </w:p>
    <w:p w14:paraId="35DF5D54">
      <w:pPr>
        <w:pStyle w:val="8"/>
        <w:spacing w:before="8"/>
        <w:rPr>
          <w:rFonts w:hint="eastAsia"/>
          <w:b/>
          <w:sz w:val="17"/>
          <w:lang w:eastAsia="zh-CN"/>
        </w:rPr>
      </w:pPr>
    </w:p>
    <w:p w14:paraId="550C3FCC">
      <w:pPr>
        <w:pStyle w:val="8"/>
        <w:spacing w:line="345" w:lineRule="auto"/>
        <w:ind w:left="804" w:right="577" w:hanging="567"/>
        <w:rPr>
          <w:rFonts w:hint="eastAsia"/>
          <w:lang w:eastAsia="zh-CN"/>
        </w:rPr>
      </w:pPr>
      <w:r>
        <w:rPr>
          <w:lang w:eastAsia="zh-CN"/>
        </w:rPr>
        <w:t>25.1</w:t>
      </w:r>
      <w:r>
        <w:rPr>
          <w:spacing w:val="-13"/>
          <w:lang w:eastAsia="zh-CN"/>
        </w:rPr>
        <w:t xml:space="preserve"> 因客观原因造成电子化</w:t>
      </w:r>
      <w:r>
        <w:rPr>
          <w:rFonts w:hint="eastAsia"/>
          <w:lang w:eastAsia="zh-CN"/>
        </w:rPr>
        <w:t>招标</w:t>
      </w:r>
      <w:r>
        <w:rPr>
          <w:spacing w:val="-13"/>
          <w:lang w:eastAsia="zh-CN"/>
        </w:rPr>
        <w:t>统无法正常运行、或者无法保证</w:t>
      </w:r>
      <w:r>
        <w:rPr>
          <w:rFonts w:hint="eastAsia"/>
          <w:lang w:eastAsia="zh-CN"/>
        </w:rPr>
        <w:t>招标</w:t>
      </w:r>
      <w:r>
        <w:rPr>
          <w:spacing w:val="-13"/>
          <w:lang w:eastAsia="zh-CN"/>
        </w:rPr>
        <w:t>活动信息安全，应采取意外情况的处理措施。意外情况包括以下情形</w:t>
      </w:r>
    </w:p>
    <w:p w14:paraId="51F85E9C">
      <w:pPr>
        <w:pStyle w:val="8"/>
        <w:spacing w:line="343" w:lineRule="auto"/>
        <w:ind w:left="1152" w:right="577" w:hanging="600"/>
        <w:rPr>
          <w:rFonts w:hint="eastAsia"/>
          <w:lang w:eastAsia="zh-CN"/>
        </w:rPr>
      </w:pPr>
      <w:r>
        <w:rPr>
          <w:lang w:eastAsia="zh-CN"/>
        </w:rPr>
        <w:t>（1）网络系统及其他设备发生故障，导致无法访问网站或无法使用电子化</w:t>
      </w:r>
      <w:r>
        <w:rPr>
          <w:rFonts w:hint="eastAsia"/>
          <w:lang w:eastAsia="zh-CN"/>
        </w:rPr>
        <w:t>招标</w:t>
      </w:r>
      <w:r>
        <w:rPr>
          <w:lang w:eastAsia="zh-CN"/>
        </w:rPr>
        <w:t>系统的；</w:t>
      </w:r>
    </w:p>
    <w:p w14:paraId="405256EC">
      <w:pPr>
        <w:pStyle w:val="8"/>
        <w:ind w:left="595"/>
        <w:rPr>
          <w:rFonts w:hint="eastAsia"/>
          <w:lang w:eastAsia="zh-CN"/>
        </w:rPr>
      </w:pPr>
      <w:r>
        <w:rPr>
          <w:lang w:eastAsia="zh-CN"/>
        </w:rPr>
        <w:t>（2）电子化</w:t>
      </w:r>
      <w:r>
        <w:rPr>
          <w:rFonts w:hint="eastAsia"/>
          <w:lang w:eastAsia="zh-CN"/>
        </w:rPr>
        <w:t>招标</w:t>
      </w:r>
      <w:r>
        <w:rPr>
          <w:lang w:eastAsia="zh-CN"/>
        </w:rPr>
        <w:t>系统的软件或网络数据库出现错误，导致无法正常操作的；</w:t>
      </w:r>
    </w:p>
    <w:p w14:paraId="31DD63D1">
      <w:pPr>
        <w:pStyle w:val="8"/>
        <w:spacing w:before="128"/>
        <w:ind w:left="595"/>
        <w:rPr>
          <w:rFonts w:hint="eastAsia"/>
          <w:lang w:eastAsia="zh-CN"/>
        </w:rPr>
      </w:pPr>
      <w:r>
        <w:rPr>
          <w:lang w:eastAsia="zh-CN"/>
        </w:rPr>
        <w:t>（3）电子化</w:t>
      </w:r>
      <w:r>
        <w:rPr>
          <w:rFonts w:hint="eastAsia"/>
          <w:lang w:eastAsia="zh-CN"/>
        </w:rPr>
        <w:t>招标</w:t>
      </w:r>
      <w:r>
        <w:rPr>
          <w:lang w:eastAsia="zh-CN"/>
        </w:rPr>
        <w:t>系统发现有安全漏洞，有潜在泄密危险的；</w:t>
      </w:r>
    </w:p>
    <w:p w14:paraId="154B18BA">
      <w:pPr>
        <w:pStyle w:val="8"/>
        <w:spacing w:before="132"/>
        <w:ind w:left="595"/>
        <w:rPr>
          <w:rFonts w:hint="eastAsia"/>
          <w:lang w:eastAsia="zh-CN"/>
        </w:rPr>
      </w:pPr>
      <w:r>
        <w:rPr>
          <w:lang w:eastAsia="zh-CN"/>
        </w:rPr>
        <w:t>（4）其他无法保证</w:t>
      </w:r>
      <w:r>
        <w:rPr>
          <w:rFonts w:hint="eastAsia"/>
          <w:lang w:eastAsia="zh-CN"/>
        </w:rPr>
        <w:t>招标</w:t>
      </w:r>
      <w:r>
        <w:rPr>
          <w:lang w:eastAsia="zh-CN"/>
        </w:rPr>
        <w:t>活动正常进行的。</w:t>
      </w:r>
    </w:p>
    <w:p w14:paraId="7D005C34">
      <w:pPr>
        <w:pStyle w:val="8"/>
        <w:spacing w:before="11"/>
        <w:rPr>
          <w:rFonts w:hint="eastAsia"/>
          <w:sz w:val="30"/>
          <w:lang w:eastAsia="zh-CN"/>
        </w:rPr>
      </w:pPr>
    </w:p>
    <w:p w14:paraId="11DE1F6B">
      <w:pPr>
        <w:pStyle w:val="7"/>
        <w:ind w:left="238"/>
        <w:rPr>
          <w:rFonts w:hint="eastAsia"/>
          <w:lang w:eastAsia="zh-CN"/>
        </w:rPr>
      </w:pPr>
      <w:bookmarkStart w:id="85" w:name="25._意外情况的处理"/>
      <w:bookmarkEnd w:id="85"/>
      <w:bookmarkStart w:id="86" w:name="_bookmark29"/>
      <w:bookmarkEnd w:id="86"/>
      <w:r>
        <w:rPr>
          <w:lang w:eastAsia="zh-CN"/>
        </w:rPr>
        <w:t>25. 意外情况的处理</w:t>
      </w:r>
    </w:p>
    <w:p w14:paraId="11680E56">
      <w:pPr>
        <w:pStyle w:val="8"/>
        <w:spacing w:before="10"/>
        <w:rPr>
          <w:rFonts w:hint="eastAsia"/>
          <w:b/>
          <w:sz w:val="17"/>
          <w:lang w:eastAsia="zh-CN"/>
        </w:rPr>
      </w:pPr>
    </w:p>
    <w:p w14:paraId="5FFAB123">
      <w:pPr>
        <w:pStyle w:val="8"/>
        <w:spacing w:line="343" w:lineRule="auto"/>
        <w:ind w:left="804" w:right="573" w:hanging="567"/>
        <w:rPr>
          <w:rFonts w:hint="eastAsia"/>
          <w:lang w:eastAsia="zh-CN"/>
        </w:rPr>
      </w:pPr>
      <w:r>
        <w:rPr>
          <w:lang w:eastAsia="zh-CN"/>
        </w:rPr>
        <w:t>26.1 出现上述情况，故障当日（工作时间内）可排除的，电子化</w:t>
      </w:r>
      <w:r>
        <w:rPr>
          <w:rFonts w:hint="eastAsia"/>
          <w:lang w:eastAsia="zh-CN"/>
        </w:rPr>
        <w:t>招标</w:t>
      </w:r>
      <w:r>
        <w:rPr>
          <w:lang w:eastAsia="zh-CN"/>
        </w:rPr>
        <w:t>恢复进行； 如故障当日无法排除的，</w:t>
      </w:r>
      <w:r>
        <w:rPr>
          <w:rFonts w:hint="eastAsia"/>
          <w:lang w:eastAsia="zh-CN"/>
        </w:rPr>
        <w:t>招标</w:t>
      </w:r>
      <w:r>
        <w:rPr>
          <w:lang w:eastAsia="zh-CN"/>
        </w:rPr>
        <w:t>活动终止，重新组织</w:t>
      </w:r>
      <w:r>
        <w:rPr>
          <w:rFonts w:hint="eastAsia"/>
          <w:lang w:eastAsia="zh-CN"/>
        </w:rPr>
        <w:t>招标</w:t>
      </w:r>
      <w:r>
        <w:rPr>
          <w:lang w:eastAsia="zh-CN"/>
        </w:rPr>
        <w:t>活动。</w:t>
      </w:r>
    </w:p>
    <w:p w14:paraId="2F6A78E3">
      <w:pPr>
        <w:pStyle w:val="6"/>
        <w:spacing w:line="335" w:lineRule="exact"/>
        <w:ind w:left="1" w:right="340"/>
        <w:jc w:val="center"/>
        <w:rPr>
          <w:rFonts w:hint="eastAsia"/>
          <w:lang w:eastAsia="zh-CN"/>
        </w:rPr>
      </w:pPr>
      <w:bookmarkStart w:id="87" w:name="七、中标和合同"/>
      <w:bookmarkEnd w:id="87"/>
      <w:bookmarkStart w:id="88" w:name="_bookmark30"/>
      <w:bookmarkEnd w:id="88"/>
      <w:bookmarkStart w:id="89" w:name="_Toc23416"/>
      <w:bookmarkStart w:id="90" w:name="_Toc5454"/>
      <w:r>
        <w:rPr>
          <w:lang w:eastAsia="zh-CN"/>
        </w:rPr>
        <w:t>七、中标和合同</w:t>
      </w:r>
      <w:bookmarkEnd w:id="89"/>
      <w:bookmarkEnd w:id="90"/>
    </w:p>
    <w:p w14:paraId="22AC68E5">
      <w:pPr>
        <w:pStyle w:val="8"/>
        <w:spacing w:before="2"/>
        <w:rPr>
          <w:rFonts w:hint="eastAsia"/>
          <w:b/>
          <w:sz w:val="30"/>
          <w:lang w:eastAsia="zh-CN"/>
        </w:rPr>
      </w:pPr>
    </w:p>
    <w:p w14:paraId="4B40D728">
      <w:pPr>
        <w:pStyle w:val="7"/>
        <w:ind w:left="238"/>
        <w:rPr>
          <w:rFonts w:hint="eastAsia"/>
          <w:lang w:eastAsia="zh-CN"/>
        </w:rPr>
      </w:pPr>
      <w:bookmarkStart w:id="91" w:name="27.中标人的确定"/>
      <w:bookmarkEnd w:id="91"/>
      <w:bookmarkStart w:id="92" w:name="_bookmark31"/>
      <w:bookmarkEnd w:id="92"/>
      <w:r>
        <w:rPr>
          <w:lang w:eastAsia="zh-CN"/>
        </w:rPr>
        <w:t>27.中标人的确定</w:t>
      </w:r>
    </w:p>
    <w:p w14:paraId="118AFBB1">
      <w:pPr>
        <w:pStyle w:val="8"/>
        <w:spacing w:before="10"/>
        <w:rPr>
          <w:rFonts w:hint="eastAsia"/>
          <w:b/>
          <w:sz w:val="17"/>
          <w:lang w:eastAsia="zh-CN"/>
        </w:rPr>
      </w:pPr>
    </w:p>
    <w:p w14:paraId="1BE666D5">
      <w:pPr>
        <w:pStyle w:val="8"/>
        <w:spacing w:line="345" w:lineRule="auto"/>
        <w:ind w:left="716" w:right="577"/>
        <w:jc w:val="both"/>
        <w:rPr>
          <w:rFonts w:hint="eastAsia"/>
          <w:lang w:eastAsia="zh-CN"/>
        </w:rPr>
      </w:pPr>
      <w:r>
        <w:rPr>
          <w:rFonts w:hint="eastAsia"/>
          <w:spacing w:val="-3"/>
          <w:lang w:eastAsia="zh-CN"/>
        </w:rPr>
        <w:t>招标</w:t>
      </w:r>
      <w:r>
        <w:rPr>
          <w:spacing w:val="-3"/>
          <w:lang w:eastAsia="zh-CN"/>
        </w:rPr>
        <w:t>人应当自收到评标报告之日起５个工作日内，在评标报告确定的中标候选人名单中按顺序确定中标人。</w:t>
      </w:r>
    </w:p>
    <w:p w14:paraId="7103AF53">
      <w:pPr>
        <w:pStyle w:val="7"/>
        <w:ind w:left="238"/>
        <w:rPr>
          <w:rFonts w:hint="eastAsia"/>
          <w:lang w:eastAsia="zh-CN"/>
        </w:rPr>
      </w:pPr>
      <w:bookmarkStart w:id="93" w:name="_bookmark32"/>
      <w:bookmarkEnd w:id="93"/>
      <w:bookmarkStart w:id="94" w:name="28.中标结果公告"/>
      <w:bookmarkEnd w:id="94"/>
      <w:r>
        <w:rPr>
          <w:lang w:eastAsia="zh-CN"/>
        </w:rPr>
        <w:t>28.中标结果公告</w:t>
      </w:r>
    </w:p>
    <w:p w14:paraId="3569FAF7">
      <w:pPr>
        <w:pStyle w:val="8"/>
        <w:spacing w:before="10"/>
        <w:rPr>
          <w:rFonts w:hint="eastAsia"/>
          <w:b/>
          <w:sz w:val="17"/>
          <w:lang w:eastAsia="zh-CN"/>
        </w:rPr>
      </w:pPr>
    </w:p>
    <w:p w14:paraId="3DCD9A4A">
      <w:pPr>
        <w:pStyle w:val="8"/>
        <w:spacing w:line="343" w:lineRule="auto"/>
        <w:ind w:left="716" w:right="577"/>
        <w:jc w:val="both"/>
        <w:rPr>
          <w:rFonts w:hint="eastAsia"/>
          <w:lang w:eastAsia="zh-CN"/>
        </w:rPr>
      </w:pPr>
      <w:r>
        <w:rPr>
          <w:spacing w:val="-40"/>
          <w:lang w:eastAsia="zh-CN"/>
        </w:rPr>
        <w:t>中 标 人 确 定 后 ，  代 理 机 构 在 江 西 省 公 共 资 源 交 易 网 （ 网 址 ：</w:t>
      </w:r>
      <w:r>
        <w:fldChar w:fldCharType="begin"/>
      </w:r>
      <w:r>
        <w:instrText xml:space="preserve"> HYPERLINK "http://jxsggzy.cn/web/" \h </w:instrText>
      </w:r>
      <w:r>
        <w:fldChar w:fldCharType="separate"/>
      </w:r>
      <w:r>
        <w:rPr>
          <w:spacing w:val="-40"/>
          <w:lang w:eastAsia="zh-CN"/>
        </w:rPr>
        <w:t xml:space="preserve"> http://jxsggzy.cn/web/</w:t>
      </w:r>
      <w:r>
        <w:rPr>
          <w:spacing w:val="-40"/>
          <w:lang w:eastAsia="zh-CN"/>
        </w:rPr>
        <w:fldChar w:fldCharType="end"/>
      </w:r>
      <w:r>
        <w:rPr>
          <w:spacing w:val="-40"/>
          <w:lang w:eastAsia="zh-CN"/>
        </w:rPr>
        <w:t xml:space="preserve"> ）</w:t>
      </w:r>
      <w:r>
        <w:rPr>
          <w:spacing w:val="-7"/>
          <w:lang w:eastAsia="zh-CN"/>
        </w:rPr>
        <w:t xml:space="preserve">上公告中标结果，中标公告期限为 </w:t>
      </w:r>
      <w:r>
        <w:rPr>
          <w:lang w:eastAsia="zh-CN"/>
        </w:rPr>
        <w:t>1</w:t>
      </w:r>
      <w:r>
        <w:rPr>
          <w:spacing w:val="-24"/>
          <w:lang w:eastAsia="zh-CN"/>
        </w:rPr>
        <w:t xml:space="preserve"> 个工作日。</w:t>
      </w:r>
    </w:p>
    <w:p w14:paraId="13A4EA71">
      <w:pPr>
        <w:pStyle w:val="7"/>
        <w:numPr>
          <w:ilvl w:val="0"/>
          <w:numId w:val="19"/>
        </w:numPr>
        <w:tabs>
          <w:tab w:val="left" w:pos="721"/>
        </w:tabs>
        <w:ind w:hanging="482"/>
        <w:rPr>
          <w:rFonts w:hint="eastAsia"/>
        </w:rPr>
      </w:pPr>
      <w:bookmarkStart w:id="95" w:name="_bookmark33"/>
      <w:bookmarkEnd w:id="95"/>
      <w:bookmarkStart w:id="96" w:name="29._履约保证金"/>
      <w:bookmarkEnd w:id="96"/>
      <w:r>
        <w:t>履约保证金</w:t>
      </w:r>
    </w:p>
    <w:p w14:paraId="38C2B78F">
      <w:pPr>
        <w:pStyle w:val="38"/>
        <w:numPr>
          <w:ilvl w:val="1"/>
          <w:numId w:val="19"/>
        </w:numPr>
        <w:tabs>
          <w:tab w:val="left" w:pos="724"/>
        </w:tabs>
        <w:spacing w:before="214" w:line="328" w:lineRule="auto"/>
        <w:ind w:right="553" w:hanging="566"/>
        <w:rPr>
          <w:rFonts w:hint="eastAsia"/>
          <w:sz w:val="24"/>
          <w:lang w:eastAsia="zh-CN"/>
        </w:rPr>
      </w:pPr>
      <w:r>
        <w:rPr>
          <w:spacing w:val="-23"/>
          <w:sz w:val="24"/>
          <w:lang w:eastAsia="zh-CN"/>
        </w:rPr>
        <w:t>中标人在与</w:t>
      </w:r>
      <w:r>
        <w:rPr>
          <w:rFonts w:hint="eastAsia"/>
          <w:lang w:eastAsia="zh-CN"/>
        </w:rPr>
        <w:t>招标</w:t>
      </w:r>
      <w:r>
        <w:rPr>
          <w:spacing w:val="-23"/>
          <w:sz w:val="24"/>
          <w:lang w:eastAsia="zh-CN"/>
        </w:rPr>
        <w:t>人签订</w:t>
      </w:r>
      <w:r>
        <w:rPr>
          <w:rFonts w:hint="eastAsia"/>
          <w:spacing w:val="-23"/>
          <w:sz w:val="24"/>
          <w:lang w:eastAsia="zh-CN"/>
        </w:rPr>
        <w:t>招标</w:t>
      </w:r>
      <w:r>
        <w:rPr>
          <w:spacing w:val="-23"/>
          <w:sz w:val="24"/>
          <w:lang w:eastAsia="zh-CN"/>
        </w:rPr>
        <w:t>合同之前，应向</w:t>
      </w:r>
      <w:r>
        <w:rPr>
          <w:rFonts w:hint="eastAsia"/>
          <w:spacing w:val="-23"/>
          <w:sz w:val="24"/>
          <w:lang w:eastAsia="zh-CN"/>
        </w:rPr>
        <w:t>招标</w:t>
      </w:r>
      <w:r>
        <w:rPr>
          <w:spacing w:val="-23"/>
          <w:sz w:val="24"/>
          <w:lang w:eastAsia="zh-CN"/>
        </w:rPr>
        <w:t>人提交“投标人须知前附表”规定的履</w:t>
      </w:r>
      <w:r>
        <w:rPr>
          <w:spacing w:val="-12"/>
          <w:sz w:val="24"/>
          <w:lang w:eastAsia="zh-CN"/>
        </w:rPr>
        <w:t>约保证金。履约保证金按</w:t>
      </w:r>
      <w:r>
        <w:rPr>
          <w:rFonts w:hint="eastAsia"/>
          <w:spacing w:val="-12"/>
          <w:sz w:val="24"/>
          <w:lang w:eastAsia="zh-CN"/>
        </w:rPr>
        <w:t>招标</w:t>
      </w:r>
      <w:r>
        <w:rPr>
          <w:spacing w:val="-12"/>
          <w:sz w:val="24"/>
          <w:lang w:eastAsia="zh-CN"/>
        </w:rPr>
        <w:t>人的要求汇入</w:t>
      </w:r>
      <w:r>
        <w:rPr>
          <w:rFonts w:hint="eastAsia"/>
          <w:spacing w:val="-12"/>
          <w:sz w:val="24"/>
          <w:lang w:eastAsia="zh-CN"/>
        </w:rPr>
        <w:t>招标</w:t>
      </w:r>
      <w:r>
        <w:rPr>
          <w:spacing w:val="-12"/>
          <w:sz w:val="24"/>
          <w:lang w:eastAsia="zh-CN"/>
        </w:rPr>
        <w:t>人指定账户。</w:t>
      </w:r>
    </w:p>
    <w:p w14:paraId="2108BFDE">
      <w:pPr>
        <w:pStyle w:val="38"/>
        <w:numPr>
          <w:ilvl w:val="1"/>
          <w:numId w:val="19"/>
        </w:numPr>
        <w:tabs>
          <w:tab w:val="left" w:pos="839"/>
        </w:tabs>
        <w:spacing w:line="305" w:lineRule="exact"/>
        <w:ind w:left="838" w:hanging="600"/>
        <w:rPr>
          <w:rFonts w:hint="eastAsia"/>
          <w:sz w:val="24"/>
          <w:lang w:eastAsia="zh-CN"/>
        </w:rPr>
      </w:pPr>
      <w:r>
        <w:rPr>
          <w:sz w:val="24"/>
          <w:lang w:eastAsia="zh-CN"/>
        </w:rPr>
        <w:t>履约保证金用于补偿因中标人不能完成其合同义务而使</w:t>
      </w:r>
      <w:r>
        <w:rPr>
          <w:rFonts w:hint="eastAsia"/>
          <w:sz w:val="24"/>
          <w:lang w:eastAsia="zh-CN"/>
        </w:rPr>
        <w:t>招标</w:t>
      </w:r>
      <w:r>
        <w:rPr>
          <w:sz w:val="24"/>
          <w:lang w:eastAsia="zh-CN"/>
        </w:rPr>
        <w:t>人蒙受的损失。</w:t>
      </w:r>
    </w:p>
    <w:p w14:paraId="67B57619">
      <w:pPr>
        <w:pStyle w:val="38"/>
        <w:numPr>
          <w:ilvl w:val="1"/>
          <w:numId w:val="19"/>
        </w:numPr>
        <w:tabs>
          <w:tab w:val="left" w:pos="779"/>
        </w:tabs>
        <w:spacing w:line="420" w:lineRule="atLeast"/>
        <w:ind w:right="573" w:hanging="566"/>
        <w:rPr>
          <w:rFonts w:hint="eastAsia"/>
          <w:sz w:val="24"/>
          <w:lang w:eastAsia="zh-CN"/>
        </w:rPr>
      </w:pPr>
      <w:r>
        <w:rPr>
          <w:spacing w:val="-11"/>
          <w:sz w:val="24"/>
          <w:lang w:eastAsia="zh-CN"/>
        </w:rPr>
        <w:t xml:space="preserve">如果中标人没有按本须知“第 </w:t>
      </w:r>
      <w:r>
        <w:rPr>
          <w:sz w:val="24"/>
          <w:lang w:eastAsia="zh-CN"/>
        </w:rPr>
        <w:t>3</w:t>
      </w:r>
      <w:r>
        <w:rPr>
          <w:rFonts w:hint="eastAsia"/>
          <w:sz w:val="24"/>
          <w:lang w:eastAsia="zh-CN"/>
        </w:rPr>
        <w:t>0</w:t>
      </w:r>
      <w:r>
        <w:rPr>
          <w:spacing w:val="-20"/>
          <w:sz w:val="24"/>
          <w:lang w:eastAsia="zh-CN"/>
        </w:rPr>
        <w:t xml:space="preserve"> 条”规定执行，</w:t>
      </w:r>
      <w:r>
        <w:rPr>
          <w:rFonts w:hint="eastAsia"/>
          <w:spacing w:val="-20"/>
          <w:sz w:val="24"/>
          <w:lang w:eastAsia="zh-CN"/>
        </w:rPr>
        <w:t>招标</w:t>
      </w:r>
      <w:r>
        <w:rPr>
          <w:spacing w:val="-20"/>
          <w:sz w:val="24"/>
          <w:lang w:eastAsia="zh-CN"/>
        </w:rPr>
        <w:t xml:space="preserve">代理机构将按本须知“第 </w:t>
      </w:r>
      <w:r>
        <w:rPr>
          <w:sz w:val="24"/>
          <w:lang w:eastAsia="zh-CN"/>
        </w:rPr>
        <w:t>15.5 条”规定不予退还其交纳的投标保证金。</w:t>
      </w:r>
      <w:r>
        <w:rPr>
          <w:rFonts w:hint="eastAsia"/>
          <w:sz w:val="24"/>
          <w:lang w:eastAsia="zh-CN"/>
        </w:rPr>
        <w:t>招标</w:t>
      </w:r>
      <w:r>
        <w:rPr>
          <w:sz w:val="24"/>
          <w:lang w:eastAsia="zh-CN"/>
        </w:rPr>
        <w:t>人将有充分理由取消该中标决定，</w:t>
      </w:r>
    </w:p>
    <w:p w14:paraId="37807DBE">
      <w:pPr>
        <w:pStyle w:val="8"/>
        <w:spacing w:before="39" w:line="328" w:lineRule="auto"/>
        <w:ind w:left="804" w:right="576"/>
        <w:rPr>
          <w:rFonts w:hint="eastAsia"/>
          <w:lang w:eastAsia="zh-CN"/>
        </w:rPr>
      </w:pPr>
      <w:r>
        <w:rPr>
          <w:lang w:eastAsia="zh-CN"/>
        </w:rPr>
        <w:t>在此情况下可以与排位在中标人之后第一位的中标候选人签订政府</w:t>
      </w:r>
      <w:r>
        <w:rPr>
          <w:rFonts w:hint="eastAsia"/>
          <w:lang w:eastAsia="zh-CN"/>
        </w:rPr>
        <w:t>招标</w:t>
      </w:r>
      <w:r>
        <w:rPr>
          <w:lang w:eastAsia="zh-CN"/>
        </w:rPr>
        <w:t>合同，以此类推，或重新组织招标。</w:t>
      </w:r>
    </w:p>
    <w:p w14:paraId="5764A1A3">
      <w:pPr>
        <w:pStyle w:val="38"/>
        <w:numPr>
          <w:ilvl w:val="1"/>
          <w:numId w:val="19"/>
        </w:numPr>
        <w:tabs>
          <w:tab w:val="left" w:pos="779"/>
        </w:tabs>
        <w:spacing w:line="328" w:lineRule="auto"/>
        <w:ind w:right="577" w:hanging="566"/>
        <w:jc w:val="both"/>
        <w:rPr>
          <w:rFonts w:hint="eastAsia"/>
          <w:lang w:eastAsia="zh-CN"/>
        </w:rPr>
      </w:pPr>
      <w:r>
        <w:rPr>
          <w:spacing w:val="-11"/>
          <w:sz w:val="24"/>
          <w:lang w:eastAsia="zh-CN"/>
        </w:rPr>
        <w:t>履约保证金∶转账、银行保函、电子保险保单方式均可。如采用基本账户转账需缴</w:t>
      </w:r>
      <w:r>
        <w:rPr>
          <w:spacing w:val="-12"/>
          <w:sz w:val="24"/>
          <w:lang w:eastAsia="zh-CN"/>
        </w:rPr>
        <w:t>纳至</w:t>
      </w:r>
      <w:r>
        <w:rPr>
          <w:rFonts w:hint="eastAsia"/>
          <w:spacing w:val="-12"/>
          <w:sz w:val="24"/>
          <w:lang w:eastAsia="zh-CN"/>
        </w:rPr>
        <w:t>招标</w:t>
      </w:r>
      <w:r>
        <w:rPr>
          <w:spacing w:val="-12"/>
          <w:sz w:val="24"/>
          <w:lang w:eastAsia="zh-CN"/>
        </w:rPr>
        <w:t>人指定账户;如采用银行保函需为基本户所在银行开具的不可撤销的、无</w:t>
      </w:r>
      <w:r>
        <w:fldChar w:fldCharType="begin"/>
      </w:r>
      <w:r>
        <w:rPr>
          <w:lang w:eastAsia="zh-CN"/>
        </w:rPr>
        <w:instrText xml:space="preserve"> HYPERLINK "http://www.jxjzjf.com/" \h </w:instrText>
      </w:r>
      <w:r>
        <w:fldChar w:fldCharType="separate"/>
      </w:r>
      <w:r>
        <w:rPr>
          <w:spacing w:val="-12"/>
          <w:sz w:val="24"/>
          <w:lang w:eastAsia="zh-CN"/>
        </w:rPr>
        <w:t>条件先行赔付保函;如采用电子保险保单可通过 www.jxjzjf.com</w:t>
      </w:r>
      <w:r>
        <w:rPr>
          <w:spacing w:val="-12"/>
          <w:sz w:val="24"/>
        </w:rPr>
        <w:fldChar w:fldCharType="end"/>
      </w:r>
      <w:r>
        <w:rPr>
          <w:spacing w:val="-11"/>
          <w:sz w:val="24"/>
          <w:lang w:eastAsia="zh-CN"/>
        </w:rPr>
        <w:t xml:space="preserve"> 网站申请。采用</w:t>
      </w:r>
      <w:r>
        <w:rPr>
          <w:spacing w:val="31"/>
          <w:sz w:val="24"/>
          <w:lang w:eastAsia="zh-CN"/>
        </w:rPr>
        <w:t>电子保函、保险保单等形式需通过银行、保险公司网站</w:t>
      </w:r>
      <w:r>
        <w:rPr>
          <w:sz w:val="24"/>
          <w:lang w:eastAsia="zh-CN"/>
        </w:rPr>
        <w:t>（</w:t>
      </w:r>
      <w:r>
        <w:rPr>
          <w:spacing w:val="11"/>
          <w:sz w:val="24"/>
          <w:lang w:eastAsia="zh-CN"/>
        </w:rPr>
        <w:t xml:space="preserve"> 无需授权</w:t>
      </w:r>
      <w:r>
        <w:rPr>
          <w:sz w:val="24"/>
          <w:lang w:eastAsia="zh-CN"/>
        </w:rPr>
        <w:t>）</w:t>
      </w:r>
      <w:r>
        <w:rPr>
          <w:spacing w:val="-38"/>
          <w:sz w:val="24"/>
          <w:lang w:eastAsia="zh-CN"/>
        </w:rPr>
        <w:t xml:space="preserve"> 或</w:t>
      </w:r>
      <w:r>
        <w:fldChar w:fldCharType="begin"/>
      </w:r>
      <w:r>
        <w:instrText xml:space="preserve"> HYPERLINK "http://www.jxjzjf.com/" \h </w:instrText>
      </w:r>
      <w:r>
        <w:fldChar w:fldCharType="separate"/>
      </w:r>
      <w:r>
        <w:rPr>
          <w:lang w:eastAsia="zh-CN"/>
        </w:rPr>
        <w:t>www.jxjzjf.com</w:t>
      </w:r>
      <w:r>
        <w:rPr>
          <w:spacing w:val="-60"/>
          <w:lang w:eastAsia="zh-CN"/>
        </w:rPr>
        <w:t xml:space="preserve"> </w:t>
      </w:r>
      <w:r>
        <w:rPr>
          <w:spacing w:val="-60"/>
          <w:lang w:eastAsia="zh-CN"/>
        </w:rPr>
        <w:fldChar w:fldCharType="end"/>
      </w:r>
      <w:r>
        <w:rPr>
          <w:lang w:eastAsia="zh-CN"/>
        </w:rPr>
        <w:t>验证查询。</w:t>
      </w:r>
    </w:p>
    <w:p w14:paraId="4A99CC39">
      <w:pPr>
        <w:pStyle w:val="7"/>
        <w:numPr>
          <w:ilvl w:val="0"/>
          <w:numId w:val="19"/>
        </w:numPr>
        <w:tabs>
          <w:tab w:val="left" w:pos="721"/>
        </w:tabs>
        <w:ind w:hanging="482"/>
        <w:rPr>
          <w:rFonts w:hint="eastAsia"/>
        </w:rPr>
      </w:pPr>
      <w:bookmarkStart w:id="97" w:name="30._签订合同"/>
      <w:bookmarkEnd w:id="97"/>
      <w:bookmarkStart w:id="98" w:name="_bookmark34"/>
      <w:bookmarkEnd w:id="98"/>
      <w:r>
        <w:t>签订合同</w:t>
      </w:r>
    </w:p>
    <w:p w14:paraId="093C70AA">
      <w:pPr>
        <w:pStyle w:val="38"/>
        <w:numPr>
          <w:ilvl w:val="1"/>
          <w:numId w:val="19"/>
        </w:numPr>
        <w:tabs>
          <w:tab w:val="left" w:pos="841"/>
        </w:tabs>
        <w:spacing w:before="211" w:line="328" w:lineRule="auto"/>
        <w:ind w:left="718" w:right="573" w:hanging="480"/>
        <w:jc w:val="both"/>
        <w:rPr>
          <w:rFonts w:hint="eastAsia"/>
          <w:sz w:val="24"/>
          <w:lang w:eastAsia="zh-CN"/>
        </w:rPr>
      </w:pPr>
      <w:r>
        <w:rPr>
          <w:sz w:val="24"/>
          <w:lang w:eastAsia="zh-CN"/>
        </w:rPr>
        <w:t>中标人应按中标通知书规定的时间、地点与</w:t>
      </w:r>
      <w:r>
        <w:rPr>
          <w:rFonts w:hint="eastAsia"/>
          <w:sz w:val="24"/>
          <w:lang w:eastAsia="zh-CN"/>
        </w:rPr>
        <w:t>招标</w:t>
      </w:r>
      <w:r>
        <w:rPr>
          <w:sz w:val="24"/>
          <w:lang w:eastAsia="zh-CN"/>
        </w:rPr>
        <w:t>人签订合同，否则按开标后撤回投标处理。</w:t>
      </w:r>
    </w:p>
    <w:p w14:paraId="6EBAE7F2">
      <w:pPr>
        <w:pStyle w:val="38"/>
        <w:numPr>
          <w:ilvl w:val="1"/>
          <w:numId w:val="19"/>
        </w:numPr>
        <w:tabs>
          <w:tab w:val="left" w:pos="839"/>
        </w:tabs>
        <w:spacing w:line="305" w:lineRule="exact"/>
        <w:ind w:left="838" w:hanging="600"/>
        <w:rPr>
          <w:rFonts w:hint="eastAsia"/>
          <w:sz w:val="24"/>
          <w:lang w:eastAsia="zh-CN"/>
        </w:rPr>
      </w:pPr>
      <w:r>
        <w:rPr>
          <w:sz w:val="24"/>
          <w:lang w:eastAsia="zh-CN"/>
        </w:rPr>
        <w:t>招标文件、中标人的投标文件及评标过程中有关澄清文件均为签订合同的依据。</w:t>
      </w:r>
    </w:p>
    <w:p w14:paraId="136125FA">
      <w:pPr>
        <w:pStyle w:val="38"/>
        <w:numPr>
          <w:ilvl w:val="1"/>
          <w:numId w:val="19"/>
        </w:numPr>
        <w:tabs>
          <w:tab w:val="left" w:pos="779"/>
        </w:tabs>
        <w:spacing w:before="112"/>
        <w:ind w:left="778" w:hanging="540"/>
        <w:rPr>
          <w:rFonts w:hint="eastAsia"/>
          <w:sz w:val="24"/>
          <w:lang w:eastAsia="zh-CN"/>
        </w:rPr>
      </w:pPr>
      <w:r>
        <w:rPr>
          <w:sz w:val="24"/>
          <w:lang w:eastAsia="zh-CN"/>
        </w:rPr>
        <w:t>中标通知书是合同的一个组成部分。</w:t>
      </w:r>
    </w:p>
    <w:p w14:paraId="10FAB36D">
      <w:pPr>
        <w:pStyle w:val="38"/>
        <w:numPr>
          <w:ilvl w:val="1"/>
          <w:numId w:val="19"/>
        </w:numPr>
        <w:tabs>
          <w:tab w:val="left" w:pos="779"/>
        </w:tabs>
        <w:spacing w:before="113"/>
        <w:ind w:left="778" w:hanging="540"/>
        <w:rPr>
          <w:rFonts w:hint="eastAsia"/>
          <w:sz w:val="24"/>
          <w:lang w:eastAsia="zh-CN"/>
        </w:rPr>
      </w:pPr>
      <w:r>
        <w:rPr>
          <w:rFonts w:hint="eastAsia"/>
          <w:sz w:val="24"/>
          <w:lang w:eastAsia="zh-CN"/>
        </w:rPr>
        <w:t>招标</w:t>
      </w:r>
      <w:r>
        <w:rPr>
          <w:sz w:val="24"/>
          <w:lang w:eastAsia="zh-CN"/>
        </w:rPr>
        <w:t>人与中标人应当根据合同的约定依法履行合同义务。</w:t>
      </w:r>
    </w:p>
    <w:p w14:paraId="7CC21AA3">
      <w:pPr>
        <w:pStyle w:val="8"/>
        <w:spacing w:before="112" w:line="328" w:lineRule="auto"/>
        <w:ind w:left="238" w:right="573" w:firstLine="480"/>
        <w:rPr>
          <w:rFonts w:hint="eastAsia"/>
          <w:lang w:eastAsia="zh-CN"/>
        </w:rPr>
      </w:pPr>
      <w:r>
        <w:rPr>
          <w:lang w:eastAsia="zh-CN"/>
        </w:rPr>
        <w:t>政府</w:t>
      </w:r>
      <w:r>
        <w:rPr>
          <w:rFonts w:hint="eastAsia"/>
          <w:lang w:eastAsia="zh-CN"/>
        </w:rPr>
        <w:t>招标</w:t>
      </w:r>
      <w:r>
        <w:rPr>
          <w:lang w:eastAsia="zh-CN"/>
        </w:rPr>
        <w:t>合同的履行、违约责任和解决争议的方法等适用《中华人民共和国民法典》。</w:t>
      </w:r>
    </w:p>
    <w:p w14:paraId="3D84C857">
      <w:pPr>
        <w:pStyle w:val="38"/>
        <w:numPr>
          <w:ilvl w:val="1"/>
          <w:numId w:val="19"/>
        </w:numPr>
        <w:tabs>
          <w:tab w:val="left" w:pos="779"/>
        </w:tabs>
        <w:spacing w:line="328" w:lineRule="auto"/>
        <w:ind w:left="718" w:right="577" w:hanging="480"/>
        <w:jc w:val="both"/>
        <w:rPr>
          <w:rFonts w:hint="eastAsia"/>
          <w:sz w:val="24"/>
          <w:lang w:eastAsia="zh-CN"/>
        </w:rPr>
      </w:pPr>
      <w:r>
        <w:rPr>
          <w:rFonts w:hint="eastAsia"/>
          <w:spacing w:val="-6"/>
          <w:sz w:val="24"/>
          <w:lang w:eastAsia="zh-CN"/>
        </w:rPr>
        <w:t>招标</w:t>
      </w:r>
      <w:r>
        <w:rPr>
          <w:spacing w:val="-6"/>
          <w:sz w:val="24"/>
          <w:lang w:eastAsia="zh-CN"/>
        </w:rPr>
        <w:t>人应当加强对中标人的履约管理，并按照</w:t>
      </w:r>
      <w:r>
        <w:rPr>
          <w:rFonts w:hint="eastAsia"/>
          <w:spacing w:val="-6"/>
          <w:sz w:val="24"/>
          <w:lang w:eastAsia="zh-CN"/>
        </w:rPr>
        <w:t>招标</w:t>
      </w:r>
      <w:r>
        <w:rPr>
          <w:spacing w:val="-6"/>
          <w:sz w:val="24"/>
          <w:lang w:eastAsia="zh-CN"/>
        </w:rPr>
        <w:t>合同约定，及时向中标人支付</w:t>
      </w:r>
      <w:r>
        <w:rPr>
          <w:rFonts w:hint="eastAsia"/>
          <w:spacing w:val="-6"/>
          <w:sz w:val="24"/>
          <w:lang w:eastAsia="zh-CN"/>
        </w:rPr>
        <w:t>招标</w:t>
      </w:r>
      <w:r>
        <w:rPr>
          <w:spacing w:val="-8"/>
          <w:sz w:val="24"/>
          <w:lang w:eastAsia="zh-CN"/>
        </w:rPr>
        <w:t>资金。对于中标人违反</w:t>
      </w:r>
      <w:r>
        <w:rPr>
          <w:rFonts w:hint="eastAsia"/>
          <w:spacing w:val="-8"/>
          <w:sz w:val="24"/>
          <w:lang w:eastAsia="zh-CN"/>
        </w:rPr>
        <w:t>招标</w:t>
      </w:r>
      <w:r>
        <w:rPr>
          <w:spacing w:val="-8"/>
          <w:sz w:val="24"/>
          <w:lang w:eastAsia="zh-CN"/>
        </w:rPr>
        <w:t>合同约定的行为，</w:t>
      </w:r>
      <w:r>
        <w:rPr>
          <w:rFonts w:hint="eastAsia"/>
          <w:spacing w:val="-8"/>
          <w:sz w:val="24"/>
          <w:lang w:eastAsia="zh-CN"/>
        </w:rPr>
        <w:t>招标</w:t>
      </w:r>
      <w:r>
        <w:rPr>
          <w:spacing w:val="-8"/>
          <w:sz w:val="24"/>
          <w:lang w:eastAsia="zh-CN"/>
        </w:rPr>
        <w:t>人应当及时处理，依法追究其违约责任。</w:t>
      </w:r>
    </w:p>
    <w:p w14:paraId="2A068574">
      <w:pPr>
        <w:pStyle w:val="38"/>
        <w:numPr>
          <w:ilvl w:val="1"/>
          <w:numId w:val="19"/>
        </w:numPr>
        <w:tabs>
          <w:tab w:val="left" w:pos="779"/>
        </w:tabs>
        <w:spacing w:line="328" w:lineRule="auto"/>
        <w:ind w:left="718" w:right="577" w:hanging="480"/>
        <w:jc w:val="both"/>
        <w:rPr>
          <w:rFonts w:hint="eastAsia"/>
          <w:sz w:val="24"/>
          <w:lang w:eastAsia="zh-CN"/>
        </w:rPr>
      </w:pPr>
      <w:r>
        <w:rPr>
          <w:spacing w:val="-10"/>
          <w:sz w:val="24"/>
          <w:lang w:eastAsia="zh-CN"/>
        </w:rPr>
        <w:t>合同履行中，</w:t>
      </w:r>
      <w:r>
        <w:rPr>
          <w:rFonts w:hint="eastAsia"/>
          <w:spacing w:val="-10"/>
          <w:sz w:val="24"/>
          <w:lang w:eastAsia="zh-CN"/>
        </w:rPr>
        <w:t>招标</w:t>
      </w:r>
      <w:r>
        <w:rPr>
          <w:spacing w:val="-10"/>
          <w:sz w:val="24"/>
          <w:lang w:eastAsia="zh-CN"/>
        </w:rPr>
        <w:t>人需追加与合同标的相同的货物的，在不改变合同其他条款的前</w:t>
      </w:r>
      <w:r>
        <w:rPr>
          <w:spacing w:val="-8"/>
          <w:sz w:val="24"/>
          <w:lang w:eastAsia="zh-CN"/>
        </w:rPr>
        <w:t>提下，可以与中标人协商签订补充合同，但所有补充合同的</w:t>
      </w:r>
      <w:r>
        <w:rPr>
          <w:rFonts w:hint="eastAsia"/>
          <w:spacing w:val="-8"/>
          <w:sz w:val="24"/>
          <w:lang w:eastAsia="zh-CN"/>
        </w:rPr>
        <w:t>招标</w:t>
      </w:r>
      <w:r>
        <w:rPr>
          <w:spacing w:val="-8"/>
          <w:sz w:val="24"/>
          <w:lang w:eastAsia="zh-CN"/>
        </w:rPr>
        <w:t>金额不得超过原合同</w:t>
      </w:r>
      <w:r>
        <w:rPr>
          <w:rFonts w:hint="eastAsia"/>
          <w:spacing w:val="-8"/>
          <w:sz w:val="24"/>
          <w:lang w:eastAsia="zh-CN"/>
        </w:rPr>
        <w:t>招标</w:t>
      </w:r>
      <w:r>
        <w:rPr>
          <w:spacing w:val="-8"/>
          <w:sz w:val="24"/>
          <w:lang w:eastAsia="zh-CN"/>
        </w:rPr>
        <w:t>金额的百分之十。</w:t>
      </w:r>
    </w:p>
    <w:p w14:paraId="573A706E">
      <w:pPr>
        <w:pStyle w:val="38"/>
        <w:numPr>
          <w:ilvl w:val="1"/>
          <w:numId w:val="19"/>
        </w:numPr>
        <w:tabs>
          <w:tab w:val="left" w:pos="779"/>
        </w:tabs>
        <w:spacing w:line="328" w:lineRule="auto"/>
        <w:ind w:left="718" w:right="577" w:hanging="480"/>
        <w:jc w:val="both"/>
        <w:rPr>
          <w:rFonts w:hint="eastAsia"/>
          <w:sz w:val="24"/>
          <w:lang w:eastAsia="zh-CN"/>
        </w:rPr>
      </w:pPr>
      <w:r>
        <w:rPr>
          <w:spacing w:val="-8"/>
          <w:sz w:val="24"/>
          <w:lang w:eastAsia="zh-CN"/>
        </w:rPr>
        <w:t>中标人拒绝与</w:t>
      </w:r>
      <w:r>
        <w:rPr>
          <w:rFonts w:hint="eastAsia"/>
          <w:spacing w:val="-8"/>
          <w:sz w:val="24"/>
          <w:lang w:eastAsia="zh-CN"/>
        </w:rPr>
        <w:t>招标</w:t>
      </w:r>
      <w:r>
        <w:rPr>
          <w:spacing w:val="-8"/>
          <w:sz w:val="24"/>
          <w:lang w:eastAsia="zh-CN"/>
        </w:rPr>
        <w:t>人签订合同的，</w:t>
      </w:r>
      <w:r>
        <w:rPr>
          <w:rFonts w:hint="eastAsia"/>
          <w:spacing w:val="-8"/>
          <w:sz w:val="24"/>
          <w:lang w:eastAsia="zh-CN"/>
        </w:rPr>
        <w:t>招标</w:t>
      </w:r>
      <w:r>
        <w:rPr>
          <w:spacing w:val="-8"/>
          <w:sz w:val="24"/>
          <w:lang w:eastAsia="zh-CN"/>
        </w:rPr>
        <w:t>人可以按照评审报告推荐的中标候选人名单排序，确定下一候选人为中标人，也可以重新开展政府</w:t>
      </w:r>
      <w:r>
        <w:rPr>
          <w:rFonts w:hint="eastAsia"/>
          <w:spacing w:val="-8"/>
          <w:sz w:val="24"/>
          <w:lang w:eastAsia="zh-CN"/>
        </w:rPr>
        <w:t>招标</w:t>
      </w:r>
      <w:r>
        <w:rPr>
          <w:spacing w:val="-8"/>
          <w:sz w:val="24"/>
          <w:lang w:eastAsia="zh-CN"/>
        </w:rPr>
        <w:t>活动；拒绝签订政府</w:t>
      </w:r>
      <w:r>
        <w:rPr>
          <w:rFonts w:hint="eastAsia"/>
          <w:spacing w:val="-8"/>
          <w:sz w:val="24"/>
          <w:lang w:eastAsia="zh-CN"/>
        </w:rPr>
        <w:t>招标</w:t>
      </w:r>
      <w:r>
        <w:rPr>
          <w:spacing w:val="-10"/>
          <w:sz w:val="24"/>
          <w:lang w:eastAsia="zh-CN"/>
        </w:rPr>
        <w:t>合同的中标人不得参加该项目重新开展的</w:t>
      </w:r>
      <w:r>
        <w:rPr>
          <w:rFonts w:hint="eastAsia"/>
          <w:spacing w:val="-10"/>
          <w:sz w:val="24"/>
          <w:lang w:eastAsia="zh-CN"/>
        </w:rPr>
        <w:t>招标</w:t>
      </w:r>
      <w:r>
        <w:rPr>
          <w:spacing w:val="-10"/>
          <w:sz w:val="24"/>
          <w:lang w:eastAsia="zh-CN"/>
        </w:rPr>
        <w:t>活动，并不予退还其交纳的投标保证金。</w:t>
      </w:r>
    </w:p>
    <w:p w14:paraId="77F81C20">
      <w:pPr>
        <w:pStyle w:val="7"/>
        <w:spacing w:before="16"/>
        <w:ind w:left="0" w:right="340"/>
        <w:jc w:val="center"/>
        <w:rPr>
          <w:rFonts w:hint="eastAsia"/>
          <w:lang w:eastAsia="zh-CN"/>
        </w:rPr>
      </w:pPr>
      <w:bookmarkStart w:id="99" w:name="_bookmark35"/>
      <w:bookmarkEnd w:id="99"/>
      <w:bookmarkStart w:id="100" w:name="八、询问和质疑"/>
      <w:bookmarkEnd w:id="100"/>
      <w:bookmarkStart w:id="101" w:name="_Toc7890"/>
      <w:bookmarkStart w:id="102" w:name="_Toc9415"/>
      <w:r>
        <w:rPr>
          <w:lang w:eastAsia="zh-CN"/>
        </w:rPr>
        <w:t>八、询问和质疑</w:t>
      </w:r>
      <w:bookmarkEnd w:id="101"/>
      <w:bookmarkEnd w:id="102"/>
    </w:p>
    <w:p w14:paraId="045BF49C">
      <w:pPr>
        <w:spacing w:before="66"/>
        <w:ind w:left="238"/>
        <w:rPr>
          <w:rFonts w:hint="eastAsia"/>
          <w:b/>
          <w:sz w:val="24"/>
          <w:lang w:eastAsia="zh-CN"/>
        </w:rPr>
      </w:pPr>
      <w:bookmarkStart w:id="103" w:name="_bookmark36"/>
      <w:bookmarkEnd w:id="103"/>
      <w:bookmarkStart w:id="104" w:name="31.询问"/>
      <w:bookmarkEnd w:id="104"/>
      <w:r>
        <w:rPr>
          <w:b/>
          <w:sz w:val="24"/>
          <w:lang w:eastAsia="zh-CN"/>
        </w:rPr>
        <w:t>31.询问</w:t>
      </w:r>
    </w:p>
    <w:p w14:paraId="56C3B73F">
      <w:pPr>
        <w:pStyle w:val="8"/>
        <w:spacing w:before="1"/>
        <w:rPr>
          <w:rFonts w:hint="eastAsia"/>
          <w:b/>
          <w:sz w:val="19"/>
          <w:lang w:eastAsia="zh-CN"/>
        </w:rPr>
      </w:pPr>
    </w:p>
    <w:p w14:paraId="2D59DD08">
      <w:pPr>
        <w:pStyle w:val="8"/>
        <w:ind w:left="238"/>
        <w:rPr>
          <w:rFonts w:hint="eastAsia"/>
          <w:lang w:eastAsia="zh-CN"/>
        </w:rPr>
      </w:pPr>
      <w:r>
        <w:rPr>
          <w:lang w:eastAsia="zh-CN"/>
        </w:rPr>
        <w:t>31.1 投标人对政府</w:t>
      </w:r>
      <w:r>
        <w:rPr>
          <w:rFonts w:hint="eastAsia"/>
          <w:lang w:eastAsia="zh-CN"/>
        </w:rPr>
        <w:t>招标</w:t>
      </w:r>
      <w:r>
        <w:rPr>
          <w:lang w:eastAsia="zh-CN"/>
        </w:rPr>
        <w:t>活动事项有疑问的，可以向</w:t>
      </w:r>
      <w:r>
        <w:rPr>
          <w:rFonts w:hint="eastAsia"/>
          <w:lang w:eastAsia="zh-CN"/>
        </w:rPr>
        <w:t>招标</w:t>
      </w:r>
      <w:r>
        <w:rPr>
          <w:lang w:eastAsia="zh-CN"/>
        </w:rPr>
        <w:t>人或者</w:t>
      </w:r>
      <w:r>
        <w:rPr>
          <w:rFonts w:hint="eastAsia"/>
          <w:lang w:eastAsia="zh-CN"/>
        </w:rPr>
        <w:t>招标</w:t>
      </w:r>
      <w:r>
        <w:rPr>
          <w:lang w:eastAsia="zh-CN"/>
        </w:rPr>
        <w:t>代理机构提出询问，</w:t>
      </w:r>
    </w:p>
    <w:p w14:paraId="6B813A05">
      <w:pPr>
        <w:pStyle w:val="8"/>
        <w:spacing w:before="51"/>
        <w:ind w:left="718"/>
        <w:rPr>
          <w:rFonts w:hint="eastAsia"/>
          <w:lang w:eastAsia="zh-CN"/>
        </w:rPr>
      </w:pPr>
      <w:r>
        <w:rPr>
          <w:rFonts w:hint="eastAsia"/>
          <w:lang w:eastAsia="zh-CN"/>
        </w:rPr>
        <w:t>招标</w:t>
      </w:r>
      <w:r>
        <w:rPr>
          <w:lang w:eastAsia="zh-CN"/>
        </w:rPr>
        <w:t>代理机构应当在 3 个工作日内对投标人依法提出询问做出答复。</w:t>
      </w:r>
    </w:p>
    <w:p w14:paraId="579BC1E8">
      <w:pPr>
        <w:pStyle w:val="7"/>
        <w:ind w:left="238"/>
        <w:rPr>
          <w:rFonts w:hint="eastAsia"/>
        </w:rPr>
      </w:pPr>
      <w:bookmarkStart w:id="105" w:name="_bookmark37"/>
      <w:bookmarkEnd w:id="105"/>
      <w:bookmarkStart w:id="106" w:name="32、质疑"/>
      <w:bookmarkEnd w:id="106"/>
      <w:r>
        <w:t>32、质疑</w:t>
      </w:r>
    </w:p>
    <w:p w14:paraId="0D6AD74C">
      <w:pPr>
        <w:pStyle w:val="38"/>
        <w:numPr>
          <w:ilvl w:val="1"/>
          <w:numId w:val="20"/>
        </w:numPr>
        <w:tabs>
          <w:tab w:val="left" w:pos="841"/>
        </w:tabs>
        <w:spacing w:before="194" w:line="364" w:lineRule="auto"/>
        <w:ind w:right="573" w:hanging="240"/>
        <w:jc w:val="both"/>
        <w:rPr>
          <w:rFonts w:hint="eastAsia"/>
          <w:sz w:val="24"/>
          <w:lang w:eastAsia="zh-CN"/>
        </w:rPr>
      </w:pPr>
      <w:r>
        <w:rPr>
          <w:sz w:val="24"/>
          <w:lang w:eastAsia="zh-CN"/>
        </w:rPr>
        <w:t>投标人认为招标文件、招标过程、中标结果使自己的权益受到损害的，可以在知</w:t>
      </w:r>
      <w:r>
        <w:rPr>
          <w:spacing w:val="-4"/>
          <w:sz w:val="24"/>
          <w:lang w:eastAsia="zh-CN"/>
        </w:rPr>
        <w:t xml:space="preserve">道或者应知其权益受到损害之日起 </w:t>
      </w:r>
      <w:r>
        <w:rPr>
          <w:sz w:val="24"/>
          <w:lang w:eastAsia="zh-CN"/>
        </w:rPr>
        <w:t>7</w:t>
      </w:r>
      <w:r>
        <w:rPr>
          <w:spacing w:val="-11"/>
          <w:sz w:val="24"/>
          <w:lang w:eastAsia="zh-CN"/>
        </w:rPr>
        <w:t xml:space="preserve"> 个工作日内，以书面形式向</w:t>
      </w:r>
      <w:r>
        <w:rPr>
          <w:rFonts w:hint="eastAsia"/>
          <w:spacing w:val="-11"/>
          <w:sz w:val="24"/>
          <w:lang w:eastAsia="zh-CN"/>
        </w:rPr>
        <w:t>招标</w:t>
      </w:r>
      <w:r>
        <w:rPr>
          <w:spacing w:val="-11"/>
          <w:sz w:val="24"/>
          <w:lang w:eastAsia="zh-CN"/>
        </w:rPr>
        <w:t>人、</w:t>
      </w:r>
      <w:r>
        <w:rPr>
          <w:rFonts w:hint="eastAsia"/>
          <w:spacing w:val="-11"/>
          <w:sz w:val="24"/>
          <w:lang w:eastAsia="zh-CN"/>
        </w:rPr>
        <w:t>招标</w:t>
      </w:r>
      <w:r>
        <w:rPr>
          <w:spacing w:val="-11"/>
          <w:sz w:val="24"/>
          <w:lang w:eastAsia="zh-CN"/>
        </w:rPr>
        <w:t>代理机构提出质疑。</w:t>
      </w:r>
    </w:p>
    <w:p w14:paraId="56D2354E">
      <w:pPr>
        <w:pStyle w:val="8"/>
        <w:spacing w:before="2" w:line="364" w:lineRule="auto"/>
        <w:ind w:left="238" w:right="573"/>
        <w:rPr>
          <w:rFonts w:hint="eastAsia"/>
          <w:lang w:eastAsia="zh-CN"/>
        </w:rPr>
      </w:pPr>
      <w:r>
        <w:rPr>
          <w:lang w:eastAsia="zh-CN"/>
        </w:rPr>
        <w:t>1）对可以质疑的招标文件提出质疑的，为收到招标文件之日或者招标文件公告期限届满之日起 7 个工作日内；</w:t>
      </w:r>
    </w:p>
    <w:p w14:paraId="5953E21A">
      <w:pPr>
        <w:pStyle w:val="8"/>
        <w:spacing w:before="1"/>
        <w:ind w:left="238"/>
        <w:rPr>
          <w:rFonts w:hint="eastAsia"/>
          <w:lang w:eastAsia="zh-CN"/>
        </w:rPr>
      </w:pPr>
      <w:r>
        <w:rPr>
          <w:lang w:eastAsia="zh-CN"/>
        </w:rPr>
        <w:t>2）对招标过程提出质疑的，为各招标程序环节结束之日起 7 个工作日内；</w:t>
      </w:r>
    </w:p>
    <w:p w14:paraId="0215E773">
      <w:pPr>
        <w:pStyle w:val="8"/>
        <w:spacing w:before="161"/>
        <w:ind w:left="238"/>
        <w:rPr>
          <w:rFonts w:hint="eastAsia"/>
          <w:lang w:eastAsia="zh-CN"/>
        </w:rPr>
      </w:pPr>
      <w:r>
        <w:rPr>
          <w:lang w:eastAsia="zh-CN"/>
        </w:rPr>
        <w:t>3）对中标结果提出质疑的，为中标结果公告期限届满之日起 7 个工作日内。</w:t>
      </w:r>
    </w:p>
    <w:p w14:paraId="1D5CDEC0">
      <w:pPr>
        <w:pStyle w:val="38"/>
        <w:numPr>
          <w:ilvl w:val="1"/>
          <w:numId w:val="20"/>
        </w:numPr>
        <w:tabs>
          <w:tab w:val="left" w:pos="839"/>
        </w:tabs>
        <w:spacing w:before="160"/>
        <w:ind w:left="838" w:hanging="600"/>
        <w:rPr>
          <w:rFonts w:hint="eastAsia"/>
          <w:sz w:val="24"/>
          <w:lang w:eastAsia="zh-CN"/>
        </w:rPr>
      </w:pPr>
      <w:r>
        <w:rPr>
          <w:sz w:val="24"/>
          <w:lang w:eastAsia="zh-CN"/>
        </w:rPr>
        <w:t>投标人应在法定质疑期内一次性提出针对同一</w:t>
      </w:r>
      <w:r>
        <w:rPr>
          <w:rFonts w:hint="eastAsia"/>
          <w:sz w:val="24"/>
          <w:lang w:eastAsia="zh-CN"/>
        </w:rPr>
        <w:t>招标</w:t>
      </w:r>
      <w:r>
        <w:rPr>
          <w:sz w:val="24"/>
          <w:lang w:eastAsia="zh-CN"/>
        </w:rPr>
        <w:t>程序环节的质疑。</w:t>
      </w:r>
    </w:p>
    <w:p w14:paraId="0EDA3988">
      <w:pPr>
        <w:pStyle w:val="38"/>
        <w:numPr>
          <w:ilvl w:val="1"/>
          <w:numId w:val="20"/>
        </w:numPr>
        <w:tabs>
          <w:tab w:val="left" w:pos="839"/>
        </w:tabs>
        <w:spacing w:before="161"/>
        <w:ind w:left="838" w:hanging="600"/>
        <w:rPr>
          <w:rFonts w:hint="eastAsia"/>
          <w:sz w:val="24"/>
          <w:lang w:eastAsia="zh-CN"/>
        </w:rPr>
      </w:pPr>
      <w:r>
        <w:rPr>
          <w:sz w:val="24"/>
          <w:lang w:eastAsia="zh-CN"/>
        </w:rPr>
        <w:t>提出质疑的投标人应当是参与所质疑项目</w:t>
      </w:r>
      <w:r>
        <w:rPr>
          <w:rFonts w:hint="eastAsia"/>
          <w:sz w:val="24"/>
          <w:lang w:eastAsia="zh-CN"/>
        </w:rPr>
        <w:t>招标</w:t>
      </w:r>
      <w:r>
        <w:rPr>
          <w:sz w:val="24"/>
          <w:lang w:eastAsia="zh-CN"/>
        </w:rPr>
        <w:t>活动的投标人。</w:t>
      </w:r>
    </w:p>
    <w:p w14:paraId="64DDCF5A">
      <w:pPr>
        <w:pStyle w:val="38"/>
        <w:numPr>
          <w:ilvl w:val="1"/>
          <w:numId w:val="20"/>
        </w:numPr>
        <w:tabs>
          <w:tab w:val="left" w:pos="779"/>
        </w:tabs>
        <w:spacing w:before="160"/>
        <w:ind w:left="778" w:hanging="540"/>
        <w:rPr>
          <w:rFonts w:hint="eastAsia"/>
          <w:sz w:val="24"/>
          <w:lang w:eastAsia="zh-CN"/>
        </w:rPr>
      </w:pPr>
      <w:r>
        <w:rPr>
          <w:sz w:val="24"/>
          <w:lang w:eastAsia="zh-CN"/>
        </w:rPr>
        <w:t>潜在投标人已依法获取其可质疑的招标文件的，可以对该文件提出质疑。</w:t>
      </w:r>
    </w:p>
    <w:p w14:paraId="2C688B56">
      <w:pPr>
        <w:pStyle w:val="38"/>
        <w:numPr>
          <w:ilvl w:val="1"/>
          <w:numId w:val="20"/>
        </w:numPr>
        <w:tabs>
          <w:tab w:val="left" w:pos="779"/>
        </w:tabs>
        <w:spacing w:before="161" w:line="364" w:lineRule="auto"/>
        <w:ind w:right="577" w:hanging="240"/>
        <w:jc w:val="both"/>
        <w:rPr>
          <w:rFonts w:hint="eastAsia"/>
          <w:sz w:val="24"/>
          <w:lang w:eastAsia="zh-CN"/>
        </w:rPr>
      </w:pPr>
      <w:r>
        <w:rPr>
          <w:spacing w:val="-5"/>
          <w:sz w:val="24"/>
          <w:lang w:eastAsia="zh-CN"/>
        </w:rPr>
        <w:t>投标人提出质疑应当提交质疑函和必要的证明材料。质疑函应当包括下列内容</w:t>
      </w:r>
      <w:r>
        <w:rPr>
          <w:sz w:val="24"/>
          <w:lang w:eastAsia="zh-CN"/>
        </w:rPr>
        <w:t>（格</w:t>
      </w:r>
      <w:r>
        <w:rPr>
          <w:spacing w:val="-5"/>
          <w:sz w:val="24"/>
          <w:lang w:eastAsia="zh-CN"/>
        </w:rPr>
        <w:t>式参照中国政府</w:t>
      </w:r>
      <w:r>
        <w:rPr>
          <w:rFonts w:hint="eastAsia"/>
          <w:spacing w:val="-5"/>
          <w:sz w:val="24"/>
          <w:lang w:eastAsia="zh-CN"/>
        </w:rPr>
        <w:t>招标</w:t>
      </w:r>
      <w:r>
        <w:rPr>
          <w:spacing w:val="-5"/>
          <w:sz w:val="24"/>
          <w:lang w:eastAsia="zh-CN"/>
        </w:rPr>
        <w:t xml:space="preserve">网 </w:t>
      </w:r>
      <w:r>
        <w:fldChar w:fldCharType="begin"/>
      </w:r>
      <w:r>
        <w:instrText xml:space="preserve"> HYPERLINK "http://www.ccgp.gov.cn/" \h </w:instrText>
      </w:r>
      <w:r>
        <w:fldChar w:fldCharType="separate"/>
      </w:r>
      <w:r>
        <w:rPr>
          <w:sz w:val="24"/>
          <w:lang w:eastAsia="zh-CN"/>
        </w:rPr>
        <w:t>http://www.ccgp.gov.cn/</w:t>
      </w:r>
      <w:r>
        <w:rPr>
          <w:sz w:val="24"/>
          <w:lang w:eastAsia="zh-CN"/>
        </w:rPr>
        <w:fldChar w:fldCharType="end"/>
      </w:r>
      <w:r>
        <w:rPr>
          <w:b/>
          <w:sz w:val="24"/>
          <w:lang w:eastAsia="zh-CN"/>
        </w:rPr>
        <w:t>下载专区</w:t>
      </w:r>
      <w:r>
        <w:rPr>
          <w:sz w:val="24"/>
          <w:lang w:eastAsia="zh-CN"/>
        </w:rPr>
        <w:t>的《政府</w:t>
      </w:r>
      <w:r>
        <w:rPr>
          <w:rFonts w:hint="eastAsia"/>
          <w:sz w:val="24"/>
          <w:lang w:eastAsia="zh-CN"/>
        </w:rPr>
        <w:t>招标</w:t>
      </w:r>
      <w:r>
        <w:rPr>
          <w:sz w:val="24"/>
          <w:lang w:eastAsia="zh-CN"/>
        </w:rPr>
        <w:t>供应商质疑函范本》）。</w:t>
      </w:r>
    </w:p>
    <w:p w14:paraId="41B61B56">
      <w:pPr>
        <w:pStyle w:val="8"/>
        <w:spacing w:before="1"/>
        <w:ind w:left="718"/>
        <w:rPr>
          <w:rFonts w:hint="eastAsia"/>
          <w:lang w:eastAsia="zh-CN"/>
        </w:rPr>
      </w:pPr>
      <w:r>
        <w:rPr>
          <w:lang w:eastAsia="zh-CN"/>
        </w:rPr>
        <w:t>（一）投标人的姓名或者名称、地址、邮编、联系人及联系电话；</w:t>
      </w:r>
    </w:p>
    <w:p w14:paraId="02439BD2">
      <w:pPr>
        <w:pStyle w:val="8"/>
        <w:spacing w:before="161"/>
        <w:ind w:left="718"/>
        <w:rPr>
          <w:rFonts w:hint="eastAsia"/>
          <w:lang w:eastAsia="zh-CN"/>
        </w:rPr>
      </w:pPr>
      <w:r>
        <w:rPr>
          <w:lang w:eastAsia="zh-CN"/>
        </w:rPr>
        <w:t>（二）质疑项目的名称、编号；</w:t>
      </w:r>
    </w:p>
    <w:p w14:paraId="76BD7824">
      <w:pPr>
        <w:pStyle w:val="8"/>
        <w:spacing w:before="160"/>
        <w:ind w:left="718"/>
        <w:rPr>
          <w:rFonts w:hint="eastAsia"/>
          <w:lang w:eastAsia="zh-CN"/>
        </w:rPr>
      </w:pPr>
      <w:r>
        <w:rPr>
          <w:lang w:eastAsia="zh-CN"/>
        </w:rPr>
        <w:t>（三）具体、明确的质疑事项和与质疑事项相关的请求；</w:t>
      </w:r>
    </w:p>
    <w:p w14:paraId="5DB6E767">
      <w:pPr>
        <w:pStyle w:val="8"/>
        <w:spacing w:before="161"/>
        <w:ind w:left="718"/>
        <w:rPr>
          <w:rFonts w:hint="eastAsia"/>
          <w:lang w:eastAsia="zh-CN"/>
        </w:rPr>
      </w:pPr>
      <w:r>
        <w:rPr>
          <w:lang w:eastAsia="zh-CN"/>
        </w:rPr>
        <w:t>（四）事实依据；</w:t>
      </w:r>
    </w:p>
    <w:p w14:paraId="4CD84198">
      <w:pPr>
        <w:pStyle w:val="8"/>
        <w:spacing w:before="160"/>
        <w:ind w:left="718"/>
        <w:rPr>
          <w:rFonts w:hint="eastAsia"/>
          <w:lang w:eastAsia="zh-CN"/>
        </w:rPr>
      </w:pPr>
      <w:r>
        <w:rPr>
          <w:lang w:eastAsia="zh-CN"/>
        </w:rPr>
        <w:t>（五）必要的法律依据；</w:t>
      </w:r>
    </w:p>
    <w:p w14:paraId="1F5942A1">
      <w:pPr>
        <w:pStyle w:val="8"/>
        <w:spacing w:before="161"/>
        <w:ind w:left="718"/>
        <w:rPr>
          <w:rFonts w:hint="eastAsia"/>
          <w:lang w:eastAsia="zh-CN"/>
        </w:rPr>
      </w:pPr>
      <w:r>
        <w:rPr>
          <w:lang w:eastAsia="zh-CN"/>
        </w:rPr>
        <w:t>（六）提出质疑的日期。</w:t>
      </w:r>
    </w:p>
    <w:p w14:paraId="3E5DEF3C">
      <w:pPr>
        <w:pStyle w:val="8"/>
        <w:spacing w:before="160" w:line="364" w:lineRule="auto"/>
        <w:ind w:left="238" w:right="510" w:firstLine="489"/>
        <w:rPr>
          <w:rFonts w:hint="eastAsia"/>
          <w:lang w:eastAsia="zh-CN"/>
        </w:rPr>
      </w:pPr>
      <w:r>
        <w:rPr>
          <w:lang w:eastAsia="zh-CN"/>
        </w:rPr>
        <w:t>投标人为自然人的，应当由本人签字；投标人为法人或者其他组织的，应当由法定代表人、主要负责人，或者其授权代表签字或者盖章，并加盖公章。</w:t>
      </w:r>
    </w:p>
    <w:p w14:paraId="34AF94FC">
      <w:pPr>
        <w:pStyle w:val="8"/>
        <w:spacing w:before="2"/>
        <w:ind w:left="728"/>
        <w:rPr>
          <w:rFonts w:hint="eastAsia"/>
          <w:lang w:eastAsia="zh-CN"/>
        </w:rPr>
      </w:pPr>
      <w:r>
        <w:rPr>
          <w:lang w:eastAsia="zh-CN"/>
        </w:rPr>
        <w:t>对不在</w:t>
      </w:r>
      <w:r>
        <w:rPr>
          <w:rFonts w:hint="eastAsia"/>
          <w:lang w:eastAsia="zh-CN"/>
        </w:rPr>
        <w:t>招标</w:t>
      </w:r>
      <w:r>
        <w:rPr>
          <w:lang w:eastAsia="zh-CN"/>
        </w:rPr>
        <w:t>代理机构现场购买的招标文件质疑的，须同时提供下载招标文件的凭</w:t>
      </w:r>
    </w:p>
    <w:p w14:paraId="4EF34643">
      <w:pPr>
        <w:pStyle w:val="8"/>
        <w:spacing w:before="160"/>
        <w:ind w:left="238"/>
        <w:rPr>
          <w:rFonts w:hint="eastAsia"/>
        </w:rPr>
      </w:pPr>
      <w:r>
        <w:t>证。</w:t>
      </w:r>
    </w:p>
    <w:p w14:paraId="65DB5373">
      <w:pPr>
        <w:pStyle w:val="38"/>
        <w:numPr>
          <w:ilvl w:val="1"/>
          <w:numId w:val="20"/>
        </w:numPr>
        <w:tabs>
          <w:tab w:val="left" w:pos="779"/>
        </w:tabs>
        <w:spacing w:before="161"/>
        <w:ind w:left="778" w:hanging="540"/>
        <w:rPr>
          <w:rFonts w:hint="eastAsia"/>
          <w:sz w:val="24"/>
        </w:rPr>
      </w:pPr>
      <w:r>
        <w:rPr>
          <w:sz w:val="24"/>
        </w:rPr>
        <w:t>质疑函接收方式</w:t>
      </w:r>
    </w:p>
    <w:p w14:paraId="2A1D5E30">
      <w:pPr>
        <w:pStyle w:val="38"/>
        <w:numPr>
          <w:ilvl w:val="2"/>
          <w:numId w:val="20"/>
        </w:numPr>
        <w:tabs>
          <w:tab w:val="left" w:pos="1019"/>
        </w:tabs>
        <w:spacing w:before="160"/>
        <w:rPr>
          <w:rFonts w:hint="eastAsia"/>
          <w:sz w:val="24"/>
        </w:rPr>
      </w:pPr>
      <w:r>
        <w:rPr>
          <w:sz w:val="24"/>
        </w:rPr>
        <w:t>对招标文件质疑</w:t>
      </w:r>
    </w:p>
    <w:p w14:paraId="43B31122">
      <w:pPr>
        <w:pStyle w:val="8"/>
        <w:spacing w:before="161" w:line="364" w:lineRule="auto"/>
        <w:ind w:left="658" w:right="4905"/>
        <w:rPr>
          <w:rFonts w:hint="eastAsia"/>
          <w:lang w:eastAsia="zh-CN"/>
        </w:rPr>
      </w:pPr>
      <w:r>
        <w:rPr>
          <w:lang w:eastAsia="zh-CN"/>
        </w:rPr>
        <w:t>接收部门：</w:t>
      </w:r>
      <w:r>
        <w:rPr>
          <w:rFonts w:hint="eastAsia"/>
          <w:sz w:val="22"/>
          <w:szCs w:val="22"/>
          <w:lang w:eastAsia="zh-CN"/>
        </w:rPr>
        <w:t>浩玟（江西）工程管理有限公司</w:t>
      </w:r>
      <w:r>
        <w:rPr>
          <w:lang w:eastAsia="zh-CN"/>
        </w:rPr>
        <w:t>联系电话：</w:t>
      </w:r>
      <w:r>
        <w:rPr>
          <w:rFonts w:hint="eastAsia"/>
          <w:lang w:eastAsia="zh-CN"/>
        </w:rPr>
        <w:t>18107931521</w:t>
      </w:r>
    </w:p>
    <w:p w14:paraId="47A519F2">
      <w:pPr>
        <w:pStyle w:val="8"/>
        <w:spacing w:before="43" w:line="364" w:lineRule="auto"/>
        <w:ind w:left="658" w:right="3465"/>
        <w:rPr>
          <w:rFonts w:hint="eastAsia"/>
          <w:lang w:eastAsia="zh-CN"/>
        </w:rPr>
      </w:pPr>
      <w:bookmarkStart w:id="107" w:name="第三章拟签订的合同文本"/>
      <w:bookmarkEnd w:id="107"/>
      <w:r>
        <w:rPr>
          <w:spacing w:val="-4"/>
        </w:rPr>
        <w:t>通讯地址：</w:t>
      </w:r>
      <w:r>
        <w:rPr>
          <w:spacing w:val="-31"/>
        </w:rPr>
        <w:t>邮编：</w:t>
      </w:r>
      <w:r>
        <w:rPr>
          <w:rFonts w:hint="eastAsia"/>
          <w:spacing w:val="-31"/>
          <w:lang w:eastAsia="zh-CN"/>
        </w:rPr>
        <w:t>334000</w:t>
      </w:r>
    </w:p>
    <w:p w14:paraId="23E13587">
      <w:pPr>
        <w:pStyle w:val="38"/>
        <w:numPr>
          <w:ilvl w:val="2"/>
          <w:numId w:val="20"/>
        </w:numPr>
        <w:tabs>
          <w:tab w:val="left" w:pos="1019"/>
        </w:tabs>
        <w:spacing w:before="1"/>
        <w:rPr>
          <w:rFonts w:hint="eastAsia"/>
          <w:sz w:val="24"/>
          <w:lang w:eastAsia="zh-CN"/>
        </w:rPr>
      </w:pPr>
      <w:r>
        <w:rPr>
          <w:sz w:val="24"/>
          <w:lang w:eastAsia="zh-CN"/>
        </w:rPr>
        <w:t>对招标过程、中标结果质疑</w:t>
      </w:r>
    </w:p>
    <w:p w14:paraId="11CF4301">
      <w:pPr>
        <w:pStyle w:val="8"/>
        <w:spacing w:before="160" w:line="364" w:lineRule="auto"/>
        <w:ind w:left="658" w:right="4905"/>
        <w:rPr>
          <w:rFonts w:hint="eastAsia"/>
          <w:lang w:eastAsia="zh-CN"/>
        </w:rPr>
      </w:pPr>
      <w:r>
        <w:rPr>
          <w:lang w:eastAsia="zh-CN"/>
        </w:rPr>
        <w:t>接收部门：</w:t>
      </w:r>
      <w:r>
        <w:rPr>
          <w:rFonts w:hint="eastAsia"/>
          <w:sz w:val="22"/>
          <w:szCs w:val="22"/>
          <w:lang w:eastAsia="zh-CN"/>
        </w:rPr>
        <w:t>浩玟（江西）工程管理有限公司</w:t>
      </w:r>
      <w:r>
        <w:rPr>
          <w:lang w:eastAsia="zh-CN"/>
        </w:rPr>
        <w:t>联系电话：</w:t>
      </w:r>
      <w:r>
        <w:rPr>
          <w:rFonts w:hint="eastAsia"/>
          <w:lang w:eastAsia="zh-CN"/>
        </w:rPr>
        <w:t>18107931521</w:t>
      </w:r>
    </w:p>
    <w:p w14:paraId="574A315D">
      <w:pPr>
        <w:pStyle w:val="8"/>
        <w:spacing w:before="2" w:line="364" w:lineRule="auto"/>
        <w:ind w:left="658" w:right="3465"/>
        <w:rPr>
          <w:rFonts w:hint="eastAsia"/>
          <w:lang w:eastAsia="zh-CN"/>
        </w:rPr>
      </w:pPr>
      <w:r>
        <w:rPr>
          <w:spacing w:val="-4"/>
          <w:lang w:eastAsia="zh-CN"/>
        </w:rPr>
        <w:t>通讯地址：</w:t>
      </w:r>
      <w:r>
        <w:rPr>
          <w:spacing w:val="-31"/>
          <w:lang w:eastAsia="zh-CN"/>
        </w:rPr>
        <w:t>邮编：334000</w:t>
      </w:r>
    </w:p>
    <w:p w14:paraId="545498DF">
      <w:pPr>
        <w:pStyle w:val="7"/>
        <w:spacing w:before="1"/>
        <w:ind w:left="0" w:right="337"/>
        <w:jc w:val="center"/>
        <w:rPr>
          <w:rFonts w:hint="eastAsia"/>
          <w:lang w:eastAsia="zh-CN"/>
        </w:rPr>
      </w:pPr>
      <w:bookmarkStart w:id="108" w:name="_Toc1062"/>
      <w:bookmarkStart w:id="109" w:name="_Toc25678"/>
      <w:r>
        <w:rPr>
          <w:lang w:eastAsia="zh-CN"/>
        </w:rPr>
        <w:t>九、</w:t>
      </w:r>
      <w:r>
        <w:rPr>
          <w:rFonts w:hint="eastAsia"/>
          <w:lang w:eastAsia="zh-CN"/>
        </w:rPr>
        <w:t>招标</w:t>
      </w:r>
      <w:r>
        <w:rPr>
          <w:lang w:eastAsia="zh-CN"/>
        </w:rPr>
        <w:t>代理服务费</w:t>
      </w:r>
      <w:bookmarkEnd w:id="108"/>
      <w:bookmarkEnd w:id="109"/>
    </w:p>
    <w:p w14:paraId="4C7985EB">
      <w:pPr>
        <w:pStyle w:val="38"/>
        <w:numPr>
          <w:ilvl w:val="0"/>
          <w:numId w:val="21"/>
        </w:numPr>
        <w:tabs>
          <w:tab w:val="left" w:pos="721"/>
        </w:tabs>
        <w:spacing w:before="199"/>
        <w:ind w:hanging="482"/>
        <w:rPr>
          <w:rFonts w:hint="eastAsia"/>
          <w:b/>
          <w:sz w:val="24"/>
        </w:rPr>
      </w:pPr>
      <w:bookmarkStart w:id="110" w:name="33._采购代理服务费"/>
      <w:bookmarkEnd w:id="110"/>
      <w:bookmarkStart w:id="111" w:name="_bookmark38"/>
      <w:bookmarkEnd w:id="111"/>
      <w:r>
        <w:rPr>
          <w:rFonts w:hint="eastAsia"/>
          <w:b/>
          <w:sz w:val="24"/>
          <w:lang w:eastAsia="zh-CN"/>
        </w:rPr>
        <w:t>招标</w:t>
      </w:r>
      <w:r>
        <w:rPr>
          <w:b/>
          <w:sz w:val="24"/>
        </w:rPr>
        <w:t>代理服务费</w:t>
      </w:r>
    </w:p>
    <w:p w14:paraId="6D135937">
      <w:pPr>
        <w:pStyle w:val="38"/>
        <w:numPr>
          <w:ilvl w:val="1"/>
          <w:numId w:val="21"/>
        </w:numPr>
        <w:tabs>
          <w:tab w:val="left" w:pos="779"/>
        </w:tabs>
        <w:spacing w:before="211" w:line="328" w:lineRule="auto"/>
        <w:ind w:right="573" w:hanging="566"/>
        <w:jc w:val="both"/>
        <w:rPr>
          <w:rFonts w:hint="eastAsia"/>
          <w:sz w:val="24"/>
          <w:lang w:eastAsia="zh-CN"/>
        </w:rPr>
      </w:pPr>
      <w:r>
        <w:rPr>
          <w:spacing w:val="-6"/>
          <w:sz w:val="24"/>
          <w:lang w:eastAsia="zh-CN"/>
        </w:rPr>
        <w:t>如为中标人支付</w:t>
      </w:r>
      <w:r>
        <w:rPr>
          <w:rFonts w:hint="eastAsia"/>
          <w:spacing w:val="-6"/>
          <w:sz w:val="24"/>
          <w:lang w:eastAsia="zh-CN"/>
        </w:rPr>
        <w:t>招标</w:t>
      </w:r>
      <w:r>
        <w:rPr>
          <w:spacing w:val="-6"/>
          <w:sz w:val="24"/>
          <w:lang w:eastAsia="zh-CN"/>
        </w:rPr>
        <w:t>代理服务费，中标人在领取中标通知书时须按“投标人须知前</w:t>
      </w:r>
      <w:r>
        <w:rPr>
          <w:spacing w:val="-1"/>
          <w:sz w:val="24"/>
          <w:lang w:eastAsia="zh-CN"/>
        </w:rPr>
        <w:t>附表”规定的收费标准，向</w:t>
      </w:r>
      <w:r>
        <w:rPr>
          <w:rFonts w:hint="eastAsia"/>
          <w:spacing w:val="-1"/>
          <w:sz w:val="24"/>
          <w:lang w:eastAsia="zh-CN"/>
        </w:rPr>
        <w:t>招标</w:t>
      </w:r>
      <w:r>
        <w:rPr>
          <w:spacing w:val="-1"/>
          <w:sz w:val="24"/>
          <w:lang w:eastAsia="zh-CN"/>
        </w:rPr>
        <w:t>代理机构缴纳</w:t>
      </w:r>
      <w:r>
        <w:rPr>
          <w:rFonts w:hint="eastAsia"/>
          <w:spacing w:val="-1"/>
          <w:sz w:val="24"/>
          <w:lang w:eastAsia="zh-CN"/>
        </w:rPr>
        <w:t>招标</w:t>
      </w:r>
      <w:r>
        <w:rPr>
          <w:spacing w:val="-1"/>
          <w:sz w:val="24"/>
          <w:lang w:eastAsia="zh-CN"/>
        </w:rPr>
        <w:t>代理服务费。在领取代理服务费发票时提供</w:t>
      </w:r>
      <w:r>
        <w:rPr>
          <w:rFonts w:hint="eastAsia"/>
          <w:spacing w:val="-1"/>
          <w:sz w:val="24"/>
          <w:lang w:eastAsia="zh-CN"/>
        </w:rPr>
        <w:t>招标</w:t>
      </w:r>
      <w:r>
        <w:rPr>
          <w:spacing w:val="-1"/>
          <w:sz w:val="24"/>
          <w:lang w:eastAsia="zh-CN"/>
        </w:rPr>
        <w:t>合同一份。</w:t>
      </w:r>
    </w:p>
    <w:p w14:paraId="1A5292D0">
      <w:pPr>
        <w:pStyle w:val="38"/>
        <w:numPr>
          <w:ilvl w:val="1"/>
          <w:numId w:val="21"/>
        </w:numPr>
        <w:tabs>
          <w:tab w:val="left" w:pos="839"/>
        </w:tabs>
        <w:spacing w:line="304" w:lineRule="exact"/>
        <w:ind w:left="838" w:hanging="600"/>
        <w:rPr>
          <w:rFonts w:hint="eastAsia"/>
          <w:sz w:val="24"/>
          <w:lang w:eastAsia="zh-CN"/>
        </w:rPr>
      </w:pPr>
      <w:r>
        <w:rPr>
          <w:rFonts w:hint="eastAsia"/>
          <w:sz w:val="24"/>
          <w:lang w:eastAsia="zh-CN"/>
        </w:rPr>
        <w:t>招标</w:t>
      </w:r>
      <w:r>
        <w:rPr>
          <w:sz w:val="24"/>
          <w:lang w:eastAsia="zh-CN"/>
        </w:rPr>
        <w:t>代理服务费采用银行转账、支票、汇票、本票等非现金形式交纳。</w:t>
      </w:r>
    </w:p>
    <w:p w14:paraId="6CD6E48A">
      <w:pPr>
        <w:pStyle w:val="38"/>
        <w:numPr>
          <w:ilvl w:val="1"/>
          <w:numId w:val="21"/>
        </w:numPr>
        <w:tabs>
          <w:tab w:val="left" w:pos="841"/>
        </w:tabs>
        <w:spacing w:before="113" w:line="328" w:lineRule="auto"/>
        <w:ind w:right="577" w:hanging="566"/>
        <w:rPr>
          <w:rFonts w:hint="eastAsia"/>
          <w:sz w:val="24"/>
          <w:lang w:eastAsia="zh-CN"/>
        </w:rPr>
      </w:pPr>
      <w:r>
        <w:rPr>
          <w:spacing w:val="-4"/>
          <w:sz w:val="24"/>
          <w:lang w:eastAsia="zh-CN"/>
        </w:rPr>
        <w:t xml:space="preserve">中标人如未按本须知“第 </w:t>
      </w:r>
      <w:r>
        <w:rPr>
          <w:sz w:val="24"/>
          <w:lang w:eastAsia="zh-CN"/>
        </w:rPr>
        <w:t>3</w:t>
      </w:r>
      <w:r>
        <w:rPr>
          <w:rFonts w:hint="eastAsia"/>
          <w:sz w:val="24"/>
          <w:lang w:eastAsia="zh-CN"/>
        </w:rPr>
        <w:t>0</w:t>
      </w:r>
      <w:r>
        <w:rPr>
          <w:spacing w:val="-7"/>
          <w:sz w:val="24"/>
          <w:lang w:eastAsia="zh-CN"/>
        </w:rPr>
        <w:t xml:space="preserve"> 条”规定办理，</w:t>
      </w:r>
      <w:r>
        <w:rPr>
          <w:rFonts w:hint="eastAsia"/>
          <w:spacing w:val="-7"/>
          <w:sz w:val="24"/>
          <w:lang w:eastAsia="zh-CN"/>
        </w:rPr>
        <w:t>招标</w:t>
      </w:r>
      <w:r>
        <w:rPr>
          <w:spacing w:val="-7"/>
          <w:sz w:val="24"/>
          <w:lang w:eastAsia="zh-CN"/>
        </w:rPr>
        <w:t xml:space="preserve">代理机构将按本须知“第 </w:t>
      </w:r>
      <w:r>
        <w:rPr>
          <w:sz w:val="24"/>
          <w:lang w:eastAsia="zh-CN"/>
        </w:rPr>
        <w:t>15.5 条”规定不予退还其投标保证金。</w:t>
      </w:r>
    </w:p>
    <w:p w14:paraId="0B0A7E11">
      <w:pPr>
        <w:pStyle w:val="7"/>
        <w:spacing w:before="28"/>
        <w:ind w:left="0" w:right="337"/>
        <w:jc w:val="center"/>
        <w:rPr>
          <w:rFonts w:hint="eastAsia"/>
        </w:rPr>
      </w:pPr>
      <w:bookmarkStart w:id="112" w:name="_bookmark39"/>
      <w:bookmarkEnd w:id="112"/>
      <w:bookmarkStart w:id="113" w:name="十、附则"/>
      <w:bookmarkEnd w:id="113"/>
      <w:bookmarkStart w:id="114" w:name="_Toc23344"/>
      <w:bookmarkStart w:id="115" w:name="_Toc32596"/>
      <w:r>
        <w:t>十、附则</w:t>
      </w:r>
      <w:bookmarkEnd w:id="114"/>
      <w:bookmarkEnd w:id="115"/>
    </w:p>
    <w:p w14:paraId="2C931670">
      <w:pPr>
        <w:pStyle w:val="38"/>
        <w:numPr>
          <w:ilvl w:val="0"/>
          <w:numId w:val="21"/>
        </w:numPr>
        <w:tabs>
          <w:tab w:val="left" w:pos="721"/>
        </w:tabs>
        <w:ind w:hanging="482"/>
        <w:rPr>
          <w:rFonts w:hint="eastAsia"/>
          <w:b/>
          <w:sz w:val="24"/>
        </w:rPr>
      </w:pPr>
      <w:bookmarkStart w:id="116" w:name="_bookmark40"/>
      <w:bookmarkEnd w:id="116"/>
      <w:bookmarkStart w:id="117" w:name="34._解释权"/>
      <w:bookmarkEnd w:id="117"/>
      <w:r>
        <w:rPr>
          <w:b/>
          <w:sz w:val="24"/>
        </w:rPr>
        <w:t>解释权</w:t>
      </w:r>
    </w:p>
    <w:p w14:paraId="21D08C5F">
      <w:pPr>
        <w:pStyle w:val="8"/>
        <w:spacing w:before="211" w:line="328" w:lineRule="auto"/>
        <w:ind w:left="836" w:right="576"/>
        <w:rPr>
          <w:rFonts w:hint="eastAsia"/>
          <w:lang w:eastAsia="zh-CN"/>
        </w:rPr>
      </w:pPr>
      <w:r>
        <w:rPr>
          <w:lang w:eastAsia="zh-CN"/>
        </w:rPr>
        <w:t>本招标文件是根据国家有关法律、法规以及</w:t>
      </w:r>
      <w:r>
        <w:rPr>
          <w:rFonts w:hint="eastAsia"/>
          <w:lang w:eastAsia="zh-CN"/>
        </w:rPr>
        <w:t>招投标</w:t>
      </w:r>
      <w:r>
        <w:rPr>
          <w:lang w:eastAsia="zh-CN"/>
        </w:rPr>
        <w:t>管理有关规定编制，解释权属</w:t>
      </w:r>
      <w:r>
        <w:rPr>
          <w:rFonts w:hint="eastAsia"/>
          <w:lang w:eastAsia="zh-CN"/>
        </w:rPr>
        <w:t>浩玟（江西）工程管理有限公司</w:t>
      </w:r>
      <w:r>
        <w:rPr>
          <w:lang w:eastAsia="zh-CN"/>
        </w:rPr>
        <w:t>。</w:t>
      </w:r>
    </w:p>
    <w:p w14:paraId="58A5EF81">
      <w:pPr>
        <w:rPr>
          <w:rFonts w:hint="eastAsia"/>
          <w:lang w:eastAsia="zh-CN"/>
        </w:rPr>
      </w:pPr>
      <w:bookmarkStart w:id="118" w:name="_bookmark41"/>
      <w:bookmarkEnd w:id="118"/>
      <w:bookmarkStart w:id="119" w:name="_Toc16755"/>
      <w:r>
        <w:rPr>
          <w:lang w:eastAsia="zh-CN"/>
        </w:rPr>
        <w:br w:type="page"/>
      </w:r>
    </w:p>
    <w:p w14:paraId="70E1FD47">
      <w:pPr>
        <w:pStyle w:val="5"/>
        <w:tabs>
          <w:tab w:val="left" w:pos="1283"/>
        </w:tabs>
        <w:spacing w:before="35" w:line="360" w:lineRule="auto"/>
        <w:jc w:val="center"/>
        <w:rPr>
          <w:rFonts w:hint="eastAsia"/>
          <w:lang w:eastAsia="zh-CN"/>
        </w:rPr>
      </w:pPr>
      <w:r>
        <w:rPr>
          <w:lang w:eastAsia="zh-CN"/>
        </w:rPr>
        <w:t>第三章拟签订的合同文本</w:t>
      </w:r>
      <w:bookmarkEnd w:id="119"/>
    </w:p>
    <w:p w14:paraId="28BE8FB2">
      <w:pPr>
        <w:pStyle w:val="8"/>
        <w:spacing w:before="10"/>
        <w:rPr>
          <w:rFonts w:hint="eastAsia"/>
          <w:b/>
          <w:sz w:val="11"/>
          <w:lang w:eastAsia="zh-CN"/>
        </w:rPr>
      </w:pPr>
    </w:p>
    <w:p w14:paraId="319B5FBB">
      <w:pPr>
        <w:pStyle w:val="8"/>
        <w:tabs>
          <w:tab w:val="left" w:pos="3418"/>
        </w:tabs>
        <w:spacing w:before="74"/>
        <w:ind w:left="238"/>
        <w:rPr>
          <w:rFonts w:ascii="Times New Roman" w:eastAsia="Times New Roman"/>
          <w:lang w:eastAsia="zh-CN"/>
        </w:rPr>
      </w:pPr>
      <w:r>
        <w:rPr>
          <w:lang w:eastAsia="zh-CN"/>
        </w:rPr>
        <w:t>甲方（</w:t>
      </w:r>
      <w:r>
        <w:rPr>
          <w:rFonts w:hint="eastAsia"/>
          <w:lang w:eastAsia="zh-CN"/>
        </w:rPr>
        <w:t>招标</w:t>
      </w:r>
      <w:r>
        <w:rPr>
          <w:lang w:eastAsia="zh-CN"/>
        </w:rPr>
        <w:t>单位）：</w:t>
      </w:r>
      <w:r>
        <w:rPr>
          <w:rFonts w:ascii="Times New Roman" w:eastAsia="Times New Roman"/>
          <w:u w:val="single"/>
          <w:lang w:eastAsia="zh-CN"/>
        </w:rPr>
        <w:t xml:space="preserve"> </w:t>
      </w:r>
      <w:r>
        <w:rPr>
          <w:rFonts w:ascii="Times New Roman" w:eastAsia="Times New Roman"/>
          <w:u w:val="single"/>
          <w:lang w:eastAsia="zh-CN"/>
        </w:rPr>
        <w:tab/>
      </w:r>
    </w:p>
    <w:p w14:paraId="30B44806">
      <w:pPr>
        <w:pStyle w:val="8"/>
        <w:spacing w:before="4"/>
        <w:rPr>
          <w:rFonts w:hint="eastAsia" w:ascii="Times New Roman"/>
          <w:sz w:val="17"/>
          <w:lang w:eastAsia="zh-CN"/>
        </w:rPr>
      </w:pPr>
    </w:p>
    <w:p w14:paraId="0F3BE5C6">
      <w:pPr>
        <w:pStyle w:val="8"/>
        <w:tabs>
          <w:tab w:val="left" w:pos="3418"/>
        </w:tabs>
        <w:spacing w:before="74"/>
        <w:ind w:left="238"/>
        <w:rPr>
          <w:rFonts w:ascii="Times New Roman" w:eastAsia="Times New Roman"/>
          <w:lang w:eastAsia="zh-CN"/>
        </w:rPr>
      </w:pPr>
      <w:r>
        <w:rPr>
          <w:lang w:eastAsia="zh-CN"/>
        </w:rPr>
        <w:t>乙方（服务单位）：</w:t>
      </w:r>
      <w:r>
        <w:rPr>
          <w:rFonts w:ascii="Times New Roman" w:eastAsia="Times New Roman"/>
          <w:u w:val="single"/>
          <w:lang w:eastAsia="zh-CN"/>
        </w:rPr>
        <w:t xml:space="preserve"> </w:t>
      </w:r>
      <w:r>
        <w:rPr>
          <w:rFonts w:ascii="Times New Roman" w:eastAsia="Times New Roman"/>
          <w:u w:val="single"/>
          <w:lang w:eastAsia="zh-CN"/>
        </w:rPr>
        <w:tab/>
      </w:r>
    </w:p>
    <w:p w14:paraId="07EA9D5F">
      <w:pPr>
        <w:pStyle w:val="8"/>
        <w:spacing w:before="4"/>
        <w:rPr>
          <w:rFonts w:hint="eastAsia" w:ascii="Times New Roman"/>
          <w:sz w:val="17"/>
          <w:lang w:eastAsia="zh-CN"/>
        </w:rPr>
      </w:pPr>
    </w:p>
    <w:p w14:paraId="4EA40114">
      <w:pPr>
        <w:pStyle w:val="8"/>
        <w:tabs>
          <w:tab w:val="left" w:pos="2398"/>
          <w:tab w:val="left" w:pos="3118"/>
          <w:tab w:val="left" w:pos="3838"/>
        </w:tabs>
        <w:spacing w:before="74"/>
        <w:ind w:left="238"/>
        <w:rPr>
          <w:rFonts w:hint="eastAsia"/>
          <w:lang w:eastAsia="zh-CN"/>
        </w:rPr>
      </w:pPr>
      <w:r>
        <w:rPr>
          <w:lang w:eastAsia="zh-CN"/>
        </w:rPr>
        <w:t>签订时间：</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04CA459E">
      <w:pPr>
        <w:pStyle w:val="8"/>
        <w:spacing w:before="2"/>
        <w:rPr>
          <w:rFonts w:hint="eastAsia"/>
          <w:sz w:val="21"/>
          <w:lang w:eastAsia="zh-CN"/>
        </w:rPr>
      </w:pPr>
    </w:p>
    <w:p w14:paraId="5EDD80B5">
      <w:pPr>
        <w:pStyle w:val="8"/>
        <w:ind w:left="238"/>
        <w:rPr>
          <w:rFonts w:hint="eastAsia"/>
          <w:lang w:eastAsia="zh-CN"/>
        </w:rPr>
      </w:pPr>
      <w:r>
        <w:rPr>
          <w:lang w:eastAsia="zh-CN"/>
        </w:rPr>
        <w:t>签订地点：</w:t>
      </w:r>
    </w:p>
    <w:p w14:paraId="729F9670">
      <w:pPr>
        <w:pStyle w:val="8"/>
        <w:tabs>
          <w:tab w:val="left" w:pos="4771"/>
          <w:tab w:val="left" w:pos="5491"/>
          <w:tab w:val="left" w:pos="6211"/>
        </w:tabs>
        <w:spacing w:before="112"/>
        <w:ind w:left="238"/>
        <w:rPr>
          <w:rFonts w:hint="eastAsia"/>
          <w:lang w:eastAsia="zh-CN"/>
        </w:rPr>
      </w:pPr>
      <w:r>
        <w:rPr>
          <w:lang w:eastAsia="zh-CN"/>
        </w:rPr>
        <w:t>根</w:t>
      </w:r>
      <w:r>
        <w:rPr>
          <w:spacing w:val="-12"/>
          <w:lang w:eastAsia="zh-CN"/>
        </w:rPr>
        <w:t>据</w:t>
      </w:r>
      <w:r>
        <w:rPr>
          <w:spacing w:val="-3"/>
          <w:lang w:eastAsia="zh-CN"/>
        </w:rPr>
        <w:t>《</w:t>
      </w:r>
      <w:r>
        <w:rPr>
          <w:lang w:eastAsia="zh-CN"/>
        </w:rPr>
        <w:t>中华人民共和国民法典</w:t>
      </w:r>
      <w:r>
        <w:rPr>
          <w:spacing w:val="-12"/>
          <w:lang w:eastAsia="zh-CN"/>
        </w:rPr>
        <w:t>》</w:t>
      </w:r>
      <w:r>
        <w:rPr>
          <w:lang w:eastAsia="zh-CN"/>
        </w:rPr>
        <w:t>及</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spacing w:val="-12"/>
          <w:lang w:eastAsia="zh-CN"/>
        </w:rPr>
        <w:t>日</w:t>
      </w:r>
      <w:r>
        <w:rPr>
          <w:lang w:eastAsia="zh-CN"/>
        </w:rPr>
        <w:t>（招标代理机构名称</w:t>
      </w:r>
      <w:r>
        <w:rPr>
          <w:spacing w:val="-12"/>
          <w:lang w:eastAsia="zh-CN"/>
        </w:rPr>
        <w:t>）</w:t>
      </w:r>
      <w:r>
        <w:rPr>
          <w:lang w:eastAsia="zh-CN"/>
        </w:rPr>
        <w:t>关于</w:t>
      </w:r>
    </w:p>
    <w:p w14:paraId="6F5B3C19">
      <w:pPr>
        <w:pStyle w:val="8"/>
        <w:tabs>
          <w:tab w:val="left" w:pos="1198"/>
          <w:tab w:val="left" w:pos="6391"/>
        </w:tabs>
        <w:spacing w:before="74" w:line="297" w:lineRule="auto"/>
        <w:ind w:left="238" w:right="457"/>
        <w:rPr>
          <w:rFonts w:hint="eastAsia"/>
          <w:lang w:eastAsia="zh-CN"/>
        </w:rPr>
      </w:pPr>
      <w:r>
        <w:rPr>
          <w:rFonts w:ascii="Times New Roman" w:eastAsia="Times New Roman"/>
          <w:u w:val="single"/>
          <w:lang w:eastAsia="zh-CN"/>
        </w:rPr>
        <w:t xml:space="preserve"> </w:t>
      </w:r>
      <w:r>
        <w:rPr>
          <w:rFonts w:ascii="Times New Roman" w:eastAsia="Times New Roman"/>
          <w:u w:val="single"/>
          <w:lang w:eastAsia="zh-CN"/>
        </w:rPr>
        <w:tab/>
      </w:r>
      <w:r>
        <w:rPr>
          <w:lang w:eastAsia="zh-CN"/>
        </w:rPr>
        <w:t>项目的招标结果和招标文</w:t>
      </w:r>
      <w:r>
        <w:rPr>
          <w:spacing w:val="-44"/>
          <w:lang w:eastAsia="zh-CN"/>
        </w:rPr>
        <w:t>件</w:t>
      </w:r>
      <w:r>
        <w:rPr>
          <w:lang w:eastAsia="zh-CN"/>
        </w:rPr>
        <w:t>（招标编号：</w:t>
      </w:r>
      <w:r>
        <w:rPr>
          <w:lang w:eastAsia="zh-CN"/>
        </w:rPr>
        <w:tab/>
      </w:r>
      <w:r>
        <w:rPr>
          <w:spacing w:val="-41"/>
          <w:lang w:eastAsia="zh-CN"/>
        </w:rPr>
        <w:t>）</w:t>
      </w:r>
      <w:r>
        <w:rPr>
          <w:lang w:eastAsia="zh-CN"/>
        </w:rPr>
        <w:t>的要求</w:t>
      </w:r>
      <w:r>
        <w:rPr>
          <w:spacing w:val="-44"/>
          <w:lang w:eastAsia="zh-CN"/>
        </w:rPr>
        <w:t>，</w:t>
      </w:r>
      <w:r>
        <w:rPr>
          <w:lang w:eastAsia="zh-CN"/>
        </w:rPr>
        <w:t>经双方协商一致， 签订本合同</w:t>
      </w:r>
      <w:r>
        <w:rPr>
          <w:spacing w:val="-17"/>
          <w:lang w:eastAsia="zh-CN"/>
        </w:rPr>
        <w:t>。</w:t>
      </w:r>
      <w:r>
        <w:rPr>
          <w:lang w:eastAsia="zh-CN"/>
        </w:rPr>
        <w:t>详细价格</w:t>
      </w:r>
      <w:r>
        <w:rPr>
          <w:spacing w:val="-17"/>
          <w:lang w:eastAsia="zh-CN"/>
        </w:rPr>
        <w:t>、</w:t>
      </w:r>
      <w:r>
        <w:rPr>
          <w:lang w:eastAsia="zh-CN"/>
        </w:rPr>
        <w:t>服务和技术说明</w:t>
      </w:r>
      <w:r>
        <w:rPr>
          <w:spacing w:val="-17"/>
          <w:lang w:eastAsia="zh-CN"/>
        </w:rPr>
        <w:t>、</w:t>
      </w:r>
      <w:r>
        <w:rPr>
          <w:lang w:eastAsia="zh-CN"/>
        </w:rPr>
        <w:t>及其他有关合同标的的特定信息由合同附件予以说明</w:t>
      </w:r>
      <w:r>
        <w:rPr>
          <w:spacing w:val="-17"/>
          <w:lang w:eastAsia="zh-CN"/>
        </w:rPr>
        <w:t>，</w:t>
      </w:r>
      <w:r>
        <w:rPr>
          <w:lang w:eastAsia="zh-CN"/>
        </w:rPr>
        <w:t>所有附件及本项目的招投标文件</w:t>
      </w:r>
      <w:r>
        <w:rPr>
          <w:spacing w:val="-17"/>
          <w:lang w:eastAsia="zh-CN"/>
        </w:rPr>
        <w:t>、</w:t>
      </w:r>
      <w:r>
        <w:rPr>
          <w:lang w:eastAsia="zh-CN"/>
        </w:rPr>
        <w:t>会议纪要</w:t>
      </w:r>
      <w:r>
        <w:rPr>
          <w:spacing w:val="-17"/>
          <w:lang w:eastAsia="zh-CN"/>
        </w:rPr>
        <w:t>、</w:t>
      </w:r>
      <w:r>
        <w:rPr>
          <w:lang w:eastAsia="zh-CN"/>
        </w:rPr>
        <w:t>协议等均为本合同不可分割之一部分。</w:t>
      </w:r>
    </w:p>
    <w:p w14:paraId="1A1D7D33">
      <w:pPr>
        <w:pStyle w:val="7"/>
        <w:spacing w:line="301" w:lineRule="exact"/>
        <w:ind w:left="478"/>
        <w:rPr>
          <w:rFonts w:hint="eastAsia"/>
          <w:lang w:eastAsia="zh-CN"/>
        </w:rPr>
      </w:pPr>
      <w:bookmarkStart w:id="120" w:name="_Toc29692"/>
      <w:bookmarkStart w:id="121" w:name="_Toc2874"/>
      <w:r>
        <w:rPr>
          <w:lang w:eastAsia="zh-CN"/>
        </w:rPr>
        <w:t>1. 定义</w:t>
      </w:r>
      <w:bookmarkEnd w:id="120"/>
      <w:bookmarkEnd w:id="121"/>
    </w:p>
    <w:p w14:paraId="7858D994">
      <w:pPr>
        <w:pStyle w:val="8"/>
        <w:spacing w:before="72"/>
        <w:ind w:left="718"/>
        <w:rPr>
          <w:rFonts w:hint="eastAsia"/>
          <w:lang w:eastAsia="zh-CN"/>
        </w:rPr>
      </w:pPr>
      <w:r>
        <w:rPr>
          <w:lang w:eastAsia="zh-CN"/>
        </w:rPr>
        <w:t>本合同下列术语应解释为：</w:t>
      </w:r>
    </w:p>
    <w:p w14:paraId="039FEA9F">
      <w:pPr>
        <w:pStyle w:val="8"/>
        <w:spacing w:before="74" w:line="295" w:lineRule="auto"/>
        <w:ind w:left="1404" w:right="576" w:hanging="567"/>
        <w:rPr>
          <w:rFonts w:hint="eastAsia"/>
          <w:lang w:eastAsia="zh-CN"/>
        </w:rPr>
      </w:pPr>
      <w:r>
        <w:rPr>
          <w:lang w:eastAsia="zh-CN"/>
        </w:rPr>
        <w:t>1）“合同” 是指买卖双方签署的、合同格式中载明的买卖双方所达成的协议， 包括所有的附件、附录和构成合同的其它文件。</w:t>
      </w:r>
    </w:p>
    <w:p w14:paraId="28F87FF3">
      <w:pPr>
        <w:pStyle w:val="8"/>
        <w:spacing w:before="2" w:line="297" w:lineRule="auto"/>
        <w:ind w:left="1438" w:right="514" w:hanging="600"/>
        <w:rPr>
          <w:rFonts w:hint="eastAsia"/>
          <w:lang w:eastAsia="zh-CN"/>
        </w:rPr>
      </w:pPr>
      <w:r>
        <w:rPr>
          <w:lang w:eastAsia="zh-CN"/>
        </w:rPr>
        <w:t>2）“合同价”是指根据本合同规定供方在正确地完全履行合同义务后买方应支付给供方的价款。</w:t>
      </w:r>
    </w:p>
    <w:p w14:paraId="60514ADE">
      <w:pPr>
        <w:pStyle w:val="8"/>
        <w:spacing w:line="306" w:lineRule="exact"/>
        <w:ind w:left="840"/>
        <w:rPr>
          <w:rFonts w:hint="eastAsia"/>
          <w:lang w:eastAsia="zh-CN"/>
        </w:rPr>
      </w:pPr>
      <w:r>
        <w:rPr>
          <w:lang w:eastAsia="zh-CN"/>
        </w:rPr>
        <w:t>3）“买方”是指购买相关服务的</w:t>
      </w:r>
      <w:r>
        <w:rPr>
          <w:rFonts w:hint="eastAsia"/>
          <w:lang w:eastAsia="zh-CN"/>
        </w:rPr>
        <w:t>招标</w:t>
      </w:r>
      <w:r>
        <w:rPr>
          <w:lang w:eastAsia="zh-CN"/>
        </w:rPr>
        <w:t>人。</w:t>
      </w:r>
    </w:p>
    <w:p w14:paraId="29B20C54">
      <w:pPr>
        <w:pStyle w:val="8"/>
        <w:spacing w:before="72"/>
        <w:ind w:left="840"/>
        <w:rPr>
          <w:rFonts w:hint="eastAsia"/>
          <w:lang w:eastAsia="zh-CN"/>
        </w:rPr>
      </w:pPr>
      <w:r>
        <w:rPr>
          <w:lang w:eastAsia="zh-CN"/>
        </w:rPr>
        <w:t>4）“供方”是指根据合同规定提供相关服务的中标人。</w:t>
      </w:r>
    </w:p>
    <w:p w14:paraId="2E8FB8A6">
      <w:pPr>
        <w:pStyle w:val="8"/>
        <w:spacing w:before="74"/>
        <w:ind w:left="840"/>
        <w:rPr>
          <w:rFonts w:hint="eastAsia"/>
          <w:lang w:eastAsia="zh-CN"/>
        </w:rPr>
      </w:pPr>
      <w:r>
        <w:rPr>
          <w:lang w:eastAsia="zh-CN"/>
        </w:rPr>
        <w:t>5）“现场”系指合同项下服务提供地点。</w:t>
      </w:r>
    </w:p>
    <w:p w14:paraId="5AAB92BE">
      <w:pPr>
        <w:pStyle w:val="8"/>
        <w:spacing w:before="72" w:line="295" w:lineRule="auto"/>
        <w:ind w:left="1196" w:right="529" w:hanging="360"/>
        <w:rPr>
          <w:rFonts w:hint="eastAsia"/>
          <w:lang w:eastAsia="zh-CN"/>
        </w:rPr>
      </w:pPr>
      <w:r>
        <w:rPr>
          <w:lang w:eastAsia="zh-CN"/>
        </w:rPr>
        <w:t>6）“验收”系指合同双方依据规定的程序和条件确认合同项下的服务符合规范要求的活动。</w:t>
      </w:r>
    </w:p>
    <w:p w14:paraId="03296615">
      <w:pPr>
        <w:pStyle w:val="7"/>
        <w:spacing w:before="4"/>
        <w:ind w:left="238"/>
        <w:rPr>
          <w:rFonts w:hint="eastAsia"/>
        </w:rPr>
      </w:pPr>
      <w:bookmarkStart w:id="122" w:name="_Toc21453"/>
      <w:bookmarkStart w:id="123" w:name="_Toc15396"/>
      <w:r>
        <w:t>2.规范要求</w:t>
      </w:r>
      <w:bookmarkEnd w:id="122"/>
      <w:bookmarkEnd w:id="123"/>
    </w:p>
    <w:p w14:paraId="663DEC0C">
      <w:pPr>
        <w:pStyle w:val="38"/>
        <w:numPr>
          <w:ilvl w:val="1"/>
          <w:numId w:val="22"/>
        </w:numPr>
        <w:tabs>
          <w:tab w:val="left" w:pos="659"/>
        </w:tabs>
        <w:spacing w:before="72" w:line="295" w:lineRule="auto"/>
        <w:ind w:right="576" w:hanging="425"/>
        <w:rPr>
          <w:rFonts w:hint="eastAsia"/>
          <w:sz w:val="24"/>
          <w:lang w:eastAsia="zh-CN"/>
        </w:rPr>
      </w:pPr>
      <w:r>
        <w:rPr>
          <w:sz w:val="24"/>
          <w:lang w:eastAsia="zh-CN"/>
        </w:rPr>
        <w:t>提供相关服务的规范应与招标文件规定的规范和规范附件（如果有的话）及其投标文件的服务需求偏离表（如果被买方接受的话）相一致。</w:t>
      </w:r>
    </w:p>
    <w:p w14:paraId="70957FF2">
      <w:pPr>
        <w:pStyle w:val="38"/>
        <w:numPr>
          <w:ilvl w:val="1"/>
          <w:numId w:val="22"/>
        </w:numPr>
        <w:tabs>
          <w:tab w:val="left" w:pos="659"/>
        </w:tabs>
        <w:spacing w:before="4"/>
        <w:ind w:hanging="425"/>
        <w:rPr>
          <w:rFonts w:hint="eastAsia"/>
          <w:sz w:val="24"/>
          <w:lang w:eastAsia="zh-CN"/>
        </w:rPr>
      </w:pPr>
      <w:r>
        <w:rPr>
          <w:sz w:val="24"/>
          <w:lang w:eastAsia="zh-CN"/>
        </w:rPr>
        <w:t>若规范要求中无相应说明，则以国家有关部门最新颁布的相应标准及规范为准。</w:t>
      </w:r>
    </w:p>
    <w:p w14:paraId="325A53DC">
      <w:pPr>
        <w:pStyle w:val="7"/>
        <w:spacing w:before="72"/>
        <w:ind w:left="238"/>
        <w:rPr>
          <w:rFonts w:hint="eastAsia"/>
          <w:lang w:eastAsia="zh-CN"/>
        </w:rPr>
      </w:pPr>
      <w:bookmarkStart w:id="124" w:name="_Toc26555"/>
      <w:bookmarkStart w:id="125" w:name="_Toc13016"/>
      <w:r>
        <w:rPr>
          <w:lang w:eastAsia="zh-CN"/>
        </w:rPr>
        <w:t>3. 专利权</w:t>
      </w:r>
      <w:bookmarkEnd w:id="124"/>
      <w:bookmarkEnd w:id="125"/>
    </w:p>
    <w:p w14:paraId="4E4FFCF5">
      <w:pPr>
        <w:pStyle w:val="8"/>
        <w:spacing w:before="71" w:line="297" w:lineRule="auto"/>
        <w:ind w:left="663" w:right="576" w:hanging="425"/>
        <w:jc w:val="both"/>
        <w:rPr>
          <w:rFonts w:hint="eastAsia"/>
          <w:lang w:eastAsia="zh-CN"/>
        </w:rPr>
      </w:pPr>
      <w:r>
        <w:rPr>
          <w:lang w:eastAsia="zh-CN"/>
        </w:rPr>
        <w:t>3.1</w:t>
      </w:r>
      <w:r>
        <w:rPr>
          <w:spacing w:val="-8"/>
          <w:lang w:eastAsia="zh-CN"/>
        </w:rPr>
        <w:t xml:space="preserve"> 供方应保护买方在使用供方提供的服务时不受第三方提出侵犯专利权、商标权、著作权或其它知识产权起诉的指控。如果任何第三方提出侵权指控，供方须与第三方交涉并承担可能发生的一切法律责任和费用。</w:t>
      </w:r>
    </w:p>
    <w:p w14:paraId="6DA81B44">
      <w:pPr>
        <w:pStyle w:val="7"/>
        <w:spacing w:line="304" w:lineRule="exact"/>
        <w:ind w:left="238"/>
        <w:rPr>
          <w:rFonts w:hint="eastAsia"/>
          <w:lang w:eastAsia="zh-CN"/>
        </w:rPr>
      </w:pPr>
      <w:bookmarkStart w:id="126" w:name="_Toc11907"/>
      <w:bookmarkStart w:id="127" w:name="_Toc21974"/>
      <w:r>
        <w:rPr>
          <w:lang w:eastAsia="zh-CN"/>
        </w:rPr>
        <w:t>4.服务期限和服务地点</w:t>
      </w:r>
      <w:bookmarkEnd w:id="126"/>
      <w:bookmarkEnd w:id="127"/>
    </w:p>
    <w:p w14:paraId="652AFEDB">
      <w:pPr>
        <w:pStyle w:val="8"/>
        <w:spacing w:before="74"/>
        <w:ind w:left="238"/>
        <w:rPr>
          <w:rFonts w:hint="eastAsia"/>
          <w:lang w:eastAsia="zh-CN"/>
        </w:rPr>
      </w:pPr>
      <w:r>
        <w:rPr>
          <w:lang w:eastAsia="zh-CN"/>
        </w:rPr>
        <w:t>4.1 服务期限和服务地点详见</w:t>
      </w:r>
      <w:r>
        <w:rPr>
          <w:rFonts w:hint="eastAsia"/>
          <w:lang w:eastAsia="zh-CN"/>
        </w:rPr>
        <w:t>招标</w:t>
      </w:r>
      <w:r>
        <w:rPr>
          <w:lang w:eastAsia="zh-CN"/>
        </w:rPr>
        <w:t>需求表。</w:t>
      </w:r>
    </w:p>
    <w:p w14:paraId="3D7FFAD7">
      <w:pPr>
        <w:pStyle w:val="7"/>
        <w:numPr>
          <w:ilvl w:val="0"/>
          <w:numId w:val="23"/>
        </w:numPr>
        <w:tabs>
          <w:tab w:val="left" w:pos="601"/>
        </w:tabs>
        <w:spacing w:before="72"/>
        <w:ind w:hanging="362"/>
        <w:rPr>
          <w:rFonts w:hint="eastAsia"/>
        </w:rPr>
      </w:pPr>
      <w:bookmarkStart w:id="128" w:name="_Toc11582"/>
      <w:bookmarkStart w:id="129" w:name="_Toc15460"/>
      <w:r>
        <w:t>付款方式</w:t>
      </w:r>
      <w:bookmarkEnd w:id="128"/>
      <w:bookmarkEnd w:id="129"/>
    </w:p>
    <w:p w14:paraId="71C6D76E">
      <w:pPr>
        <w:pStyle w:val="38"/>
        <w:numPr>
          <w:ilvl w:val="1"/>
          <w:numId w:val="23"/>
        </w:numPr>
        <w:tabs>
          <w:tab w:val="left" w:pos="719"/>
        </w:tabs>
        <w:spacing w:before="72" w:line="336" w:lineRule="auto"/>
        <w:ind w:right="3405" w:hanging="586"/>
        <w:rPr>
          <w:rFonts w:hint="eastAsia"/>
          <w:sz w:val="24"/>
          <w:lang w:eastAsia="zh-CN"/>
        </w:rPr>
      </w:pPr>
      <w:r>
        <w:rPr>
          <w:sz w:val="24"/>
          <w:lang w:eastAsia="zh-CN"/>
        </w:rPr>
        <w:t>付款方式按招标文件第五章中“商务条件”中的规定。本合同供货单位指定的收款账户：</w:t>
      </w:r>
    </w:p>
    <w:p w14:paraId="7443822E">
      <w:pPr>
        <w:pStyle w:val="8"/>
        <w:tabs>
          <w:tab w:val="left" w:pos="4123"/>
        </w:tabs>
        <w:spacing w:before="36" w:line="343" w:lineRule="auto"/>
        <w:ind w:left="824" w:right="5760"/>
        <w:jc w:val="both"/>
        <w:rPr>
          <w:rFonts w:ascii="Times New Roman" w:eastAsia="Times New Roman"/>
          <w:lang w:eastAsia="zh-CN"/>
        </w:rPr>
      </w:pPr>
      <w:r>
        <w:rPr>
          <w:lang w:eastAsia="zh-CN"/>
        </w:rPr>
        <w:t>户名：</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r>
        <w:rPr>
          <w:lang w:eastAsia="zh-CN"/>
        </w:rPr>
        <w:t>开户行：</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r>
        <w:rPr>
          <w:lang w:eastAsia="zh-CN"/>
        </w:rPr>
        <w:t>账号：</w:t>
      </w:r>
      <w:r>
        <w:rPr>
          <w:rFonts w:ascii="Times New Roman" w:eastAsia="Times New Roman"/>
          <w:u w:val="single"/>
          <w:lang w:eastAsia="zh-CN"/>
        </w:rPr>
        <w:t xml:space="preserve"> </w:t>
      </w:r>
      <w:r>
        <w:rPr>
          <w:rFonts w:ascii="Times New Roman" w:eastAsia="Times New Roman"/>
          <w:u w:val="single"/>
          <w:lang w:eastAsia="zh-CN"/>
        </w:rPr>
        <w:tab/>
      </w:r>
    </w:p>
    <w:p w14:paraId="5CE61C37">
      <w:pPr>
        <w:pStyle w:val="7"/>
        <w:numPr>
          <w:ilvl w:val="0"/>
          <w:numId w:val="23"/>
        </w:numPr>
        <w:tabs>
          <w:tab w:val="left" w:pos="601"/>
        </w:tabs>
        <w:spacing w:line="260" w:lineRule="exact"/>
        <w:ind w:hanging="362"/>
        <w:rPr>
          <w:rFonts w:hint="eastAsia"/>
        </w:rPr>
      </w:pPr>
      <w:bookmarkStart w:id="130" w:name="_Toc28226"/>
      <w:bookmarkStart w:id="131" w:name="_Toc9421"/>
      <w:r>
        <w:t>相关资料</w:t>
      </w:r>
      <w:bookmarkEnd w:id="130"/>
      <w:bookmarkEnd w:id="131"/>
    </w:p>
    <w:p w14:paraId="02D54D6A">
      <w:pPr>
        <w:pStyle w:val="38"/>
        <w:numPr>
          <w:ilvl w:val="1"/>
          <w:numId w:val="23"/>
        </w:numPr>
        <w:tabs>
          <w:tab w:val="left" w:pos="659"/>
        </w:tabs>
        <w:spacing w:before="72"/>
        <w:ind w:left="658" w:hanging="420"/>
        <w:rPr>
          <w:rFonts w:hint="eastAsia"/>
          <w:sz w:val="24"/>
          <w:lang w:eastAsia="zh-CN"/>
        </w:rPr>
      </w:pPr>
      <w:r>
        <w:rPr>
          <w:sz w:val="24"/>
          <w:lang w:eastAsia="zh-CN"/>
        </w:rPr>
        <w:t>合同项下提供服务的相关技术资料按</w:t>
      </w:r>
      <w:r>
        <w:rPr>
          <w:rFonts w:hint="eastAsia"/>
          <w:sz w:val="24"/>
          <w:lang w:eastAsia="zh-CN"/>
        </w:rPr>
        <w:t>招标</w:t>
      </w:r>
      <w:r>
        <w:rPr>
          <w:sz w:val="24"/>
          <w:lang w:eastAsia="zh-CN"/>
        </w:rPr>
        <w:t>人要求提供。</w:t>
      </w:r>
    </w:p>
    <w:p w14:paraId="4C079068">
      <w:pPr>
        <w:pStyle w:val="7"/>
        <w:numPr>
          <w:ilvl w:val="0"/>
          <w:numId w:val="23"/>
        </w:numPr>
        <w:tabs>
          <w:tab w:val="left" w:pos="601"/>
        </w:tabs>
        <w:spacing w:before="72"/>
        <w:ind w:hanging="362"/>
        <w:rPr>
          <w:rFonts w:hint="eastAsia"/>
        </w:rPr>
      </w:pPr>
      <w:bookmarkStart w:id="132" w:name="_Toc18425"/>
      <w:bookmarkStart w:id="133" w:name="_Toc32663"/>
      <w:r>
        <w:t>质量保证期</w:t>
      </w:r>
      <w:bookmarkEnd w:id="132"/>
      <w:bookmarkEnd w:id="133"/>
    </w:p>
    <w:p w14:paraId="593BC8C3">
      <w:pPr>
        <w:pStyle w:val="38"/>
        <w:numPr>
          <w:ilvl w:val="1"/>
          <w:numId w:val="23"/>
        </w:numPr>
        <w:tabs>
          <w:tab w:val="left" w:pos="719"/>
        </w:tabs>
        <w:spacing w:before="74" w:line="295" w:lineRule="auto"/>
        <w:ind w:left="862" w:right="577" w:hanging="624"/>
        <w:rPr>
          <w:rFonts w:hint="eastAsia"/>
          <w:sz w:val="24"/>
          <w:lang w:eastAsia="zh-CN"/>
        </w:rPr>
      </w:pPr>
      <w:r>
        <w:rPr>
          <w:spacing w:val="-3"/>
          <w:sz w:val="24"/>
          <w:lang w:eastAsia="zh-CN"/>
        </w:rPr>
        <w:t>服务成果的质量保证期按招标文件第五章中“商务条件”中的规定。如投标人承诺的质保期优于招标文件规定的，按优于的执行。</w:t>
      </w:r>
    </w:p>
    <w:p w14:paraId="6591CFA8">
      <w:pPr>
        <w:pStyle w:val="7"/>
        <w:numPr>
          <w:ilvl w:val="0"/>
          <w:numId w:val="23"/>
        </w:numPr>
        <w:tabs>
          <w:tab w:val="left" w:pos="601"/>
        </w:tabs>
        <w:spacing w:before="2"/>
        <w:ind w:hanging="362"/>
        <w:rPr>
          <w:rFonts w:hint="eastAsia"/>
        </w:rPr>
      </w:pPr>
      <w:bookmarkStart w:id="134" w:name="_Toc30549"/>
      <w:bookmarkStart w:id="135" w:name="_Toc27254"/>
      <w:r>
        <w:t>延期提供服务</w:t>
      </w:r>
      <w:bookmarkEnd w:id="134"/>
      <w:bookmarkEnd w:id="135"/>
    </w:p>
    <w:p w14:paraId="25D852AC">
      <w:pPr>
        <w:pStyle w:val="38"/>
        <w:numPr>
          <w:ilvl w:val="1"/>
          <w:numId w:val="23"/>
        </w:numPr>
        <w:tabs>
          <w:tab w:val="left" w:pos="719"/>
        </w:tabs>
        <w:spacing w:before="74"/>
        <w:ind w:left="804" w:hanging="566"/>
        <w:rPr>
          <w:rFonts w:hint="eastAsia"/>
          <w:sz w:val="24"/>
          <w:lang w:eastAsia="zh-CN"/>
        </w:rPr>
      </w:pPr>
      <w:r>
        <w:rPr>
          <w:sz w:val="24"/>
          <w:lang w:eastAsia="zh-CN"/>
        </w:rPr>
        <w:t>供方应按照“</w:t>
      </w:r>
      <w:r>
        <w:rPr>
          <w:rFonts w:hint="eastAsia"/>
          <w:sz w:val="24"/>
          <w:lang w:eastAsia="zh-CN"/>
        </w:rPr>
        <w:t>招标</w:t>
      </w:r>
      <w:r>
        <w:rPr>
          <w:sz w:val="24"/>
          <w:lang w:eastAsia="zh-CN"/>
        </w:rPr>
        <w:t>需求表”中买方规定的时间表提供服务。</w:t>
      </w:r>
    </w:p>
    <w:p w14:paraId="76E866E0">
      <w:pPr>
        <w:pStyle w:val="38"/>
        <w:numPr>
          <w:ilvl w:val="1"/>
          <w:numId w:val="23"/>
        </w:numPr>
        <w:tabs>
          <w:tab w:val="left" w:pos="719"/>
        </w:tabs>
        <w:spacing w:before="72" w:line="297" w:lineRule="auto"/>
        <w:ind w:left="804" w:right="577" w:hanging="566"/>
        <w:jc w:val="both"/>
        <w:rPr>
          <w:rFonts w:hint="eastAsia"/>
          <w:sz w:val="24"/>
          <w:lang w:eastAsia="zh-CN"/>
        </w:rPr>
      </w:pPr>
      <w:r>
        <w:rPr>
          <w:spacing w:val="-4"/>
          <w:sz w:val="24"/>
          <w:lang w:eastAsia="zh-CN"/>
        </w:rPr>
        <w:t>在履行合同过程中，如果供方遇到不能按时提供服务的情况，应及时以书面形式将</w:t>
      </w:r>
      <w:r>
        <w:rPr>
          <w:spacing w:val="-1"/>
          <w:sz w:val="24"/>
          <w:lang w:eastAsia="zh-CN"/>
        </w:rPr>
        <w:t>不能按时提供服务的理由、延误时间通知买方。买方在收到供方通知后，应进行分析，如果同意，可通过修改合同，酌情延长时间。</w:t>
      </w:r>
    </w:p>
    <w:p w14:paraId="4CBF89C6">
      <w:pPr>
        <w:pStyle w:val="38"/>
        <w:numPr>
          <w:ilvl w:val="1"/>
          <w:numId w:val="23"/>
        </w:numPr>
        <w:tabs>
          <w:tab w:val="left" w:pos="719"/>
        </w:tabs>
        <w:spacing w:line="295" w:lineRule="auto"/>
        <w:ind w:left="804" w:right="577" w:hanging="566"/>
        <w:rPr>
          <w:rFonts w:hint="eastAsia"/>
          <w:sz w:val="24"/>
          <w:lang w:eastAsia="zh-CN"/>
        </w:rPr>
      </w:pPr>
      <w:r>
        <w:rPr>
          <w:spacing w:val="-4"/>
          <w:sz w:val="24"/>
          <w:lang w:eastAsia="zh-CN"/>
        </w:rPr>
        <w:t>如果供方毫无理由地拖延提供服务，将受到以下制裁：没收履约保证金，加收违约损失赔偿和/或终止合同。</w:t>
      </w:r>
    </w:p>
    <w:p w14:paraId="6B154812">
      <w:pPr>
        <w:pStyle w:val="7"/>
        <w:numPr>
          <w:ilvl w:val="0"/>
          <w:numId w:val="23"/>
        </w:numPr>
        <w:tabs>
          <w:tab w:val="left" w:pos="601"/>
        </w:tabs>
        <w:ind w:hanging="362"/>
        <w:rPr>
          <w:rFonts w:hint="eastAsia"/>
        </w:rPr>
      </w:pPr>
      <w:bookmarkStart w:id="136" w:name="_Toc21045"/>
      <w:bookmarkStart w:id="137" w:name="_Toc15188"/>
      <w:r>
        <w:t>违约赔偿</w:t>
      </w:r>
      <w:bookmarkEnd w:id="136"/>
      <w:bookmarkEnd w:id="137"/>
    </w:p>
    <w:p w14:paraId="2A7ABDE5">
      <w:pPr>
        <w:pStyle w:val="38"/>
        <w:numPr>
          <w:ilvl w:val="1"/>
          <w:numId w:val="23"/>
        </w:numPr>
        <w:tabs>
          <w:tab w:val="left" w:pos="659"/>
        </w:tabs>
        <w:spacing w:before="72" w:line="297" w:lineRule="auto"/>
        <w:ind w:left="747" w:right="577" w:hanging="509"/>
        <w:jc w:val="both"/>
        <w:rPr>
          <w:rFonts w:hint="eastAsia"/>
          <w:sz w:val="24"/>
          <w:lang w:eastAsia="zh-CN"/>
        </w:rPr>
      </w:pPr>
      <w:r>
        <w:rPr>
          <w:spacing w:val="-12"/>
          <w:sz w:val="24"/>
          <w:lang w:eastAsia="zh-CN"/>
        </w:rPr>
        <w:t>除合同第</w:t>
      </w:r>
      <w:r>
        <w:rPr>
          <w:sz w:val="24"/>
          <w:lang w:eastAsia="zh-CN"/>
        </w:rPr>
        <w:t>10</w:t>
      </w:r>
      <w:r>
        <w:rPr>
          <w:spacing w:val="-14"/>
          <w:sz w:val="24"/>
          <w:lang w:eastAsia="zh-CN"/>
        </w:rPr>
        <w:t>条规定外，如果供方没有按照合同规定的时间提供服务，买方可从合同</w:t>
      </w:r>
      <w:r>
        <w:rPr>
          <w:spacing w:val="-5"/>
          <w:sz w:val="24"/>
          <w:lang w:eastAsia="zh-CN"/>
        </w:rPr>
        <w:t>款中扣除违约赔偿费，赔偿费应按每延迟一周，按合同总价的</w:t>
      </w:r>
      <w:r>
        <w:rPr>
          <w:sz w:val="24"/>
          <w:lang w:eastAsia="zh-CN"/>
        </w:rPr>
        <w:t>1%计收。但违约赔</w:t>
      </w:r>
      <w:r>
        <w:rPr>
          <w:spacing w:val="-5"/>
          <w:sz w:val="24"/>
          <w:lang w:eastAsia="zh-CN"/>
        </w:rPr>
        <w:t>偿费的最高限额为合同总价的</w:t>
      </w:r>
      <w:r>
        <w:rPr>
          <w:sz w:val="24"/>
          <w:lang w:eastAsia="zh-CN"/>
        </w:rPr>
        <w:t>10%</w:t>
      </w:r>
      <w:r>
        <w:rPr>
          <w:spacing w:val="-15"/>
          <w:sz w:val="24"/>
          <w:lang w:eastAsia="zh-CN"/>
        </w:rPr>
        <w:t>。一周按</w:t>
      </w:r>
      <w:r>
        <w:rPr>
          <w:sz w:val="24"/>
          <w:lang w:eastAsia="zh-CN"/>
        </w:rPr>
        <w:t>7</w:t>
      </w:r>
      <w:r>
        <w:rPr>
          <w:spacing w:val="-17"/>
          <w:sz w:val="24"/>
          <w:lang w:eastAsia="zh-CN"/>
        </w:rPr>
        <w:t>天计算，不足</w:t>
      </w:r>
      <w:r>
        <w:rPr>
          <w:sz w:val="24"/>
          <w:lang w:eastAsia="zh-CN"/>
        </w:rPr>
        <w:t>7</w:t>
      </w:r>
      <w:r>
        <w:rPr>
          <w:spacing w:val="-8"/>
          <w:sz w:val="24"/>
          <w:lang w:eastAsia="zh-CN"/>
        </w:rPr>
        <w:t>天按一周计算。如果供方在达到最高限额后仍不能履行提供服务的义务，买方可考虑终止合同。</w:t>
      </w:r>
    </w:p>
    <w:p w14:paraId="41D3CEA3">
      <w:pPr>
        <w:pStyle w:val="7"/>
        <w:numPr>
          <w:ilvl w:val="0"/>
          <w:numId w:val="23"/>
        </w:numPr>
        <w:tabs>
          <w:tab w:val="left" w:pos="721"/>
        </w:tabs>
        <w:spacing w:line="301" w:lineRule="exact"/>
        <w:ind w:left="720" w:hanging="482"/>
        <w:rPr>
          <w:rFonts w:hint="eastAsia"/>
        </w:rPr>
      </w:pPr>
      <w:bookmarkStart w:id="138" w:name="_Toc25361"/>
      <w:bookmarkStart w:id="139" w:name="_Toc21271"/>
      <w:r>
        <w:t>不可抗力</w:t>
      </w:r>
      <w:bookmarkEnd w:id="138"/>
      <w:bookmarkEnd w:id="139"/>
    </w:p>
    <w:p w14:paraId="75AB11E3">
      <w:pPr>
        <w:pStyle w:val="38"/>
        <w:numPr>
          <w:ilvl w:val="1"/>
          <w:numId w:val="23"/>
        </w:numPr>
        <w:tabs>
          <w:tab w:val="left" w:pos="841"/>
        </w:tabs>
        <w:spacing w:before="74" w:line="295" w:lineRule="auto"/>
        <w:ind w:left="804" w:right="573" w:hanging="566"/>
        <w:jc w:val="both"/>
        <w:rPr>
          <w:rFonts w:hint="eastAsia"/>
          <w:sz w:val="24"/>
          <w:lang w:eastAsia="zh-CN"/>
        </w:rPr>
      </w:pPr>
      <w:r>
        <w:rPr>
          <w:sz w:val="24"/>
          <w:lang w:eastAsia="zh-CN"/>
        </w:rPr>
        <w:t>如果双方中任何一方由于战争、严重火灾、水灾、台风和地震以及其它经双方同意属于不可抗力的事故，致使合同履行受阻时，履行合同的期限应予延长，延长的期限应相当于事故所影响的时间。</w:t>
      </w:r>
    </w:p>
    <w:p w14:paraId="3EDA2707">
      <w:pPr>
        <w:pStyle w:val="38"/>
        <w:numPr>
          <w:ilvl w:val="1"/>
          <w:numId w:val="23"/>
        </w:numPr>
        <w:tabs>
          <w:tab w:val="left" w:pos="841"/>
        </w:tabs>
        <w:spacing w:before="5" w:line="297" w:lineRule="auto"/>
        <w:ind w:left="778" w:right="573" w:hanging="540"/>
        <w:jc w:val="both"/>
        <w:rPr>
          <w:rFonts w:hint="eastAsia"/>
          <w:sz w:val="24"/>
          <w:lang w:eastAsia="zh-CN"/>
        </w:rPr>
      </w:pPr>
      <w:r>
        <w:rPr>
          <w:sz w:val="24"/>
          <w:lang w:eastAsia="zh-CN"/>
        </w:rPr>
        <w:t>受事故影响的一方应在不可抗力的事故发生后尽快以书面形式通知另一方，并在</w:t>
      </w:r>
      <w:r>
        <w:rPr>
          <w:spacing w:val="-10"/>
          <w:sz w:val="24"/>
          <w:lang w:eastAsia="zh-CN"/>
        </w:rPr>
        <w:t>事故发生后</w:t>
      </w:r>
      <w:r>
        <w:rPr>
          <w:sz w:val="24"/>
          <w:lang w:eastAsia="zh-CN"/>
        </w:rPr>
        <w:t>14</w:t>
      </w:r>
      <w:r>
        <w:rPr>
          <w:spacing w:val="-8"/>
          <w:sz w:val="24"/>
          <w:lang w:eastAsia="zh-CN"/>
        </w:rPr>
        <w:t>天内，将有关部门出具的有效证明文件寄给或送给另一方。如果不</w:t>
      </w:r>
      <w:r>
        <w:rPr>
          <w:spacing w:val="-13"/>
          <w:sz w:val="24"/>
          <w:lang w:eastAsia="zh-CN"/>
        </w:rPr>
        <w:t>可抗力影响时间持延续</w:t>
      </w:r>
      <w:r>
        <w:rPr>
          <w:sz w:val="24"/>
          <w:lang w:eastAsia="zh-CN"/>
        </w:rPr>
        <w:t>120</w:t>
      </w:r>
      <w:r>
        <w:rPr>
          <w:spacing w:val="-14"/>
          <w:sz w:val="24"/>
          <w:lang w:eastAsia="zh-CN"/>
        </w:rPr>
        <w:t>天以上，双方应通过友好协商在合理的时间内达成进一步履行合同的协议。</w:t>
      </w:r>
    </w:p>
    <w:p w14:paraId="5218113B">
      <w:pPr>
        <w:pStyle w:val="7"/>
        <w:numPr>
          <w:ilvl w:val="0"/>
          <w:numId w:val="23"/>
        </w:numPr>
        <w:tabs>
          <w:tab w:val="left" w:pos="721"/>
        </w:tabs>
        <w:spacing w:line="302" w:lineRule="exact"/>
        <w:ind w:left="720" w:hanging="482"/>
        <w:rPr>
          <w:rFonts w:hint="eastAsia"/>
        </w:rPr>
      </w:pPr>
      <w:bookmarkStart w:id="140" w:name="_Toc4826"/>
      <w:bookmarkStart w:id="141" w:name="_Toc21632"/>
      <w:r>
        <w:t>税费</w:t>
      </w:r>
      <w:bookmarkEnd w:id="140"/>
      <w:bookmarkEnd w:id="141"/>
    </w:p>
    <w:p w14:paraId="0059EE89">
      <w:pPr>
        <w:pStyle w:val="38"/>
        <w:numPr>
          <w:ilvl w:val="1"/>
          <w:numId w:val="23"/>
        </w:numPr>
        <w:tabs>
          <w:tab w:val="left" w:pos="839"/>
        </w:tabs>
        <w:spacing w:before="72"/>
        <w:ind w:left="838" w:hanging="600"/>
        <w:rPr>
          <w:rFonts w:hint="eastAsia"/>
          <w:sz w:val="24"/>
          <w:lang w:eastAsia="zh-CN"/>
        </w:rPr>
      </w:pPr>
      <w:r>
        <w:rPr>
          <w:sz w:val="24"/>
          <w:lang w:eastAsia="zh-CN"/>
        </w:rPr>
        <w:t>根据国家现行税法对买方征收的与本合同有关的一切税费均由买方负担。</w:t>
      </w:r>
    </w:p>
    <w:p w14:paraId="1520B90A">
      <w:pPr>
        <w:pStyle w:val="38"/>
        <w:numPr>
          <w:ilvl w:val="1"/>
          <w:numId w:val="23"/>
        </w:numPr>
        <w:tabs>
          <w:tab w:val="left" w:pos="839"/>
        </w:tabs>
        <w:spacing w:before="74"/>
        <w:ind w:left="838" w:hanging="600"/>
        <w:rPr>
          <w:rFonts w:hint="eastAsia"/>
          <w:sz w:val="24"/>
          <w:lang w:eastAsia="zh-CN"/>
        </w:rPr>
      </w:pPr>
      <w:r>
        <w:rPr>
          <w:sz w:val="24"/>
          <w:lang w:eastAsia="zh-CN"/>
        </w:rPr>
        <w:t>根据国家现行税法对供方征收的与本合同有关的一切税费均由供方负担。</w:t>
      </w:r>
    </w:p>
    <w:p w14:paraId="2367821D">
      <w:pPr>
        <w:pStyle w:val="38"/>
        <w:numPr>
          <w:ilvl w:val="1"/>
          <w:numId w:val="23"/>
        </w:numPr>
        <w:tabs>
          <w:tab w:val="left" w:pos="839"/>
        </w:tabs>
        <w:spacing w:before="72"/>
        <w:ind w:left="838" w:hanging="600"/>
        <w:rPr>
          <w:rFonts w:hint="eastAsia"/>
          <w:sz w:val="24"/>
          <w:lang w:eastAsia="zh-CN"/>
        </w:rPr>
      </w:pPr>
      <w:r>
        <w:rPr>
          <w:sz w:val="24"/>
          <w:lang w:eastAsia="zh-CN"/>
        </w:rPr>
        <w:t>在中国境外发生的与本合同执行有关的一切税费均由供方负担。</w:t>
      </w:r>
    </w:p>
    <w:p w14:paraId="54F74D56">
      <w:pPr>
        <w:pStyle w:val="7"/>
        <w:numPr>
          <w:ilvl w:val="0"/>
          <w:numId w:val="23"/>
        </w:numPr>
        <w:tabs>
          <w:tab w:val="left" w:pos="721"/>
        </w:tabs>
        <w:spacing w:before="71"/>
        <w:ind w:left="720" w:hanging="482"/>
        <w:rPr>
          <w:rFonts w:hint="eastAsia"/>
        </w:rPr>
      </w:pPr>
      <w:bookmarkStart w:id="142" w:name="_Toc32456"/>
      <w:bookmarkStart w:id="143" w:name="_Toc18418"/>
      <w:r>
        <w:t>仲裁</w:t>
      </w:r>
      <w:bookmarkEnd w:id="142"/>
      <w:bookmarkEnd w:id="143"/>
    </w:p>
    <w:p w14:paraId="2E5EAE24">
      <w:pPr>
        <w:pStyle w:val="38"/>
        <w:numPr>
          <w:ilvl w:val="1"/>
          <w:numId w:val="23"/>
        </w:numPr>
        <w:tabs>
          <w:tab w:val="left" w:pos="841"/>
        </w:tabs>
        <w:spacing w:before="74" w:line="295" w:lineRule="auto"/>
        <w:ind w:left="804" w:right="573" w:hanging="566"/>
        <w:jc w:val="both"/>
        <w:rPr>
          <w:rFonts w:hint="eastAsia"/>
          <w:sz w:val="24"/>
          <w:lang w:eastAsia="zh-CN"/>
        </w:rPr>
      </w:pPr>
      <w:r>
        <w:rPr>
          <w:sz w:val="24"/>
          <w:lang w:eastAsia="zh-CN"/>
        </w:rPr>
        <w:t>买卖双方应通过友好协商，解决在执行本合同中所发生的或与本合同有关的一切争端，</w:t>
      </w:r>
      <w:r>
        <w:rPr>
          <w:rFonts w:hint="eastAsia"/>
          <w:sz w:val="24"/>
          <w:lang w:eastAsia="zh-CN"/>
        </w:rPr>
        <w:t>如果协商得不到解决，任何一方均可以提交上饶仲裁委员会调解和仲裁。</w:t>
      </w:r>
    </w:p>
    <w:p w14:paraId="014B6303">
      <w:pPr>
        <w:pStyle w:val="38"/>
        <w:numPr>
          <w:ilvl w:val="1"/>
          <w:numId w:val="23"/>
        </w:numPr>
        <w:tabs>
          <w:tab w:val="left" w:pos="839"/>
        </w:tabs>
        <w:spacing w:before="48"/>
        <w:ind w:left="838" w:hanging="600"/>
        <w:rPr>
          <w:rFonts w:hint="eastAsia"/>
          <w:sz w:val="24"/>
          <w:lang w:eastAsia="zh-CN"/>
        </w:rPr>
      </w:pPr>
      <w:r>
        <w:rPr>
          <w:sz w:val="24"/>
          <w:lang w:eastAsia="zh-CN"/>
        </w:rPr>
        <w:t>仲裁裁决应为终局裁决，对双方均具有约束力。</w:t>
      </w:r>
    </w:p>
    <w:p w14:paraId="44222BF4">
      <w:pPr>
        <w:pStyle w:val="38"/>
        <w:numPr>
          <w:ilvl w:val="1"/>
          <w:numId w:val="23"/>
        </w:numPr>
        <w:tabs>
          <w:tab w:val="left" w:pos="839"/>
        </w:tabs>
        <w:spacing w:before="72"/>
        <w:ind w:left="838" w:hanging="600"/>
        <w:rPr>
          <w:rFonts w:hint="eastAsia"/>
          <w:sz w:val="24"/>
          <w:lang w:eastAsia="zh-CN"/>
        </w:rPr>
      </w:pPr>
      <w:r>
        <w:rPr>
          <w:sz w:val="24"/>
          <w:lang w:eastAsia="zh-CN"/>
        </w:rPr>
        <w:t>仲裁费除仲裁机构另有裁决外应由败诉方负担。</w:t>
      </w:r>
    </w:p>
    <w:p w14:paraId="6DFCFC84">
      <w:pPr>
        <w:pStyle w:val="38"/>
        <w:numPr>
          <w:ilvl w:val="1"/>
          <w:numId w:val="23"/>
        </w:numPr>
        <w:tabs>
          <w:tab w:val="left" w:pos="839"/>
        </w:tabs>
        <w:spacing w:before="72"/>
        <w:ind w:left="838" w:hanging="600"/>
        <w:rPr>
          <w:rFonts w:hint="eastAsia"/>
          <w:sz w:val="24"/>
          <w:lang w:eastAsia="zh-CN"/>
        </w:rPr>
      </w:pPr>
      <w:r>
        <w:rPr>
          <w:sz w:val="24"/>
          <w:lang w:eastAsia="zh-CN"/>
        </w:rPr>
        <w:t>仲裁机构为合同履行地经济仲裁机构。</w:t>
      </w:r>
    </w:p>
    <w:p w14:paraId="1D704732">
      <w:pPr>
        <w:pStyle w:val="38"/>
        <w:numPr>
          <w:ilvl w:val="1"/>
          <w:numId w:val="23"/>
        </w:numPr>
        <w:tabs>
          <w:tab w:val="left" w:pos="839"/>
        </w:tabs>
        <w:spacing w:before="74"/>
        <w:ind w:left="838" w:hanging="600"/>
        <w:rPr>
          <w:rFonts w:hint="eastAsia"/>
          <w:sz w:val="24"/>
          <w:lang w:eastAsia="zh-CN"/>
        </w:rPr>
      </w:pPr>
      <w:r>
        <w:rPr>
          <w:sz w:val="24"/>
          <w:lang w:eastAsia="zh-CN"/>
        </w:rPr>
        <w:t>在仲裁期间，除正在进行仲裁的部分外，本合同其它部分应继续执行。</w:t>
      </w:r>
    </w:p>
    <w:p w14:paraId="77680AB9">
      <w:pPr>
        <w:pStyle w:val="7"/>
        <w:numPr>
          <w:ilvl w:val="0"/>
          <w:numId w:val="23"/>
        </w:numPr>
        <w:tabs>
          <w:tab w:val="left" w:pos="721"/>
        </w:tabs>
        <w:spacing w:before="72"/>
        <w:ind w:left="720" w:hanging="482"/>
        <w:rPr>
          <w:rFonts w:hint="eastAsia"/>
        </w:rPr>
      </w:pPr>
      <w:bookmarkStart w:id="144" w:name="_Toc28421"/>
      <w:bookmarkStart w:id="145" w:name="_Toc1109"/>
      <w:r>
        <w:t>违约终止合同</w:t>
      </w:r>
      <w:bookmarkEnd w:id="144"/>
      <w:bookmarkEnd w:id="145"/>
    </w:p>
    <w:p w14:paraId="6D7058EF">
      <w:pPr>
        <w:pStyle w:val="38"/>
        <w:numPr>
          <w:ilvl w:val="1"/>
          <w:numId w:val="23"/>
        </w:numPr>
        <w:tabs>
          <w:tab w:val="left" w:pos="839"/>
        </w:tabs>
        <w:spacing w:before="71"/>
        <w:ind w:left="747" w:hanging="509"/>
        <w:rPr>
          <w:rFonts w:hint="eastAsia"/>
          <w:sz w:val="24"/>
          <w:lang w:eastAsia="zh-CN"/>
        </w:rPr>
      </w:pPr>
      <w:r>
        <w:rPr>
          <w:sz w:val="24"/>
          <w:lang w:eastAsia="zh-CN"/>
        </w:rPr>
        <w:t>买方在供方违约的情况下，如果：</w:t>
      </w:r>
    </w:p>
    <w:p w14:paraId="0A10C13D">
      <w:pPr>
        <w:pStyle w:val="8"/>
        <w:spacing w:before="74"/>
        <w:ind w:left="696"/>
        <w:rPr>
          <w:rFonts w:hint="eastAsia"/>
          <w:lang w:eastAsia="zh-CN"/>
        </w:rPr>
      </w:pPr>
      <w:r>
        <w:rPr>
          <w:lang w:eastAsia="zh-CN"/>
        </w:rPr>
        <w:t>1）供方未能在合同规定的期限或买方同意延长的期限内提供全部服务；</w:t>
      </w:r>
    </w:p>
    <w:p w14:paraId="3FD1F0BD">
      <w:pPr>
        <w:pStyle w:val="8"/>
        <w:spacing w:before="72" w:line="297" w:lineRule="auto"/>
        <w:ind w:left="804" w:right="577" w:hanging="87"/>
        <w:jc w:val="both"/>
        <w:rPr>
          <w:rFonts w:hint="eastAsia"/>
          <w:lang w:eastAsia="zh-CN"/>
        </w:rPr>
      </w:pPr>
      <w:r>
        <w:rPr>
          <w:lang w:eastAsia="zh-CN"/>
        </w:rPr>
        <w:t>2）</w:t>
      </w:r>
      <w:r>
        <w:rPr>
          <w:spacing w:val="-2"/>
          <w:lang w:eastAsia="zh-CN"/>
        </w:rPr>
        <w:t xml:space="preserve">如果供方未能履行合同规定的其它义务，供方在收到买方发出的违约通知后 </w:t>
      </w:r>
      <w:r>
        <w:rPr>
          <w:lang w:eastAsia="zh-CN"/>
        </w:rPr>
        <w:t>30 天内，或经买方书面认可延长的时间内未能纠正其过失。买方可向供方发出书面通知，终止部分或全部合同。在这种情况下，并不影响买方向供方提出的索赔。</w:t>
      </w:r>
    </w:p>
    <w:p w14:paraId="740D699C">
      <w:pPr>
        <w:pStyle w:val="38"/>
        <w:numPr>
          <w:ilvl w:val="1"/>
          <w:numId w:val="23"/>
        </w:numPr>
        <w:tabs>
          <w:tab w:val="left" w:pos="839"/>
        </w:tabs>
        <w:spacing w:line="297" w:lineRule="auto"/>
        <w:ind w:left="747" w:right="496" w:hanging="509"/>
        <w:rPr>
          <w:rFonts w:hint="eastAsia"/>
          <w:sz w:val="24"/>
        </w:rPr>
      </w:pPr>
      <w:r>
        <w:rPr>
          <w:spacing w:val="-7"/>
          <w:sz w:val="24"/>
          <w:lang w:eastAsia="zh-CN"/>
        </w:rPr>
        <w:t xml:space="preserve">在买方根据上述第 </w:t>
      </w:r>
      <w:r>
        <w:rPr>
          <w:sz w:val="24"/>
          <w:lang w:eastAsia="zh-CN"/>
        </w:rPr>
        <w:t>13.1</w:t>
      </w:r>
      <w:r>
        <w:rPr>
          <w:spacing w:val="-11"/>
          <w:sz w:val="24"/>
          <w:lang w:eastAsia="zh-CN"/>
        </w:rPr>
        <w:t xml:space="preserve"> 条规定，终止了全部或部分合同，买方可以依其认为适当的条件和方法购买未完成的类似服务，供方应对购买类似服务所超出的费用负责。</w:t>
      </w:r>
      <w:r>
        <w:rPr>
          <w:spacing w:val="-11"/>
          <w:sz w:val="24"/>
        </w:rPr>
        <w:t>而且供方还应继续执行合同中未终止的部分。</w:t>
      </w:r>
    </w:p>
    <w:p w14:paraId="4199758A">
      <w:pPr>
        <w:pStyle w:val="7"/>
        <w:numPr>
          <w:ilvl w:val="0"/>
          <w:numId w:val="23"/>
        </w:numPr>
        <w:tabs>
          <w:tab w:val="left" w:pos="721"/>
        </w:tabs>
        <w:spacing w:line="304" w:lineRule="exact"/>
        <w:ind w:left="720" w:hanging="482"/>
        <w:rPr>
          <w:rFonts w:hint="eastAsia"/>
        </w:rPr>
      </w:pPr>
      <w:bookmarkStart w:id="146" w:name="_Toc11175"/>
      <w:bookmarkStart w:id="147" w:name="_Toc30379"/>
      <w:r>
        <w:t>破产终止合同</w:t>
      </w:r>
      <w:bookmarkEnd w:id="146"/>
      <w:bookmarkEnd w:id="147"/>
    </w:p>
    <w:p w14:paraId="373F1051">
      <w:pPr>
        <w:pStyle w:val="38"/>
        <w:numPr>
          <w:ilvl w:val="1"/>
          <w:numId w:val="23"/>
        </w:numPr>
        <w:tabs>
          <w:tab w:val="left" w:pos="841"/>
        </w:tabs>
        <w:spacing w:before="68" w:line="297" w:lineRule="auto"/>
        <w:ind w:left="804" w:right="573" w:hanging="566"/>
        <w:rPr>
          <w:rFonts w:hint="eastAsia"/>
          <w:sz w:val="24"/>
          <w:lang w:eastAsia="zh-CN"/>
        </w:rPr>
      </w:pPr>
      <w:r>
        <w:rPr>
          <w:sz w:val="24"/>
          <w:lang w:eastAsia="zh-CN"/>
        </w:rPr>
        <w:t>如果供方破产或无清偿能力时，买方可在任何时候以书面通知供方终止合同。该终止合同将不损害或影响买方已经采取或将要采取的补救措施的权利。</w:t>
      </w:r>
    </w:p>
    <w:p w14:paraId="0961BD75">
      <w:pPr>
        <w:pStyle w:val="7"/>
        <w:numPr>
          <w:ilvl w:val="0"/>
          <w:numId w:val="23"/>
        </w:numPr>
        <w:tabs>
          <w:tab w:val="left" w:pos="721"/>
        </w:tabs>
        <w:spacing w:line="306" w:lineRule="exact"/>
        <w:ind w:left="720" w:hanging="482"/>
        <w:rPr>
          <w:rFonts w:hint="eastAsia"/>
        </w:rPr>
      </w:pPr>
      <w:bookmarkStart w:id="148" w:name="_Toc9762"/>
      <w:bookmarkStart w:id="149" w:name="_Toc4449"/>
      <w:r>
        <w:t>合同修改</w:t>
      </w:r>
      <w:bookmarkEnd w:id="148"/>
      <w:bookmarkEnd w:id="149"/>
    </w:p>
    <w:p w14:paraId="05ADF6AB">
      <w:pPr>
        <w:pStyle w:val="38"/>
        <w:numPr>
          <w:ilvl w:val="1"/>
          <w:numId w:val="23"/>
        </w:numPr>
        <w:tabs>
          <w:tab w:val="left" w:pos="839"/>
        </w:tabs>
        <w:spacing w:before="71"/>
        <w:ind w:left="838" w:hanging="600"/>
        <w:rPr>
          <w:rFonts w:hint="eastAsia"/>
          <w:sz w:val="24"/>
          <w:lang w:eastAsia="zh-CN"/>
        </w:rPr>
      </w:pPr>
      <w:r>
        <w:rPr>
          <w:sz w:val="24"/>
          <w:lang w:eastAsia="zh-CN"/>
        </w:rPr>
        <w:t>欲对合同条款进行任何改动，均须由买卖双方签署书面的合同修改书。</w:t>
      </w:r>
    </w:p>
    <w:p w14:paraId="7DDCA455">
      <w:pPr>
        <w:pStyle w:val="7"/>
        <w:numPr>
          <w:ilvl w:val="0"/>
          <w:numId w:val="23"/>
        </w:numPr>
        <w:tabs>
          <w:tab w:val="left" w:pos="721"/>
        </w:tabs>
        <w:spacing w:before="75"/>
        <w:ind w:left="720" w:hanging="482"/>
        <w:rPr>
          <w:rFonts w:hint="eastAsia"/>
        </w:rPr>
      </w:pPr>
      <w:bookmarkStart w:id="150" w:name="_Toc14787"/>
      <w:bookmarkStart w:id="151" w:name="_Toc5636"/>
      <w:r>
        <w:t>通知</w:t>
      </w:r>
      <w:bookmarkEnd w:id="150"/>
      <w:bookmarkEnd w:id="151"/>
    </w:p>
    <w:p w14:paraId="14994326">
      <w:pPr>
        <w:pStyle w:val="38"/>
        <w:numPr>
          <w:ilvl w:val="1"/>
          <w:numId w:val="23"/>
        </w:numPr>
        <w:tabs>
          <w:tab w:val="left" w:pos="841"/>
        </w:tabs>
        <w:spacing w:before="71" w:line="295" w:lineRule="auto"/>
        <w:ind w:left="804" w:right="573" w:hanging="566"/>
        <w:rPr>
          <w:rFonts w:hint="eastAsia"/>
          <w:sz w:val="24"/>
          <w:lang w:eastAsia="zh-CN"/>
        </w:rPr>
      </w:pPr>
      <w:r>
        <w:rPr>
          <w:sz w:val="24"/>
          <w:lang w:eastAsia="zh-CN"/>
        </w:rPr>
        <w:t>本合同任何一方给另一方的通知，都应以书面形式发送，而另一方应以书面形式确认并发送到对方明确的地址。</w:t>
      </w:r>
    </w:p>
    <w:p w14:paraId="56B1BC6E">
      <w:pPr>
        <w:pStyle w:val="7"/>
        <w:numPr>
          <w:ilvl w:val="0"/>
          <w:numId w:val="23"/>
        </w:numPr>
        <w:tabs>
          <w:tab w:val="left" w:pos="721"/>
        </w:tabs>
        <w:spacing w:before="5"/>
        <w:ind w:left="720" w:hanging="482"/>
        <w:rPr>
          <w:rFonts w:hint="eastAsia"/>
        </w:rPr>
      </w:pPr>
      <w:bookmarkStart w:id="152" w:name="_Toc28318"/>
      <w:bookmarkStart w:id="153" w:name="_Toc22139"/>
      <w:r>
        <w:t>计量单位</w:t>
      </w:r>
      <w:bookmarkEnd w:id="152"/>
      <w:bookmarkEnd w:id="153"/>
    </w:p>
    <w:p w14:paraId="7B96A791">
      <w:pPr>
        <w:pStyle w:val="38"/>
        <w:numPr>
          <w:ilvl w:val="1"/>
          <w:numId w:val="23"/>
        </w:numPr>
        <w:tabs>
          <w:tab w:val="left" w:pos="839"/>
        </w:tabs>
        <w:spacing w:before="71"/>
        <w:ind w:left="838" w:hanging="600"/>
        <w:rPr>
          <w:rFonts w:hint="eastAsia"/>
          <w:sz w:val="24"/>
          <w:lang w:eastAsia="zh-CN"/>
        </w:rPr>
      </w:pPr>
      <w:r>
        <w:rPr>
          <w:sz w:val="24"/>
          <w:lang w:eastAsia="zh-CN"/>
        </w:rPr>
        <w:t>除规范要求中另有规定外，计量单位均使用国家法定计量单位。</w:t>
      </w:r>
    </w:p>
    <w:p w14:paraId="5DA75D2F">
      <w:pPr>
        <w:pStyle w:val="7"/>
        <w:numPr>
          <w:ilvl w:val="0"/>
          <w:numId w:val="23"/>
        </w:numPr>
        <w:tabs>
          <w:tab w:val="left" w:pos="721"/>
        </w:tabs>
        <w:spacing w:before="72"/>
        <w:ind w:left="720" w:hanging="482"/>
        <w:rPr>
          <w:rFonts w:hint="eastAsia"/>
        </w:rPr>
      </w:pPr>
      <w:bookmarkStart w:id="154" w:name="_Toc1005"/>
      <w:bookmarkStart w:id="155" w:name="_Toc22004"/>
      <w:r>
        <w:t>适用法律</w:t>
      </w:r>
      <w:bookmarkEnd w:id="154"/>
      <w:bookmarkEnd w:id="155"/>
    </w:p>
    <w:p w14:paraId="78AEC97C">
      <w:pPr>
        <w:pStyle w:val="38"/>
        <w:numPr>
          <w:ilvl w:val="1"/>
          <w:numId w:val="23"/>
        </w:numPr>
        <w:tabs>
          <w:tab w:val="left" w:pos="839"/>
        </w:tabs>
        <w:spacing w:before="74"/>
        <w:ind w:left="838" w:hanging="600"/>
        <w:rPr>
          <w:rFonts w:hint="eastAsia"/>
          <w:sz w:val="24"/>
          <w:lang w:eastAsia="zh-CN"/>
        </w:rPr>
      </w:pPr>
      <w:r>
        <w:rPr>
          <w:sz w:val="24"/>
          <w:lang w:eastAsia="zh-CN"/>
        </w:rPr>
        <w:t>本合同应按照中华人民共和国的法律进行解释。</w:t>
      </w:r>
    </w:p>
    <w:p w14:paraId="64748C16">
      <w:pPr>
        <w:pStyle w:val="7"/>
        <w:numPr>
          <w:ilvl w:val="0"/>
          <w:numId w:val="23"/>
        </w:numPr>
        <w:tabs>
          <w:tab w:val="left" w:pos="721"/>
        </w:tabs>
        <w:spacing w:before="72"/>
        <w:ind w:left="720" w:hanging="482"/>
        <w:rPr>
          <w:rFonts w:hint="eastAsia"/>
        </w:rPr>
      </w:pPr>
      <w:bookmarkStart w:id="156" w:name="_Toc7791"/>
      <w:bookmarkStart w:id="157" w:name="_Toc4486"/>
      <w:r>
        <w:t>合同生效及其他</w:t>
      </w:r>
      <w:bookmarkEnd w:id="156"/>
      <w:bookmarkEnd w:id="157"/>
    </w:p>
    <w:p w14:paraId="662F1383">
      <w:pPr>
        <w:pStyle w:val="38"/>
        <w:numPr>
          <w:ilvl w:val="1"/>
          <w:numId w:val="23"/>
        </w:numPr>
        <w:tabs>
          <w:tab w:val="left" w:pos="839"/>
        </w:tabs>
        <w:spacing w:before="72"/>
        <w:ind w:left="804" w:hanging="566"/>
        <w:rPr>
          <w:rFonts w:hint="eastAsia"/>
          <w:sz w:val="24"/>
          <w:lang w:eastAsia="zh-CN"/>
        </w:rPr>
      </w:pPr>
      <w:r>
        <w:rPr>
          <w:sz w:val="24"/>
          <w:lang w:eastAsia="zh-CN"/>
        </w:rPr>
        <w:t>合同应在双方签字盖章后开始生效。</w:t>
      </w:r>
    </w:p>
    <w:p w14:paraId="370C7B88">
      <w:pPr>
        <w:pStyle w:val="38"/>
        <w:numPr>
          <w:ilvl w:val="1"/>
          <w:numId w:val="23"/>
        </w:numPr>
        <w:tabs>
          <w:tab w:val="left" w:pos="839"/>
        </w:tabs>
        <w:spacing w:before="74"/>
        <w:ind w:left="804" w:hanging="566"/>
        <w:rPr>
          <w:rFonts w:hint="eastAsia"/>
          <w:sz w:val="24"/>
          <w:lang w:eastAsia="zh-CN"/>
        </w:rPr>
      </w:pPr>
      <w:r>
        <w:rPr>
          <w:sz w:val="24"/>
          <w:lang w:eastAsia="zh-CN"/>
        </w:rPr>
        <w:t>本合同一式三份，以中文书写，双方各执一份，</w:t>
      </w:r>
      <w:r>
        <w:rPr>
          <w:rFonts w:hint="eastAsia"/>
          <w:sz w:val="24"/>
          <w:lang w:eastAsia="zh-CN"/>
        </w:rPr>
        <w:t>招标</w:t>
      </w:r>
      <w:r>
        <w:rPr>
          <w:sz w:val="24"/>
          <w:lang w:eastAsia="zh-CN"/>
        </w:rPr>
        <w:t>代理机构一份。</w:t>
      </w:r>
    </w:p>
    <w:p w14:paraId="74EBDC4E">
      <w:pPr>
        <w:pStyle w:val="38"/>
        <w:numPr>
          <w:ilvl w:val="1"/>
          <w:numId w:val="23"/>
        </w:numPr>
        <w:tabs>
          <w:tab w:val="left" w:pos="841"/>
        </w:tabs>
        <w:spacing w:before="71" w:line="295" w:lineRule="auto"/>
        <w:ind w:left="804" w:right="573" w:hanging="566"/>
        <w:rPr>
          <w:rFonts w:hint="eastAsia"/>
          <w:sz w:val="24"/>
          <w:lang w:eastAsia="zh-CN"/>
        </w:rPr>
      </w:pPr>
      <w:r>
        <w:rPr>
          <w:sz w:val="24"/>
          <w:lang w:eastAsia="zh-CN"/>
        </w:rPr>
        <w:t>如需修改或补充合同内容，经协商，双方应签署书面修改或补充协议，该协议将作为本合同的一个组成部分。</w:t>
      </w:r>
    </w:p>
    <w:p w14:paraId="176F9C9E">
      <w:pPr>
        <w:pStyle w:val="8"/>
        <w:tabs>
          <w:tab w:val="left" w:pos="3358"/>
          <w:tab w:val="left" w:pos="4018"/>
          <w:tab w:val="left" w:pos="6718"/>
        </w:tabs>
        <w:spacing w:before="53"/>
        <w:ind w:left="658"/>
        <w:rPr>
          <w:rFonts w:ascii="Times New Roman" w:eastAsia="Times New Roman"/>
          <w:lang w:eastAsia="zh-CN"/>
        </w:rPr>
      </w:pPr>
      <w:r>
        <w:rPr>
          <w:lang w:eastAsia="zh-CN"/>
        </w:rPr>
        <w:t>甲方（盖章）：</w:t>
      </w:r>
      <w:r>
        <w:rPr>
          <w:u w:val="single"/>
          <w:lang w:eastAsia="zh-CN"/>
        </w:rPr>
        <w:t xml:space="preserve"> </w:t>
      </w:r>
      <w:r>
        <w:rPr>
          <w:u w:val="single"/>
          <w:lang w:eastAsia="zh-CN"/>
        </w:rPr>
        <w:tab/>
      </w:r>
      <w:r>
        <w:rPr>
          <w:lang w:eastAsia="zh-CN"/>
        </w:rPr>
        <w:tab/>
      </w:r>
      <w:r>
        <w:rPr>
          <w:lang w:eastAsia="zh-CN"/>
        </w:rPr>
        <w:t>乙方（盖章）：</w:t>
      </w:r>
      <w:r>
        <w:rPr>
          <w:rFonts w:ascii="Times New Roman" w:eastAsia="Times New Roman"/>
          <w:u w:val="single"/>
          <w:lang w:eastAsia="zh-CN"/>
        </w:rPr>
        <w:t xml:space="preserve"> </w:t>
      </w:r>
      <w:r>
        <w:rPr>
          <w:rFonts w:ascii="Times New Roman" w:eastAsia="Times New Roman"/>
          <w:u w:val="single"/>
          <w:lang w:eastAsia="zh-CN"/>
        </w:rPr>
        <w:tab/>
      </w:r>
    </w:p>
    <w:p w14:paraId="1284500D">
      <w:pPr>
        <w:rPr>
          <w:rFonts w:ascii="Times New Roman" w:eastAsia="Times New Roman"/>
          <w:lang w:eastAsia="zh-CN"/>
        </w:rPr>
        <w:sectPr>
          <w:footerReference r:id="rId6" w:type="default"/>
          <w:pgSz w:w="11910" w:h="16840"/>
          <w:pgMar w:top="1360" w:right="840" w:bottom="1380" w:left="1180" w:header="0" w:footer="1200" w:gutter="0"/>
          <w:cols w:space="720" w:num="1"/>
        </w:sectPr>
      </w:pPr>
    </w:p>
    <w:p w14:paraId="0E44C11F">
      <w:pPr>
        <w:pStyle w:val="8"/>
        <w:tabs>
          <w:tab w:val="left" w:pos="2878"/>
          <w:tab w:val="left" w:pos="4318"/>
        </w:tabs>
        <w:spacing w:before="131" w:line="360" w:lineRule="auto"/>
        <w:ind w:left="1138"/>
        <w:rPr>
          <w:rFonts w:ascii="Times New Roman" w:eastAsia="Times New Roman"/>
          <w:u w:val="single"/>
          <w:lang w:eastAsia="zh-CN"/>
        </w:rPr>
      </w:pPr>
      <w:r>
        <w:rPr>
          <w:lang w:eastAsia="zh-CN"/>
        </w:rPr>
        <w:t>签约代表（签字）：</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r>
        <w:rPr>
          <w:lang w:eastAsia="zh-CN"/>
        </w:rPr>
        <w:t>地址：</w:t>
      </w:r>
      <w:r>
        <w:rPr>
          <w:rFonts w:ascii="Times New Roman" w:eastAsia="Times New Roman"/>
          <w:u w:val="single"/>
          <w:lang w:eastAsia="zh-CN"/>
        </w:rPr>
        <w:t xml:space="preserve"> </w:t>
      </w:r>
      <w:r>
        <w:rPr>
          <w:rFonts w:ascii="Times New Roman" w:eastAsia="Times New Roman"/>
          <w:u w:val="single"/>
          <w:lang w:eastAsia="zh-CN"/>
        </w:rPr>
        <w:tab/>
      </w:r>
    </w:p>
    <w:p w14:paraId="7EB16A7F">
      <w:pPr>
        <w:pStyle w:val="8"/>
        <w:tabs>
          <w:tab w:val="left" w:pos="2878"/>
          <w:tab w:val="left" w:pos="4318"/>
        </w:tabs>
        <w:spacing w:before="131" w:line="360" w:lineRule="auto"/>
        <w:ind w:left="1138"/>
        <w:rPr>
          <w:rFonts w:ascii="Times New Roman" w:eastAsia="Times New Roman"/>
          <w:u w:val="single"/>
          <w:lang w:eastAsia="zh-CN"/>
        </w:rPr>
      </w:pPr>
      <w:r>
        <w:rPr>
          <w:lang w:eastAsia="zh-CN"/>
        </w:rPr>
        <w:t>电话：</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p>
    <w:p w14:paraId="774F78BA">
      <w:pPr>
        <w:pStyle w:val="8"/>
        <w:tabs>
          <w:tab w:val="left" w:pos="2878"/>
          <w:tab w:val="left" w:pos="4318"/>
        </w:tabs>
        <w:spacing w:before="131" w:line="360" w:lineRule="auto"/>
        <w:ind w:left="1138"/>
        <w:rPr>
          <w:rFonts w:ascii="Times New Roman" w:eastAsia="Times New Roman"/>
          <w:lang w:eastAsia="zh-CN"/>
        </w:rPr>
      </w:pPr>
      <w:r>
        <w:rPr>
          <w:lang w:eastAsia="zh-CN"/>
        </w:rPr>
        <w:t>传真：</w:t>
      </w:r>
      <w:r>
        <w:rPr>
          <w:rFonts w:ascii="Times New Roman" w:eastAsia="Times New Roman"/>
          <w:u w:val="single"/>
          <w:lang w:eastAsia="zh-CN"/>
        </w:rPr>
        <w:t xml:space="preserve"> </w:t>
      </w:r>
      <w:r>
        <w:rPr>
          <w:rFonts w:ascii="Times New Roman" w:eastAsia="Times New Roman"/>
          <w:u w:val="single"/>
          <w:lang w:eastAsia="zh-CN"/>
        </w:rPr>
        <w:tab/>
      </w:r>
    </w:p>
    <w:p w14:paraId="3ED77BAB">
      <w:pPr>
        <w:pStyle w:val="8"/>
        <w:tabs>
          <w:tab w:val="left" w:pos="1879"/>
          <w:tab w:val="left" w:pos="3559"/>
        </w:tabs>
        <w:spacing w:before="131" w:line="360" w:lineRule="auto"/>
        <w:ind w:right="1965"/>
        <w:rPr>
          <w:rFonts w:hint="eastAsia"/>
          <w:lang w:eastAsia="zh-CN"/>
        </w:rPr>
      </w:pPr>
      <w:r>
        <w:rPr>
          <w:spacing w:val="-1"/>
          <w:lang w:eastAsia="zh-CN"/>
        </w:rPr>
        <w:t>签</w:t>
      </w:r>
      <w:r>
        <w:rPr>
          <w:lang w:eastAsia="zh-CN"/>
        </w:rPr>
        <w:t>约代表（签字）：</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r>
        <w:rPr>
          <w:lang w:eastAsia="zh-CN"/>
        </w:rPr>
        <w:t>地址：</w:t>
      </w:r>
      <w:r>
        <w:rPr>
          <w:rFonts w:ascii="Times New Roman" w:eastAsia="Times New Roman"/>
          <w:u w:val="single"/>
          <w:lang w:eastAsia="zh-CN"/>
        </w:rPr>
        <w:t xml:space="preserve"> </w:t>
      </w:r>
      <w:r>
        <w:rPr>
          <w:rFonts w:ascii="Times New Roman" w:eastAsia="Times New Roman"/>
          <w:u w:val="single"/>
          <w:lang w:eastAsia="zh-CN"/>
        </w:rPr>
        <w:tab/>
      </w:r>
      <w:r>
        <w:rPr>
          <w:lang w:eastAsia="zh-CN"/>
        </w:rPr>
        <w:t>电话：</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p>
    <w:p w14:paraId="6D213B34">
      <w:pPr>
        <w:spacing w:line="306" w:lineRule="exact"/>
        <w:rPr>
          <w:rFonts w:hint="eastAsia"/>
          <w:lang w:eastAsia="zh-CN"/>
        </w:rPr>
        <w:sectPr>
          <w:type w:val="continuous"/>
          <w:pgSz w:w="11910" w:h="16840"/>
          <w:pgMar w:top="1580" w:right="840" w:bottom="280" w:left="1180" w:header="720" w:footer="720" w:gutter="0"/>
          <w:cols w:equalWidth="0" w:num="2">
            <w:col w:w="4319" w:space="40"/>
            <w:col w:w="5531"/>
          </w:cols>
        </w:sectPr>
      </w:pPr>
    </w:p>
    <w:p w14:paraId="61792785">
      <w:pPr>
        <w:pStyle w:val="5"/>
        <w:tabs>
          <w:tab w:val="left" w:pos="1283"/>
        </w:tabs>
        <w:spacing w:before="35" w:line="360" w:lineRule="auto"/>
        <w:jc w:val="center"/>
        <w:rPr>
          <w:rFonts w:hint="eastAsia"/>
          <w:lang w:eastAsia="zh-CN"/>
        </w:rPr>
      </w:pPr>
      <w:bookmarkStart w:id="158" w:name="格式1．投标书"/>
      <w:bookmarkEnd w:id="158"/>
      <w:bookmarkStart w:id="159" w:name="_Toc22774"/>
      <w:r>
        <w:rPr>
          <w:lang w:eastAsia="zh-CN"/>
        </w:rPr>
        <w:t>第四章投标文件格式</w:t>
      </w:r>
      <w:bookmarkEnd w:id="159"/>
    </w:p>
    <w:p w14:paraId="7FEDF70C">
      <w:pPr>
        <w:pStyle w:val="8"/>
        <w:rPr>
          <w:rFonts w:hint="eastAsia"/>
          <w:b/>
          <w:lang w:eastAsia="zh-CN"/>
        </w:rPr>
      </w:pPr>
    </w:p>
    <w:p w14:paraId="672B907A">
      <w:pPr>
        <w:pStyle w:val="8"/>
        <w:spacing w:before="12"/>
        <w:rPr>
          <w:rFonts w:hint="eastAsia"/>
          <w:b/>
          <w:sz w:val="32"/>
          <w:lang w:eastAsia="zh-CN"/>
        </w:rPr>
      </w:pPr>
    </w:p>
    <w:p w14:paraId="0D5281BF">
      <w:pPr>
        <w:tabs>
          <w:tab w:val="left" w:pos="1259"/>
          <w:tab w:val="left" w:pos="2519"/>
          <w:tab w:val="left" w:pos="3779"/>
        </w:tabs>
        <w:ind w:right="337"/>
        <w:jc w:val="center"/>
        <w:rPr>
          <w:rFonts w:hint="eastAsia"/>
          <w:sz w:val="84"/>
          <w:lang w:eastAsia="zh-CN"/>
        </w:rPr>
      </w:pPr>
      <w:r>
        <w:rPr>
          <w:sz w:val="84"/>
          <w:lang w:eastAsia="zh-CN"/>
        </w:rPr>
        <w:t>投</w:t>
      </w:r>
      <w:r>
        <w:rPr>
          <w:sz w:val="84"/>
          <w:lang w:eastAsia="zh-CN"/>
        </w:rPr>
        <w:tab/>
      </w:r>
      <w:r>
        <w:rPr>
          <w:sz w:val="84"/>
          <w:lang w:eastAsia="zh-CN"/>
        </w:rPr>
        <w:t>标</w:t>
      </w:r>
      <w:r>
        <w:rPr>
          <w:sz w:val="84"/>
          <w:lang w:eastAsia="zh-CN"/>
        </w:rPr>
        <w:tab/>
      </w:r>
      <w:r>
        <w:rPr>
          <w:sz w:val="84"/>
          <w:lang w:eastAsia="zh-CN"/>
        </w:rPr>
        <w:t>文</w:t>
      </w:r>
      <w:r>
        <w:rPr>
          <w:sz w:val="84"/>
          <w:lang w:eastAsia="zh-CN"/>
        </w:rPr>
        <w:tab/>
      </w:r>
      <w:r>
        <w:rPr>
          <w:sz w:val="84"/>
          <w:lang w:eastAsia="zh-CN"/>
        </w:rPr>
        <w:t>件</w:t>
      </w:r>
    </w:p>
    <w:p w14:paraId="314845AB">
      <w:pPr>
        <w:pStyle w:val="8"/>
        <w:rPr>
          <w:rFonts w:hint="eastAsia"/>
          <w:sz w:val="84"/>
          <w:lang w:eastAsia="zh-CN"/>
        </w:rPr>
      </w:pPr>
    </w:p>
    <w:p w14:paraId="3CA57D53">
      <w:pPr>
        <w:pStyle w:val="8"/>
        <w:rPr>
          <w:rFonts w:hint="eastAsia"/>
          <w:sz w:val="84"/>
          <w:lang w:eastAsia="zh-CN"/>
        </w:rPr>
      </w:pPr>
    </w:p>
    <w:p w14:paraId="33C5A894">
      <w:pPr>
        <w:tabs>
          <w:tab w:val="left" w:pos="4967"/>
        </w:tabs>
        <w:spacing w:before="562"/>
        <w:ind w:right="239"/>
        <w:jc w:val="center"/>
        <w:rPr>
          <w:rFonts w:ascii="Times New Roman" w:eastAsia="Times New Roman"/>
          <w:sz w:val="28"/>
          <w:lang w:eastAsia="zh-CN"/>
        </w:rPr>
      </w:pPr>
      <w:r>
        <w:rPr>
          <w:spacing w:val="-1"/>
          <w:sz w:val="28"/>
          <w:lang w:eastAsia="zh-CN"/>
        </w:rPr>
        <w:t>项</w:t>
      </w:r>
      <w:r>
        <w:rPr>
          <w:spacing w:val="-3"/>
          <w:sz w:val="28"/>
          <w:lang w:eastAsia="zh-CN"/>
        </w:rPr>
        <w:t>目</w:t>
      </w:r>
      <w:r>
        <w:rPr>
          <w:spacing w:val="-1"/>
          <w:sz w:val="28"/>
          <w:lang w:eastAsia="zh-CN"/>
        </w:rPr>
        <w:t>名称</w:t>
      </w:r>
      <w:r>
        <w:rPr>
          <w:sz w:val="28"/>
          <w:lang w:eastAsia="zh-CN"/>
        </w:rPr>
        <w:t>：</w:t>
      </w:r>
      <w:r>
        <w:rPr>
          <w:spacing w:val="-5"/>
          <w:sz w:val="28"/>
          <w:lang w:eastAsia="zh-CN"/>
        </w:rPr>
        <w:t xml:space="preserve"> </w:t>
      </w:r>
      <w:r>
        <w:rPr>
          <w:rFonts w:ascii="Times New Roman" w:eastAsia="Times New Roman"/>
          <w:sz w:val="28"/>
          <w:u w:val="single"/>
          <w:lang w:eastAsia="zh-CN"/>
        </w:rPr>
        <w:t xml:space="preserve"> </w:t>
      </w:r>
      <w:r>
        <w:rPr>
          <w:rFonts w:ascii="Times New Roman" w:eastAsia="Times New Roman"/>
          <w:sz w:val="28"/>
          <w:u w:val="single"/>
          <w:lang w:eastAsia="zh-CN"/>
        </w:rPr>
        <w:tab/>
      </w:r>
    </w:p>
    <w:p w14:paraId="40E0FDEC">
      <w:pPr>
        <w:pStyle w:val="8"/>
        <w:rPr>
          <w:rFonts w:hint="eastAsia" w:ascii="Times New Roman"/>
          <w:sz w:val="20"/>
          <w:lang w:eastAsia="zh-CN"/>
        </w:rPr>
      </w:pPr>
    </w:p>
    <w:p w14:paraId="127A1D81">
      <w:pPr>
        <w:pStyle w:val="8"/>
        <w:rPr>
          <w:rFonts w:hint="eastAsia" w:ascii="Times New Roman"/>
          <w:sz w:val="20"/>
          <w:lang w:eastAsia="zh-CN"/>
        </w:rPr>
      </w:pPr>
    </w:p>
    <w:p w14:paraId="71CA9E60">
      <w:pPr>
        <w:pStyle w:val="8"/>
        <w:rPr>
          <w:rFonts w:hint="eastAsia" w:ascii="Times New Roman"/>
          <w:sz w:val="20"/>
          <w:lang w:eastAsia="zh-CN"/>
        </w:rPr>
      </w:pPr>
    </w:p>
    <w:p w14:paraId="052AB1C7">
      <w:pPr>
        <w:pStyle w:val="8"/>
        <w:rPr>
          <w:rFonts w:hint="eastAsia" w:ascii="Times New Roman"/>
          <w:sz w:val="20"/>
          <w:lang w:eastAsia="zh-CN"/>
        </w:rPr>
      </w:pPr>
    </w:p>
    <w:p w14:paraId="51F2DE28">
      <w:pPr>
        <w:pStyle w:val="8"/>
        <w:rPr>
          <w:rFonts w:hint="eastAsia" w:ascii="Times New Roman"/>
          <w:sz w:val="20"/>
          <w:lang w:eastAsia="zh-CN"/>
        </w:rPr>
      </w:pPr>
    </w:p>
    <w:p w14:paraId="6D418D94">
      <w:pPr>
        <w:pStyle w:val="8"/>
        <w:spacing w:before="5"/>
        <w:rPr>
          <w:rFonts w:hint="eastAsia" w:ascii="Times New Roman"/>
          <w:sz w:val="25"/>
          <w:lang w:eastAsia="zh-CN"/>
        </w:rPr>
      </w:pPr>
    </w:p>
    <w:p w14:paraId="06E159EF">
      <w:pPr>
        <w:tabs>
          <w:tab w:val="left" w:pos="7305"/>
        </w:tabs>
        <w:spacing w:before="70"/>
        <w:ind w:left="2338"/>
        <w:rPr>
          <w:rFonts w:ascii="Times New Roman" w:eastAsia="Times New Roman"/>
          <w:sz w:val="28"/>
          <w:lang w:eastAsia="zh-CN"/>
        </w:rPr>
      </w:pPr>
      <w:r>
        <w:rPr>
          <w:spacing w:val="-1"/>
          <w:sz w:val="28"/>
          <w:lang w:eastAsia="zh-CN"/>
        </w:rPr>
        <w:t>招</w:t>
      </w:r>
      <w:r>
        <w:rPr>
          <w:spacing w:val="-3"/>
          <w:sz w:val="28"/>
          <w:lang w:eastAsia="zh-CN"/>
        </w:rPr>
        <w:t>标</w:t>
      </w:r>
      <w:r>
        <w:rPr>
          <w:spacing w:val="-1"/>
          <w:sz w:val="28"/>
          <w:lang w:eastAsia="zh-CN"/>
        </w:rPr>
        <w:t>编号</w:t>
      </w:r>
      <w:r>
        <w:rPr>
          <w:sz w:val="28"/>
          <w:lang w:eastAsia="zh-CN"/>
        </w:rPr>
        <w:t>：</w:t>
      </w:r>
      <w:r>
        <w:rPr>
          <w:spacing w:val="-5"/>
          <w:sz w:val="28"/>
          <w:lang w:eastAsia="zh-CN"/>
        </w:rPr>
        <w:t xml:space="preserve"> </w:t>
      </w:r>
      <w:r>
        <w:rPr>
          <w:rFonts w:ascii="Times New Roman" w:eastAsia="Times New Roman"/>
          <w:sz w:val="28"/>
          <w:u w:val="single"/>
          <w:lang w:eastAsia="zh-CN"/>
        </w:rPr>
        <w:t xml:space="preserve"> </w:t>
      </w:r>
      <w:r>
        <w:rPr>
          <w:rFonts w:ascii="Times New Roman" w:eastAsia="Times New Roman"/>
          <w:sz w:val="28"/>
          <w:u w:val="single"/>
          <w:lang w:eastAsia="zh-CN"/>
        </w:rPr>
        <w:tab/>
      </w:r>
    </w:p>
    <w:p w14:paraId="0E43E059">
      <w:pPr>
        <w:pStyle w:val="8"/>
        <w:rPr>
          <w:rFonts w:hint="eastAsia" w:ascii="Times New Roman"/>
          <w:sz w:val="20"/>
          <w:lang w:eastAsia="zh-CN"/>
        </w:rPr>
      </w:pPr>
    </w:p>
    <w:p w14:paraId="5D02647D">
      <w:pPr>
        <w:pStyle w:val="8"/>
        <w:rPr>
          <w:rFonts w:hint="eastAsia" w:ascii="Times New Roman"/>
          <w:sz w:val="20"/>
          <w:lang w:eastAsia="zh-CN"/>
        </w:rPr>
      </w:pPr>
    </w:p>
    <w:p w14:paraId="3FD5E50E">
      <w:pPr>
        <w:pStyle w:val="8"/>
        <w:rPr>
          <w:rFonts w:hint="eastAsia" w:ascii="Times New Roman"/>
          <w:sz w:val="20"/>
          <w:lang w:eastAsia="zh-CN"/>
        </w:rPr>
      </w:pPr>
    </w:p>
    <w:p w14:paraId="0BC1152B">
      <w:pPr>
        <w:pStyle w:val="8"/>
        <w:rPr>
          <w:rFonts w:hint="eastAsia" w:ascii="Times New Roman"/>
          <w:sz w:val="20"/>
          <w:lang w:eastAsia="zh-CN"/>
        </w:rPr>
      </w:pPr>
    </w:p>
    <w:p w14:paraId="0955C640">
      <w:pPr>
        <w:pStyle w:val="8"/>
        <w:rPr>
          <w:rFonts w:hint="eastAsia" w:ascii="Times New Roman"/>
          <w:sz w:val="20"/>
          <w:lang w:eastAsia="zh-CN"/>
        </w:rPr>
      </w:pPr>
    </w:p>
    <w:p w14:paraId="3AA33E7F">
      <w:pPr>
        <w:pStyle w:val="8"/>
        <w:rPr>
          <w:rFonts w:hint="eastAsia" w:ascii="Times New Roman"/>
          <w:sz w:val="20"/>
          <w:lang w:eastAsia="zh-CN"/>
        </w:rPr>
      </w:pPr>
    </w:p>
    <w:p w14:paraId="23A15F49">
      <w:pPr>
        <w:pStyle w:val="8"/>
        <w:rPr>
          <w:rFonts w:hint="eastAsia" w:ascii="Times New Roman"/>
          <w:sz w:val="20"/>
          <w:lang w:eastAsia="zh-CN"/>
        </w:rPr>
      </w:pPr>
    </w:p>
    <w:p w14:paraId="00D14280">
      <w:pPr>
        <w:pStyle w:val="8"/>
        <w:rPr>
          <w:rFonts w:hint="eastAsia" w:ascii="Times New Roman"/>
          <w:sz w:val="20"/>
          <w:lang w:eastAsia="zh-CN"/>
        </w:rPr>
      </w:pPr>
    </w:p>
    <w:p w14:paraId="76F0C6D8">
      <w:pPr>
        <w:pStyle w:val="8"/>
        <w:rPr>
          <w:rFonts w:hint="eastAsia" w:ascii="Times New Roman"/>
          <w:sz w:val="20"/>
          <w:lang w:eastAsia="zh-CN"/>
        </w:rPr>
      </w:pPr>
    </w:p>
    <w:p w14:paraId="0E093BF7">
      <w:pPr>
        <w:pStyle w:val="8"/>
        <w:rPr>
          <w:rFonts w:hint="eastAsia" w:ascii="Times New Roman"/>
          <w:sz w:val="20"/>
          <w:lang w:eastAsia="zh-CN"/>
        </w:rPr>
      </w:pPr>
    </w:p>
    <w:p w14:paraId="134E3C8A">
      <w:pPr>
        <w:pStyle w:val="8"/>
        <w:rPr>
          <w:rFonts w:hint="eastAsia" w:ascii="Times New Roman"/>
          <w:sz w:val="20"/>
          <w:lang w:eastAsia="zh-CN"/>
        </w:rPr>
      </w:pPr>
    </w:p>
    <w:p w14:paraId="3B752A63">
      <w:pPr>
        <w:spacing w:before="232"/>
        <w:ind w:left="2" w:right="337"/>
        <w:jc w:val="center"/>
        <w:rPr>
          <w:rFonts w:hint="eastAsia"/>
          <w:sz w:val="28"/>
          <w:lang w:eastAsia="zh-CN"/>
        </w:rPr>
      </w:pPr>
      <w:r>
        <w:rPr>
          <w:sz w:val="28"/>
          <w:lang w:eastAsia="zh-CN"/>
        </w:rPr>
        <w:t>投标单位（签章）</w:t>
      </w:r>
    </w:p>
    <w:p w14:paraId="18E7F0E8">
      <w:pPr>
        <w:pStyle w:val="8"/>
        <w:rPr>
          <w:rFonts w:hint="eastAsia"/>
          <w:sz w:val="28"/>
          <w:lang w:eastAsia="zh-CN"/>
        </w:rPr>
      </w:pPr>
    </w:p>
    <w:p w14:paraId="1511BF10">
      <w:pPr>
        <w:pStyle w:val="8"/>
        <w:spacing w:before="5"/>
        <w:rPr>
          <w:rFonts w:hint="eastAsia"/>
          <w:sz w:val="41"/>
          <w:lang w:eastAsia="zh-CN"/>
        </w:rPr>
      </w:pPr>
    </w:p>
    <w:p w14:paraId="64DB86ED">
      <w:pPr>
        <w:tabs>
          <w:tab w:val="left" w:pos="920"/>
          <w:tab w:val="left" w:pos="1618"/>
        </w:tabs>
        <w:ind w:left="219"/>
        <w:jc w:val="center"/>
        <w:rPr>
          <w:rFonts w:hint="eastAsia"/>
          <w:sz w:val="28"/>
          <w:lang w:eastAsia="zh-CN"/>
        </w:rPr>
      </w:pPr>
      <w:r>
        <w:rPr>
          <w:sz w:val="28"/>
          <w:lang w:eastAsia="zh-CN"/>
        </w:rPr>
        <w:t>年</w:t>
      </w:r>
      <w:r>
        <w:rPr>
          <w:sz w:val="28"/>
          <w:lang w:eastAsia="zh-CN"/>
        </w:rPr>
        <w:tab/>
      </w:r>
      <w:r>
        <w:rPr>
          <w:sz w:val="28"/>
          <w:lang w:eastAsia="zh-CN"/>
        </w:rPr>
        <w:t>月</w:t>
      </w:r>
      <w:r>
        <w:rPr>
          <w:sz w:val="28"/>
          <w:lang w:eastAsia="zh-CN"/>
        </w:rPr>
        <w:tab/>
      </w:r>
      <w:r>
        <w:rPr>
          <w:sz w:val="28"/>
          <w:lang w:eastAsia="zh-CN"/>
        </w:rPr>
        <w:t>日</w:t>
      </w:r>
    </w:p>
    <w:p w14:paraId="325C67E1">
      <w:pPr>
        <w:jc w:val="center"/>
        <w:rPr>
          <w:rFonts w:hint="eastAsia"/>
          <w:sz w:val="28"/>
          <w:lang w:eastAsia="zh-CN"/>
        </w:rPr>
        <w:sectPr>
          <w:pgSz w:w="11910" w:h="16840"/>
          <w:pgMar w:top="1580" w:right="840" w:bottom="1380" w:left="1180" w:header="0" w:footer="1200" w:gutter="0"/>
          <w:cols w:space="720" w:num="1"/>
        </w:sectPr>
      </w:pPr>
    </w:p>
    <w:p w14:paraId="69308173">
      <w:pPr>
        <w:spacing w:before="43"/>
        <w:ind w:right="340"/>
        <w:jc w:val="center"/>
        <w:rPr>
          <w:rFonts w:hint="eastAsia"/>
          <w:b/>
          <w:sz w:val="24"/>
          <w:lang w:eastAsia="zh-CN"/>
        </w:rPr>
      </w:pPr>
      <w:bookmarkStart w:id="160" w:name="_bookmark42"/>
      <w:bookmarkEnd w:id="160"/>
      <w:r>
        <w:rPr>
          <w:b/>
          <w:sz w:val="24"/>
          <w:lang w:eastAsia="zh-CN"/>
        </w:rPr>
        <w:t>格式 1．投标书</w:t>
      </w:r>
    </w:p>
    <w:p w14:paraId="04E2F5D8">
      <w:pPr>
        <w:spacing w:before="67" w:line="288" w:lineRule="auto"/>
        <w:ind w:left="238" w:right="577" w:firstLine="480"/>
        <w:jc w:val="both"/>
        <w:rPr>
          <w:rFonts w:hint="eastAsia"/>
          <w:sz w:val="24"/>
          <w:szCs w:val="24"/>
          <w:lang w:eastAsia="zh-CN"/>
        </w:rPr>
      </w:pPr>
      <w:r>
        <w:rPr>
          <w:sz w:val="24"/>
          <w:szCs w:val="24"/>
          <w:lang w:eastAsia="zh-CN"/>
        </w:rPr>
        <w:t>致：</w:t>
      </w:r>
      <w:r>
        <w:rPr>
          <w:rFonts w:hint="eastAsia"/>
          <w:sz w:val="24"/>
          <w:szCs w:val="24"/>
          <w:lang w:eastAsia="zh-CN"/>
        </w:rPr>
        <w:t>浩玟（江西）工程管理有限公司</w:t>
      </w:r>
    </w:p>
    <w:p w14:paraId="11FE0383">
      <w:pPr>
        <w:spacing w:before="67" w:line="288" w:lineRule="auto"/>
        <w:ind w:left="238" w:right="577" w:firstLine="480"/>
        <w:jc w:val="both"/>
        <w:rPr>
          <w:rFonts w:hint="eastAsia"/>
          <w:sz w:val="24"/>
          <w:szCs w:val="24"/>
          <w:lang w:eastAsia="zh-CN"/>
        </w:rPr>
      </w:pPr>
      <w:r>
        <w:rPr>
          <w:spacing w:val="-3"/>
          <w:sz w:val="24"/>
          <w:szCs w:val="24"/>
          <w:lang w:eastAsia="zh-CN"/>
        </w:rPr>
        <w:t>根据贵方为(项目名称</w:t>
      </w:r>
      <w:r>
        <w:rPr>
          <w:rFonts w:hint="eastAsia"/>
          <w:spacing w:val="-3"/>
          <w:sz w:val="24"/>
          <w:szCs w:val="24"/>
          <w:lang w:eastAsia="zh-CN"/>
        </w:rPr>
        <w:t>：上饶经开区雨污水管网检测服务工程</w:t>
      </w:r>
      <w:r>
        <w:rPr>
          <w:spacing w:val="-3"/>
          <w:sz w:val="24"/>
          <w:szCs w:val="24"/>
          <w:lang w:eastAsia="zh-CN"/>
        </w:rPr>
        <w:t>)</w:t>
      </w:r>
      <w:r>
        <w:rPr>
          <w:spacing w:val="-1"/>
          <w:sz w:val="24"/>
          <w:szCs w:val="24"/>
          <w:lang w:eastAsia="zh-CN"/>
        </w:rPr>
        <w:t>项目招标</w:t>
      </w:r>
      <w:r>
        <w:rPr>
          <w:rFonts w:hint="eastAsia"/>
          <w:spacing w:val="-1"/>
          <w:sz w:val="24"/>
          <w:szCs w:val="24"/>
          <w:lang w:eastAsia="zh-CN"/>
        </w:rPr>
        <w:t>招标</w:t>
      </w:r>
      <w:r>
        <w:rPr>
          <w:spacing w:val="-1"/>
          <w:sz w:val="24"/>
          <w:szCs w:val="24"/>
          <w:lang w:eastAsia="zh-CN"/>
        </w:rPr>
        <w:t>服务的投标邀</w:t>
      </w:r>
      <w:r>
        <w:rPr>
          <w:spacing w:val="-3"/>
          <w:sz w:val="24"/>
          <w:szCs w:val="24"/>
          <w:lang w:eastAsia="zh-CN"/>
        </w:rPr>
        <w:t>请(招标编号</w:t>
      </w:r>
      <w:r>
        <w:rPr>
          <w:rFonts w:hint="eastAsia"/>
          <w:spacing w:val="-3"/>
          <w:sz w:val="24"/>
          <w:szCs w:val="24"/>
          <w:lang w:eastAsia="zh-CN"/>
        </w:rPr>
        <w:t xml:space="preserve">： </w:t>
      </w:r>
      <w:r>
        <w:rPr>
          <w:spacing w:val="-3"/>
          <w:sz w:val="24"/>
          <w:szCs w:val="24"/>
          <w:lang w:eastAsia="zh-CN"/>
        </w:rPr>
        <w:t>)</w:t>
      </w:r>
      <w:r>
        <w:rPr>
          <w:spacing w:val="-14"/>
          <w:sz w:val="24"/>
          <w:szCs w:val="24"/>
          <w:lang w:eastAsia="zh-CN"/>
        </w:rPr>
        <w:t>，签字</w:t>
      </w:r>
      <w:r>
        <w:rPr>
          <w:spacing w:val="-13"/>
          <w:sz w:val="24"/>
          <w:szCs w:val="24"/>
          <w:lang w:eastAsia="zh-CN"/>
        </w:rPr>
        <w:t>代表</w:t>
      </w:r>
      <w:r>
        <w:rPr>
          <w:spacing w:val="-3"/>
          <w:sz w:val="24"/>
          <w:szCs w:val="24"/>
          <w:lang w:eastAsia="zh-CN"/>
        </w:rPr>
        <w:t>(姓名</w:t>
      </w:r>
      <w:r>
        <w:rPr>
          <w:rFonts w:hint="eastAsia"/>
          <w:spacing w:val="-3"/>
          <w:sz w:val="24"/>
          <w:szCs w:val="24"/>
          <w:lang w:eastAsia="zh-CN"/>
        </w:rPr>
        <w:t>：</w:t>
      </w:r>
      <w:r>
        <w:rPr>
          <w:rFonts w:hint="eastAsia"/>
          <w:spacing w:val="-3"/>
          <w:sz w:val="24"/>
          <w:szCs w:val="24"/>
          <w:u w:val="single"/>
          <w:lang w:eastAsia="zh-CN"/>
        </w:rPr>
        <w:t xml:space="preserve">      </w:t>
      </w:r>
      <w:r>
        <w:rPr>
          <w:spacing w:val="-3"/>
          <w:sz w:val="24"/>
          <w:szCs w:val="24"/>
          <w:lang w:eastAsia="zh-CN"/>
        </w:rPr>
        <w:t>、职务</w:t>
      </w:r>
      <w:r>
        <w:rPr>
          <w:rFonts w:hint="eastAsia"/>
          <w:spacing w:val="-3"/>
          <w:sz w:val="24"/>
          <w:szCs w:val="24"/>
          <w:lang w:eastAsia="zh-CN"/>
        </w:rPr>
        <w:t>：</w:t>
      </w:r>
      <w:r>
        <w:rPr>
          <w:rFonts w:hint="eastAsia"/>
          <w:spacing w:val="-3"/>
          <w:sz w:val="24"/>
          <w:szCs w:val="24"/>
          <w:u w:val="single"/>
          <w:lang w:eastAsia="zh-CN"/>
        </w:rPr>
        <w:t xml:space="preserve">      </w:t>
      </w:r>
      <w:r>
        <w:rPr>
          <w:spacing w:val="-3"/>
          <w:sz w:val="24"/>
          <w:szCs w:val="24"/>
          <w:lang w:eastAsia="zh-CN"/>
        </w:rPr>
        <w:t>)经正</w:t>
      </w:r>
      <w:r>
        <w:rPr>
          <w:spacing w:val="-1"/>
          <w:sz w:val="24"/>
          <w:szCs w:val="24"/>
          <w:lang w:eastAsia="zh-CN"/>
        </w:rPr>
        <w:t>式授权并代表投标人</w:t>
      </w:r>
      <w:r>
        <w:rPr>
          <w:spacing w:val="-3"/>
          <w:sz w:val="24"/>
          <w:szCs w:val="24"/>
          <w:lang w:eastAsia="zh-CN"/>
        </w:rPr>
        <w:t>(投标人名称</w:t>
      </w:r>
      <w:r>
        <w:rPr>
          <w:rFonts w:hint="eastAsia"/>
          <w:spacing w:val="-3"/>
          <w:sz w:val="24"/>
          <w:szCs w:val="24"/>
          <w:lang w:eastAsia="zh-CN"/>
        </w:rPr>
        <w:t>：</w:t>
      </w:r>
      <w:r>
        <w:rPr>
          <w:rFonts w:hint="eastAsia"/>
          <w:spacing w:val="-3"/>
          <w:sz w:val="24"/>
          <w:szCs w:val="24"/>
          <w:u w:val="single"/>
          <w:lang w:eastAsia="zh-CN"/>
        </w:rPr>
        <w:t xml:space="preserve">       </w:t>
      </w:r>
      <w:r>
        <w:rPr>
          <w:spacing w:val="-3"/>
          <w:sz w:val="24"/>
          <w:szCs w:val="24"/>
          <w:lang w:eastAsia="zh-CN"/>
        </w:rPr>
        <w:t>、地址</w:t>
      </w:r>
      <w:r>
        <w:rPr>
          <w:rFonts w:hint="eastAsia"/>
          <w:spacing w:val="-3"/>
          <w:sz w:val="24"/>
          <w:szCs w:val="24"/>
          <w:lang w:eastAsia="zh-CN"/>
        </w:rPr>
        <w:t>：</w:t>
      </w:r>
      <w:r>
        <w:rPr>
          <w:rFonts w:hint="eastAsia"/>
          <w:spacing w:val="-3"/>
          <w:sz w:val="24"/>
          <w:szCs w:val="24"/>
          <w:u w:val="single"/>
          <w:lang w:eastAsia="zh-CN"/>
        </w:rPr>
        <w:t xml:space="preserve">       </w:t>
      </w:r>
      <w:r>
        <w:rPr>
          <w:spacing w:val="-3"/>
          <w:sz w:val="24"/>
          <w:szCs w:val="24"/>
          <w:lang w:eastAsia="zh-CN"/>
        </w:rPr>
        <w:t>)提交下述文件</w:t>
      </w:r>
      <w:r>
        <w:rPr>
          <w:sz w:val="24"/>
          <w:szCs w:val="24"/>
          <w:lang w:eastAsia="zh-CN"/>
        </w:rPr>
        <w:t>（电子版</w:t>
      </w:r>
      <w:r>
        <w:rPr>
          <w:rFonts w:hint="eastAsia"/>
          <w:sz w:val="24"/>
          <w:szCs w:val="24"/>
          <w:lang w:eastAsia="zh-CN"/>
        </w:rPr>
        <w:t>响应文件</w:t>
      </w:r>
      <w:r>
        <w:rPr>
          <w:sz w:val="24"/>
          <w:szCs w:val="24"/>
          <w:lang w:eastAsia="zh-CN"/>
        </w:rPr>
        <w:t>上传到江西省公共资源交易网）:</w:t>
      </w:r>
    </w:p>
    <w:p w14:paraId="58D97A3A">
      <w:pPr>
        <w:pStyle w:val="8"/>
        <w:spacing w:before="12"/>
        <w:ind w:left="660"/>
        <w:rPr>
          <w:rFonts w:hint="eastAsia"/>
          <w:lang w:eastAsia="zh-CN"/>
        </w:rPr>
      </w:pPr>
      <w:r>
        <w:rPr>
          <w:lang w:eastAsia="zh-CN"/>
        </w:rPr>
        <w:t>1、投标书</w:t>
      </w:r>
    </w:p>
    <w:p w14:paraId="2A32E168">
      <w:pPr>
        <w:pStyle w:val="8"/>
        <w:spacing w:before="74"/>
        <w:ind w:left="660"/>
        <w:rPr>
          <w:rFonts w:hint="eastAsia"/>
          <w:lang w:eastAsia="zh-CN"/>
        </w:rPr>
      </w:pPr>
      <w:r>
        <w:rPr>
          <w:lang w:eastAsia="zh-CN"/>
        </w:rPr>
        <w:t>2、开标一览表</w:t>
      </w:r>
    </w:p>
    <w:p w14:paraId="7CFE208E">
      <w:pPr>
        <w:pStyle w:val="8"/>
        <w:spacing w:before="72"/>
        <w:ind w:left="660"/>
        <w:rPr>
          <w:rFonts w:hint="eastAsia"/>
          <w:lang w:eastAsia="zh-CN"/>
        </w:rPr>
      </w:pPr>
      <w:r>
        <w:rPr>
          <w:lang w:eastAsia="zh-CN"/>
        </w:rPr>
        <w:t>3、分项报价表</w:t>
      </w:r>
    </w:p>
    <w:p w14:paraId="3C33D641">
      <w:pPr>
        <w:pStyle w:val="8"/>
        <w:spacing w:before="71"/>
        <w:ind w:left="660"/>
        <w:rPr>
          <w:rFonts w:hint="eastAsia"/>
          <w:lang w:eastAsia="zh-CN"/>
        </w:rPr>
      </w:pPr>
      <w:r>
        <w:rPr>
          <w:lang w:eastAsia="zh-CN"/>
        </w:rPr>
        <w:t>4、开标一览明细表</w:t>
      </w:r>
    </w:p>
    <w:p w14:paraId="2BAF6065">
      <w:pPr>
        <w:pStyle w:val="8"/>
        <w:spacing w:before="75"/>
        <w:ind w:left="660"/>
        <w:rPr>
          <w:rFonts w:hint="eastAsia"/>
          <w:lang w:eastAsia="zh-CN"/>
        </w:rPr>
      </w:pPr>
      <w:r>
        <w:rPr>
          <w:lang w:eastAsia="zh-CN"/>
        </w:rPr>
        <w:t>5、</w:t>
      </w:r>
      <w:r>
        <w:rPr>
          <w:rFonts w:hint="eastAsia"/>
          <w:lang w:eastAsia="zh-CN"/>
        </w:rPr>
        <w:t>技术条款</w:t>
      </w:r>
      <w:r>
        <w:rPr>
          <w:lang w:eastAsia="zh-CN"/>
        </w:rPr>
        <w:t>响应/偏离表</w:t>
      </w:r>
    </w:p>
    <w:p w14:paraId="0211C1EF">
      <w:pPr>
        <w:pStyle w:val="8"/>
        <w:spacing w:before="71"/>
        <w:ind w:left="660"/>
        <w:rPr>
          <w:rFonts w:hint="eastAsia"/>
          <w:lang w:eastAsia="zh-CN"/>
        </w:rPr>
      </w:pPr>
      <w:r>
        <w:rPr>
          <w:lang w:eastAsia="zh-CN"/>
        </w:rPr>
        <w:t>6、商务条</w:t>
      </w:r>
      <w:r>
        <w:rPr>
          <w:rFonts w:hint="eastAsia"/>
          <w:lang w:eastAsia="zh-CN"/>
        </w:rPr>
        <w:t>款</w:t>
      </w:r>
      <w:r>
        <w:rPr>
          <w:lang w:eastAsia="zh-CN"/>
        </w:rPr>
        <w:t>响应/偏离表</w:t>
      </w:r>
    </w:p>
    <w:p w14:paraId="7E49ACFC">
      <w:pPr>
        <w:pStyle w:val="8"/>
        <w:spacing w:before="72"/>
        <w:ind w:left="660"/>
        <w:rPr>
          <w:rFonts w:hint="eastAsia"/>
          <w:lang w:eastAsia="zh-CN"/>
        </w:rPr>
      </w:pPr>
      <w:r>
        <w:rPr>
          <w:lang w:eastAsia="zh-CN"/>
        </w:rPr>
        <w:t>7、投标人应当提交的资格、资信证明文件</w:t>
      </w:r>
    </w:p>
    <w:p w14:paraId="6B7E4478">
      <w:pPr>
        <w:pStyle w:val="8"/>
        <w:spacing w:before="74"/>
        <w:ind w:left="660"/>
        <w:rPr>
          <w:rFonts w:hint="eastAsia"/>
          <w:lang w:eastAsia="zh-CN"/>
        </w:rPr>
      </w:pPr>
      <w:r>
        <w:rPr>
          <w:lang w:eastAsia="zh-CN"/>
        </w:rPr>
        <w:t>8、为落实政府</w:t>
      </w:r>
      <w:r>
        <w:rPr>
          <w:rFonts w:hint="eastAsia"/>
          <w:lang w:eastAsia="zh-CN"/>
        </w:rPr>
        <w:t>招标</w:t>
      </w:r>
      <w:r>
        <w:rPr>
          <w:lang w:eastAsia="zh-CN"/>
        </w:rPr>
        <w:t>政策投标人须提供的证明材料</w:t>
      </w:r>
    </w:p>
    <w:p w14:paraId="6615A95A">
      <w:pPr>
        <w:pStyle w:val="8"/>
        <w:spacing w:before="72"/>
        <w:ind w:left="660"/>
        <w:rPr>
          <w:rFonts w:hint="eastAsia"/>
          <w:lang w:eastAsia="zh-CN"/>
        </w:rPr>
      </w:pPr>
      <w:r>
        <w:rPr>
          <w:lang w:eastAsia="zh-CN"/>
        </w:rPr>
        <w:t>9、技术文件</w:t>
      </w:r>
    </w:p>
    <w:p w14:paraId="680EC1FA">
      <w:pPr>
        <w:pStyle w:val="8"/>
        <w:spacing w:before="71"/>
        <w:ind w:left="660"/>
        <w:rPr>
          <w:rFonts w:hint="eastAsia"/>
          <w:lang w:eastAsia="zh-CN"/>
        </w:rPr>
      </w:pPr>
      <w:r>
        <w:rPr>
          <w:lang w:eastAsia="zh-CN"/>
        </w:rPr>
        <w:t>10、其他资料</w:t>
      </w:r>
    </w:p>
    <w:p w14:paraId="19347D52">
      <w:pPr>
        <w:pStyle w:val="8"/>
        <w:tabs>
          <w:tab w:val="left" w:pos="5940"/>
        </w:tabs>
        <w:spacing w:before="75" w:line="295" w:lineRule="auto"/>
        <w:ind w:left="660" w:right="3703"/>
        <w:rPr>
          <w:rFonts w:hint="eastAsia"/>
          <w:lang w:eastAsia="zh-CN"/>
        </w:rPr>
      </w:pPr>
      <w:r>
        <w:rPr>
          <w:lang w:eastAsia="zh-CN"/>
        </w:rPr>
        <w:t>11、提交的投标保证金，金额为</w:t>
      </w:r>
      <w:r>
        <w:rPr>
          <w:u w:val="single"/>
          <w:lang w:eastAsia="zh-CN"/>
        </w:rPr>
        <w:t xml:space="preserve"> </w:t>
      </w:r>
      <w:r>
        <w:rPr>
          <w:rFonts w:hint="eastAsia"/>
          <w:u w:val="single"/>
          <w:lang w:eastAsia="zh-CN"/>
        </w:rPr>
        <w:t xml:space="preserve">        </w:t>
      </w:r>
      <w:r>
        <w:rPr>
          <w:lang w:eastAsia="zh-CN"/>
        </w:rPr>
        <w:t>。</w:t>
      </w:r>
    </w:p>
    <w:p w14:paraId="0DB8830A">
      <w:pPr>
        <w:pStyle w:val="8"/>
        <w:tabs>
          <w:tab w:val="left" w:pos="5940"/>
        </w:tabs>
        <w:spacing w:before="75" w:line="295" w:lineRule="auto"/>
        <w:ind w:left="660" w:right="3703"/>
        <w:rPr>
          <w:rFonts w:hint="eastAsia"/>
          <w:lang w:eastAsia="zh-CN"/>
        </w:rPr>
      </w:pPr>
      <w:r>
        <w:rPr>
          <w:lang w:eastAsia="zh-CN"/>
        </w:rPr>
        <w:t>据此函,签字代表宣布同意如下:</w:t>
      </w:r>
    </w:p>
    <w:p w14:paraId="7A87DEB6">
      <w:pPr>
        <w:pStyle w:val="38"/>
        <w:numPr>
          <w:ilvl w:val="0"/>
          <w:numId w:val="24"/>
        </w:numPr>
        <w:tabs>
          <w:tab w:val="left" w:pos="1021"/>
        </w:tabs>
        <w:spacing w:before="1" w:line="297" w:lineRule="auto"/>
        <w:ind w:right="577" w:hanging="284"/>
        <w:rPr>
          <w:rFonts w:hint="eastAsia"/>
          <w:sz w:val="24"/>
          <w:lang w:eastAsia="zh-CN"/>
        </w:rPr>
      </w:pPr>
      <w:r>
        <w:rPr>
          <w:spacing w:val="-5"/>
          <w:sz w:val="24"/>
          <w:lang w:eastAsia="zh-CN"/>
        </w:rPr>
        <w:t>投标总价为</w:t>
      </w:r>
      <w:r>
        <w:rPr>
          <w:sz w:val="24"/>
          <w:lang w:eastAsia="zh-CN"/>
        </w:rPr>
        <w:t>（用文字和数字表示的投标总价）。</w:t>
      </w:r>
    </w:p>
    <w:p w14:paraId="4977E247">
      <w:pPr>
        <w:pStyle w:val="38"/>
        <w:numPr>
          <w:ilvl w:val="0"/>
          <w:numId w:val="24"/>
        </w:numPr>
        <w:tabs>
          <w:tab w:val="left" w:pos="1021"/>
        </w:tabs>
        <w:spacing w:line="306" w:lineRule="exact"/>
        <w:ind w:hanging="284"/>
        <w:outlineLvl w:val="1"/>
        <w:rPr>
          <w:rFonts w:hint="eastAsia"/>
          <w:sz w:val="24"/>
          <w:lang w:eastAsia="zh-CN"/>
        </w:rPr>
      </w:pPr>
      <w:bookmarkStart w:id="161" w:name="_Toc32553"/>
      <w:r>
        <w:rPr>
          <w:sz w:val="24"/>
          <w:lang w:eastAsia="zh-CN"/>
        </w:rPr>
        <w:t>投标人将按招标文件的规定履行合同责任和义务。</w:t>
      </w:r>
      <w:bookmarkEnd w:id="161"/>
    </w:p>
    <w:p w14:paraId="1730A8DE">
      <w:pPr>
        <w:pStyle w:val="38"/>
        <w:numPr>
          <w:ilvl w:val="0"/>
          <w:numId w:val="24"/>
        </w:numPr>
        <w:tabs>
          <w:tab w:val="left" w:pos="1021"/>
        </w:tabs>
        <w:spacing w:before="72" w:line="297" w:lineRule="auto"/>
        <w:ind w:right="577" w:hanging="284"/>
        <w:rPr>
          <w:rFonts w:hint="eastAsia"/>
          <w:sz w:val="24"/>
          <w:lang w:eastAsia="zh-CN"/>
        </w:rPr>
      </w:pPr>
      <w:r>
        <w:rPr>
          <w:spacing w:val="-3"/>
          <w:sz w:val="24"/>
          <w:lang w:eastAsia="zh-CN"/>
        </w:rPr>
        <w:t>投标人已详细审查全部招标文件，包括第</w:t>
      </w:r>
      <w:r>
        <w:rPr>
          <w:spacing w:val="-9"/>
          <w:sz w:val="24"/>
          <w:u w:val="single"/>
          <w:lang w:eastAsia="zh-CN"/>
        </w:rPr>
        <w:t>(编号、补遗函)(如果有的话)。</w:t>
      </w:r>
      <w:r>
        <w:rPr>
          <w:sz w:val="24"/>
          <w:lang w:eastAsia="zh-CN"/>
        </w:rPr>
        <w:t>我们完全理解并同意放弃对这方面有不明及误解的权力。</w:t>
      </w:r>
    </w:p>
    <w:p w14:paraId="40CB15C7">
      <w:pPr>
        <w:pStyle w:val="38"/>
        <w:numPr>
          <w:ilvl w:val="0"/>
          <w:numId w:val="24"/>
        </w:numPr>
        <w:tabs>
          <w:tab w:val="left" w:pos="1021"/>
          <w:tab w:val="left" w:pos="6312"/>
          <w:tab w:val="left" w:pos="7391"/>
        </w:tabs>
        <w:spacing w:line="306" w:lineRule="exact"/>
        <w:ind w:hanging="284"/>
        <w:outlineLvl w:val="1"/>
        <w:rPr>
          <w:rFonts w:hint="eastAsia"/>
          <w:sz w:val="24"/>
          <w:lang w:eastAsia="zh-CN"/>
        </w:rPr>
      </w:pPr>
      <w:bookmarkStart w:id="162" w:name="_Toc5678"/>
      <w:r>
        <w:rPr>
          <w:sz w:val="24"/>
          <w:lang w:eastAsia="zh-CN"/>
        </w:rPr>
        <w:t>本投标有效期为</w:t>
      </w:r>
      <w:r>
        <w:rPr>
          <w:b/>
          <w:sz w:val="24"/>
          <w:lang w:eastAsia="zh-CN"/>
        </w:rPr>
        <w:t>从提交投标文件截止之日起</w:t>
      </w:r>
      <w:r>
        <w:rPr>
          <w:b/>
          <w:sz w:val="24"/>
          <w:u w:val="single"/>
          <w:lang w:eastAsia="zh-CN"/>
        </w:rPr>
        <w:t xml:space="preserve"> </w:t>
      </w:r>
      <w:r>
        <w:rPr>
          <w:b/>
          <w:sz w:val="24"/>
          <w:u w:val="single"/>
          <w:lang w:eastAsia="zh-CN"/>
        </w:rPr>
        <w:tab/>
      </w:r>
      <w:r>
        <w:rPr>
          <w:sz w:val="24"/>
          <w:u w:val="single"/>
          <w:lang w:eastAsia="zh-CN"/>
        </w:rPr>
        <w:t>90</w:t>
      </w:r>
      <w:r>
        <w:rPr>
          <w:sz w:val="24"/>
          <w:u w:val="single"/>
          <w:lang w:eastAsia="zh-CN"/>
        </w:rPr>
        <w:tab/>
      </w:r>
      <w:r>
        <w:rPr>
          <w:sz w:val="24"/>
          <w:lang w:eastAsia="zh-CN"/>
        </w:rPr>
        <w:t>天。</w:t>
      </w:r>
      <w:bookmarkEnd w:id="162"/>
    </w:p>
    <w:p w14:paraId="4A0F57EC">
      <w:pPr>
        <w:pStyle w:val="38"/>
        <w:numPr>
          <w:ilvl w:val="0"/>
          <w:numId w:val="24"/>
        </w:numPr>
        <w:tabs>
          <w:tab w:val="left" w:pos="1021"/>
        </w:tabs>
        <w:spacing w:before="72" w:line="297" w:lineRule="auto"/>
        <w:ind w:right="577" w:hanging="284"/>
        <w:rPr>
          <w:rFonts w:hint="eastAsia"/>
          <w:sz w:val="24"/>
          <w:lang w:eastAsia="zh-CN"/>
        </w:rPr>
      </w:pPr>
      <w:r>
        <w:rPr>
          <w:spacing w:val="-7"/>
          <w:sz w:val="24"/>
          <w:lang w:eastAsia="zh-CN"/>
        </w:rPr>
        <w:t>如果在规定的开标时间后，投标人在投标有效期内撤回投标，投标保证金不予退还。</w:t>
      </w:r>
    </w:p>
    <w:p w14:paraId="49ACD066">
      <w:pPr>
        <w:pStyle w:val="38"/>
        <w:numPr>
          <w:ilvl w:val="0"/>
          <w:numId w:val="24"/>
        </w:numPr>
        <w:tabs>
          <w:tab w:val="left" w:pos="1021"/>
        </w:tabs>
        <w:spacing w:line="295" w:lineRule="auto"/>
        <w:ind w:right="577" w:hanging="284"/>
        <w:rPr>
          <w:rFonts w:hint="eastAsia"/>
          <w:sz w:val="24"/>
          <w:lang w:eastAsia="zh-CN"/>
        </w:rPr>
      </w:pPr>
      <w:r>
        <w:rPr>
          <w:spacing w:val="-4"/>
          <w:sz w:val="24"/>
          <w:lang w:eastAsia="zh-CN"/>
        </w:rPr>
        <w:t>投标人同意提供按照贵方可能要求的与其投标有关的一切数据或资料，完全理解贵方不一定接受最低价的投标或收到的任何投标。</w:t>
      </w:r>
    </w:p>
    <w:p w14:paraId="05C3C6D4">
      <w:pPr>
        <w:pStyle w:val="38"/>
        <w:numPr>
          <w:ilvl w:val="0"/>
          <w:numId w:val="24"/>
        </w:numPr>
        <w:tabs>
          <w:tab w:val="left" w:pos="1021"/>
        </w:tabs>
        <w:spacing w:before="2"/>
        <w:ind w:hanging="284"/>
        <w:outlineLvl w:val="1"/>
        <w:rPr>
          <w:rFonts w:hint="eastAsia"/>
          <w:sz w:val="24"/>
          <w:lang w:eastAsia="zh-CN"/>
        </w:rPr>
      </w:pPr>
      <w:bookmarkStart w:id="163" w:name="_Toc21364"/>
      <w:r>
        <w:rPr>
          <w:sz w:val="24"/>
          <w:lang w:eastAsia="zh-CN"/>
        </w:rPr>
        <w:t>与本投标有关的一切正式往来信函请寄:</w:t>
      </w:r>
      <w:bookmarkEnd w:id="163"/>
    </w:p>
    <w:p w14:paraId="42AF6A76">
      <w:pPr>
        <w:pStyle w:val="8"/>
        <w:spacing w:before="6"/>
        <w:rPr>
          <w:rFonts w:hint="eastAsia"/>
          <w:sz w:val="19"/>
          <w:lang w:eastAsia="zh-CN"/>
        </w:rPr>
      </w:pPr>
    </w:p>
    <w:p w14:paraId="5E941A97">
      <w:pPr>
        <w:pStyle w:val="8"/>
        <w:ind w:left="238"/>
        <w:rPr>
          <w:rFonts w:hint="eastAsia"/>
          <w:lang w:eastAsia="zh-CN"/>
        </w:rPr>
      </w:pPr>
      <w:r>
        <w:rPr>
          <w:lang w:eastAsia="zh-CN"/>
        </w:rPr>
        <w:t>地址传真</w:t>
      </w:r>
    </w:p>
    <w:p w14:paraId="72CCF802">
      <w:pPr>
        <w:pStyle w:val="8"/>
        <w:spacing w:before="161" w:line="400" w:lineRule="auto"/>
        <w:ind w:left="238" w:right="8205"/>
        <w:rPr>
          <w:rFonts w:hint="eastAsia"/>
          <w:lang w:eastAsia="zh-CN"/>
        </w:rPr>
      </w:pPr>
      <w:r>
        <w:rPr>
          <w:lang w:eastAsia="zh-CN"/>
        </w:rPr>
        <w:t>电话电子邮件投标人盖章：</w:t>
      </w:r>
    </w:p>
    <w:p w14:paraId="3C5346CF">
      <w:pPr>
        <w:pStyle w:val="8"/>
        <w:spacing w:before="48" w:line="439" w:lineRule="auto"/>
        <w:ind w:left="238" w:right="5805"/>
        <w:rPr>
          <w:rFonts w:hint="eastAsia"/>
          <w:lang w:eastAsia="zh-CN"/>
        </w:rPr>
      </w:pPr>
      <w:r>
        <w:rPr>
          <w:lang w:eastAsia="zh-CN"/>
        </w:rPr>
        <w:t>法定代表人或委托代理签字或盖章： 日期：</w:t>
      </w:r>
    </w:p>
    <w:p w14:paraId="0CBA13F6">
      <w:pPr>
        <w:spacing w:line="439" w:lineRule="auto"/>
        <w:rPr>
          <w:rFonts w:hint="eastAsia"/>
          <w:lang w:eastAsia="zh-CN"/>
        </w:rPr>
        <w:sectPr>
          <w:pgSz w:w="11910" w:h="16840"/>
          <w:pgMar w:top="1380" w:right="840" w:bottom="1380" w:left="1180" w:header="0" w:footer="1200" w:gutter="0"/>
          <w:cols w:space="720" w:num="1"/>
        </w:sectPr>
      </w:pPr>
    </w:p>
    <w:p w14:paraId="0DD51992">
      <w:pPr>
        <w:spacing w:before="42"/>
        <w:ind w:left="219" w:right="275"/>
        <w:jc w:val="center"/>
        <w:rPr>
          <w:rFonts w:hint="eastAsia"/>
          <w:b/>
          <w:sz w:val="24"/>
          <w:lang w:eastAsia="zh-CN"/>
        </w:rPr>
      </w:pPr>
      <w:bookmarkStart w:id="164" w:name="_bookmark43"/>
      <w:bookmarkEnd w:id="164"/>
      <w:bookmarkStart w:id="165" w:name="格式2.开标一览表"/>
      <w:bookmarkEnd w:id="165"/>
      <w:bookmarkStart w:id="166" w:name="格式4.开标一览明细表"/>
      <w:bookmarkEnd w:id="166"/>
      <w:bookmarkStart w:id="167" w:name="_bookmark45"/>
      <w:bookmarkEnd w:id="167"/>
      <w:r>
        <w:rPr>
          <w:b/>
          <w:sz w:val="24"/>
          <w:lang w:eastAsia="zh-CN"/>
        </w:rPr>
        <w:t xml:space="preserve">格式 </w:t>
      </w:r>
      <w:r>
        <w:rPr>
          <w:rFonts w:hint="eastAsia"/>
          <w:b/>
          <w:sz w:val="24"/>
          <w:lang w:eastAsia="zh-CN"/>
        </w:rPr>
        <w:t>2</w:t>
      </w:r>
      <w:r>
        <w:rPr>
          <w:b/>
          <w:sz w:val="24"/>
          <w:lang w:eastAsia="zh-CN"/>
        </w:rPr>
        <w:t>开标一览明细表</w:t>
      </w:r>
    </w:p>
    <w:p w14:paraId="43429CA1">
      <w:pPr>
        <w:pStyle w:val="8"/>
        <w:tabs>
          <w:tab w:val="left" w:pos="3297"/>
        </w:tabs>
        <w:spacing w:before="160" w:line="312" w:lineRule="auto"/>
        <w:ind w:left="238" w:right="6586"/>
        <w:rPr>
          <w:rFonts w:ascii="Times New Roman" w:eastAsia="Times New Roman"/>
          <w:lang w:eastAsia="zh-CN"/>
        </w:rPr>
      </w:pPr>
      <w:r>
        <w:rPr>
          <w:spacing w:val="-1"/>
          <w:lang w:eastAsia="zh-CN"/>
        </w:rPr>
        <w:t>投</w:t>
      </w:r>
      <w:r>
        <w:rPr>
          <w:lang w:eastAsia="zh-CN"/>
        </w:rPr>
        <w:t>标人名称：</w:t>
      </w:r>
      <w:r>
        <w:rPr>
          <w:rFonts w:ascii="Times New Roman" w:eastAsia="Times New Roman"/>
          <w:u w:val="single"/>
          <w:lang w:eastAsia="zh-CN"/>
        </w:rPr>
        <w:tab/>
      </w:r>
      <w:r>
        <w:rPr>
          <w:rFonts w:hint="eastAsia" w:ascii="Times New Roman" w:eastAsia="宋体"/>
          <w:u w:val="single"/>
          <w:lang w:eastAsia="zh-CN"/>
        </w:rPr>
        <w:t xml:space="preserve">  </w:t>
      </w:r>
      <w:r>
        <w:rPr>
          <w:rFonts w:ascii="Times New Roman" w:eastAsia="Times New Roman"/>
          <w:u w:val="single"/>
          <w:lang w:eastAsia="zh-CN"/>
        </w:rPr>
        <w:t xml:space="preserve"> </w:t>
      </w:r>
      <w:r>
        <w:rPr>
          <w:rFonts w:ascii="Times New Roman" w:eastAsia="Times New Roman"/>
          <w:spacing w:val="-1"/>
          <w:u w:val="single"/>
          <w:lang w:eastAsia="zh-CN"/>
        </w:rPr>
        <w:t xml:space="preserve">           </w:t>
      </w:r>
      <w:r>
        <w:rPr>
          <w:rFonts w:ascii="Times New Roman" w:eastAsia="Times New Roman"/>
          <w:spacing w:val="10"/>
          <w:u w:val="single"/>
          <w:lang w:eastAsia="zh-CN"/>
        </w:rPr>
        <w:t xml:space="preserve"> </w:t>
      </w:r>
      <w:r>
        <w:rPr>
          <w:spacing w:val="-1"/>
          <w:lang w:eastAsia="zh-CN"/>
        </w:rPr>
        <w:t>招</w:t>
      </w:r>
      <w:r>
        <w:rPr>
          <w:lang w:eastAsia="zh-CN"/>
        </w:rPr>
        <w:t>标编号：</w:t>
      </w:r>
      <w:r>
        <w:rPr>
          <w:rFonts w:ascii="Times New Roman" w:eastAsia="Times New Roman"/>
          <w:u w:val="single"/>
          <w:lang w:eastAsia="zh-CN"/>
        </w:rPr>
        <w:t xml:space="preserve"> </w:t>
      </w:r>
      <w:r>
        <w:rPr>
          <w:rFonts w:hint="eastAsia" w:ascii="Times New Roman" w:eastAsia="宋体"/>
          <w:u w:val="single"/>
          <w:lang w:eastAsia="zh-CN"/>
        </w:rPr>
        <w:t xml:space="preserve">    </w:t>
      </w:r>
      <w:r>
        <w:rPr>
          <w:rFonts w:ascii="Times New Roman" w:eastAsia="Times New Roman"/>
          <w:u w:val="single"/>
          <w:lang w:eastAsia="zh-CN"/>
        </w:rPr>
        <w:tab/>
      </w:r>
    </w:p>
    <w:p w14:paraId="6D7F94DE">
      <w:pPr>
        <w:pStyle w:val="8"/>
        <w:rPr>
          <w:rFonts w:hint="eastAsia" w:ascii="Times New Roman"/>
          <w:sz w:val="20"/>
          <w:lang w:eastAsia="zh-CN"/>
        </w:rPr>
      </w:pPr>
    </w:p>
    <w:p w14:paraId="527EF452">
      <w:pPr>
        <w:pStyle w:val="8"/>
        <w:rPr>
          <w:rFonts w:hint="eastAsia" w:ascii="Times New Roman"/>
          <w:sz w:val="20"/>
          <w:lang w:eastAsia="zh-CN"/>
        </w:rPr>
      </w:pPr>
    </w:p>
    <w:tbl>
      <w:tblPr>
        <w:tblStyle w:val="37"/>
        <w:tblW w:w="89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8"/>
        <w:gridCol w:w="2091"/>
        <w:gridCol w:w="745"/>
        <w:gridCol w:w="1554"/>
        <w:gridCol w:w="1716"/>
        <w:gridCol w:w="1633"/>
      </w:tblGrid>
      <w:tr w14:paraId="18688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jc w:val="center"/>
        </w:trPr>
        <w:tc>
          <w:tcPr>
            <w:tcW w:w="1178" w:type="dxa"/>
            <w:tcBorders>
              <w:top w:val="single" w:color="000000" w:sz="10" w:space="0"/>
              <w:left w:val="single" w:color="000000" w:sz="10" w:space="0"/>
              <w:right w:val="single" w:color="000000" w:sz="2" w:space="0"/>
            </w:tcBorders>
          </w:tcPr>
          <w:p w14:paraId="6B6FC860">
            <w:pPr>
              <w:pStyle w:val="55"/>
              <w:wordWrap w:val="0"/>
              <w:spacing w:before="154" w:line="210" w:lineRule="auto"/>
              <w:rPr>
                <w:rFonts w:hint="eastAsia"/>
              </w:rPr>
            </w:pPr>
            <w:r>
              <w:rPr>
                <w:rFonts w:hint="eastAsia"/>
              </w:rPr>
              <w:t>序号</w:t>
            </w:r>
          </w:p>
        </w:tc>
        <w:tc>
          <w:tcPr>
            <w:tcW w:w="2091" w:type="dxa"/>
            <w:tcBorders>
              <w:top w:val="single" w:color="000000" w:sz="10" w:space="0"/>
              <w:left w:val="single" w:color="000000" w:sz="2" w:space="0"/>
            </w:tcBorders>
          </w:tcPr>
          <w:p w14:paraId="3A66FBDE">
            <w:pPr>
              <w:wordWrap w:val="0"/>
              <w:spacing w:line="423" w:lineRule="auto"/>
              <w:rPr>
                <w:rFonts w:hint="eastAsia" w:ascii="宋体" w:hAnsi="宋体" w:eastAsia="宋体" w:cs="宋体"/>
                <w:sz w:val="21"/>
              </w:rPr>
            </w:pPr>
          </w:p>
          <w:p w14:paraId="1BD94A31">
            <w:pPr>
              <w:pStyle w:val="55"/>
              <w:wordWrap w:val="0"/>
              <w:spacing w:before="78" w:line="220" w:lineRule="auto"/>
              <w:ind w:left="347"/>
              <w:rPr>
                <w:rFonts w:hint="eastAsia"/>
              </w:rPr>
            </w:pPr>
            <w:r>
              <w:rPr>
                <w:rFonts w:hint="eastAsia"/>
              </w:rPr>
              <w:t>费用名称</w:t>
            </w:r>
          </w:p>
        </w:tc>
        <w:tc>
          <w:tcPr>
            <w:tcW w:w="745" w:type="dxa"/>
            <w:tcBorders>
              <w:top w:val="single" w:color="000000" w:sz="10" w:space="0"/>
              <w:right w:val="single" w:color="000000" w:sz="2" w:space="0"/>
            </w:tcBorders>
          </w:tcPr>
          <w:p w14:paraId="7A000BC5">
            <w:pPr>
              <w:wordWrap w:val="0"/>
              <w:spacing w:line="423" w:lineRule="auto"/>
              <w:rPr>
                <w:rFonts w:hint="eastAsia" w:ascii="宋体" w:hAnsi="宋体" w:eastAsia="宋体" w:cs="宋体"/>
                <w:sz w:val="21"/>
              </w:rPr>
            </w:pPr>
          </w:p>
          <w:p w14:paraId="6ED079D4">
            <w:pPr>
              <w:pStyle w:val="55"/>
              <w:wordWrap w:val="0"/>
              <w:spacing w:before="78" w:line="219" w:lineRule="auto"/>
              <w:ind w:left="126"/>
              <w:rPr>
                <w:rFonts w:hint="eastAsia"/>
              </w:rPr>
            </w:pPr>
            <w:r>
              <w:rPr>
                <w:rFonts w:hint="eastAsia"/>
              </w:rPr>
              <w:t>数量</w:t>
            </w:r>
          </w:p>
        </w:tc>
        <w:tc>
          <w:tcPr>
            <w:tcW w:w="1554" w:type="dxa"/>
            <w:tcBorders>
              <w:top w:val="single" w:color="000000" w:sz="10" w:space="0"/>
              <w:left w:val="single" w:color="000000" w:sz="2" w:space="0"/>
              <w:right w:val="single" w:color="000000" w:sz="2" w:space="0"/>
            </w:tcBorders>
          </w:tcPr>
          <w:p w14:paraId="4EDE9E32">
            <w:pPr>
              <w:pStyle w:val="55"/>
              <w:wordWrap w:val="0"/>
              <w:spacing w:before="305" w:line="263" w:lineRule="auto"/>
              <w:ind w:left="118" w:right="67" w:firstLine="76"/>
              <w:rPr>
                <w:rFonts w:hint="eastAsia"/>
              </w:rPr>
            </w:pPr>
            <w:r>
              <w:rPr>
                <w:rFonts w:hint="eastAsia"/>
              </w:rPr>
              <w:t>单价</w:t>
            </w:r>
            <w:r>
              <w:rPr>
                <w:rFonts w:hint="eastAsia"/>
                <w:lang w:eastAsia="zh-CN"/>
              </w:rPr>
              <w:t>（</w:t>
            </w:r>
            <w:r>
              <w:rPr>
                <w:rFonts w:hint="eastAsia"/>
              </w:rPr>
              <w:t>元）</w:t>
            </w:r>
          </w:p>
        </w:tc>
        <w:tc>
          <w:tcPr>
            <w:tcW w:w="1716" w:type="dxa"/>
            <w:tcBorders>
              <w:top w:val="single" w:color="000000" w:sz="10" w:space="0"/>
              <w:left w:val="single" w:color="000000" w:sz="2" w:space="0"/>
              <w:right w:val="single" w:color="000000" w:sz="2" w:space="0"/>
            </w:tcBorders>
          </w:tcPr>
          <w:p w14:paraId="4D67B875">
            <w:pPr>
              <w:pStyle w:val="55"/>
              <w:wordWrap w:val="0"/>
              <w:spacing w:before="304" w:line="399" w:lineRule="exact"/>
              <w:ind w:left="333"/>
              <w:rPr>
                <w:rFonts w:hint="eastAsia"/>
              </w:rPr>
            </w:pPr>
            <w:r>
              <w:rPr>
                <w:rFonts w:hint="eastAsia"/>
              </w:rPr>
              <w:t>总价（元）</w:t>
            </w:r>
          </w:p>
        </w:tc>
        <w:tc>
          <w:tcPr>
            <w:tcW w:w="1633" w:type="dxa"/>
            <w:tcBorders>
              <w:top w:val="single" w:color="000000" w:sz="10" w:space="0"/>
              <w:left w:val="single" w:color="000000" w:sz="2" w:space="0"/>
              <w:right w:val="single" w:color="000000" w:sz="2" w:space="0"/>
            </w:tcBorders>
          </w:tcPr>
          <w:p w14:paraId="1F1C479C">
            <w:pPr>
              <w:wordWrap w:val="0"/>
              <w:spacing w:line="422" w:lineRule="auto"/>
              <w:rPr>
                <w:rFonts w:hint="eastAsia" w:ascii="宋体" w:hAnsi="宋体" w:eastAsia="宋体" w:cs="宋体"/>
                <w:sz w:val="21"/>
              </w:rPr>
            </w:pPr>
          </w:p>
          <w:p w14:paraId="1AF3DCC1">
            <w:pPr>
              <w:pStyle w:val="55"/>
              <w:wordWrap w:val="0"/>
              <w:spacing w:before="78" w:line="221" w:lineRule="auto"/>
              <w:ind w:left="828"/>
              <w:rPr>
                <w:rFonts w:hint="eastAsia"/>
              </w:rPr>
            </w:pPr>
            <w:r>
              <w:rPr>
                <w:rFonts w:hint="eastAsia"/>
              </w:rPr>
              <w:t>备注</w:t>
            </w:r>
          </w:p>
        </w:tc>
      </w:tr>
      <w:tr w14:paraId="24D84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178" w:type="dxa"/>
            <w:tcBorders>
              <w:left w:val="single" w:color="000000" w:sz="10" w:space="0"/>
              <w:right w:val="single" w:color="000000" w:sz="2" w:space="0"/>
            </w:tcBorders>
          </w:tcPr>
          <w:p w14:paraId="7D9A9335">
            <w:pPr>
              <w:pStyle w:val="55"/>
              <w:wordWrap w:val="0"/>
              <w:spacing w:before="159" w:line="165" w:lineRule="auto"/>
              <w:ind w:left="223"/>
              <w:rPr>
                <w:rFonts w:hint="eastAsia"/>
              </w:rPr>
            </w:pPr>
            <w:r>
              <w:rPr>
                <w:rFonts w:hint="eastAsia"/>
              </w:rPr>
              <w:t>1</w:t>
            </w:r>
          </w:p>
        </w:tc>
        <w:tc>
          <w:tcPr>
            <w:tcW w:w="2091" w:type="dxa"/>
            <w:tcBorders>
              <w:left w:val="single" w:color="000000" w:sz="2" w:space="0"/>
            </w:tcBorders>
          </w:tcPr>
          <w:p w14:paraId="2E0E40DB">
            <w:pPr>
              <w:wordWrap w:val="0"/>
              <w:rPr>
                <w:rFonts w:hint="eastAsia" w:ascii="宋体" w:hAnsi="宋体" w:eastAsia="宋体" w:cs="宋体"/>
                <w:sz w:val="21"/>
              </w:rPr>
            </w:pPr>
          </w:p>
        </w:tc>
        <w:tc>
          <w:tcPr>
            <w:tcW w:w="745" w:type="dxa"/>
            <w:tcBorders>
              <w:right w:val="single" w:color="000000" w:sz="2" w:space="0"/>
            </w:tcBorders>
          </w:tcPr>
          <w:p w14:paraId="73DADAE9">
            <w:pPr>
              <w:wordWrap w:val="0"/>
              <w:jc w:val="center"/>
              <w:rPr>
                <w:rFonts w:hint="eastAsia" w:ascii="宋体" w:hAnsi="宋体" w:eastAsia="宋体" w:cs="宋体"/>
                <w:sz w:val="21"/>
                <w:lang w:eastAsia="zh-CN"/>
              </w:rPr>
            </w:pPr>
            <w:r>
              <w:rPr>
                <w:rFonts w:hint="eastAsia" w:ascii="宋体" w:hAnsi="宋体" w:eastAsia="宋体" w:cs="宋体"/>
                <w:sz w:val="21"/>
                <w:lang w:eastAsia="zh-CN"/>
              </w:rPr>
              <w:t>1</w:t>
            </w:r>
          </w:p>
        </w:tc>
        <w:tc>
          <w:tcPr>
            <w:tcW w:w="1554" w:type="dxa"/>
            <w:tcBorders>
              <w:left w:val="single" w:color="000000" w:sz="2" w:space="0"/>
              <w:right w:val="single" w:color="000000" w:sz="2" w:space="0"/>
            </w:tcBorders>
          </w:tcPr>
          <w:p w14:paraId="2E0D162E">
            <w:pPr>
              <w:wordWrap w:val="0"/>
              <w:rPr>
                <w:rFonts w:hint="eastAsia" w:ascii="宋体" w:hAnsi="宋体" w:eastAsia="宋体" w:cs="宋体"/>
                <w:sz w:val="21"/>
              </w:rPr>
            </w:pPr>
          </w:p>
        </w:tc>
        <w:tc>
          <w:tcPr>
            <w:tcW w:w="1716" w:type="dxa"/>
            <w:tcBorders>
              <w:left w:val="single" w:color="000000" w:sz="2" w:space="0"/>
              <w:right w:val="single" w:color="000000" w:sz="2" w:space="0"/>
            </w:tcBorders>
          </w:tcPr>
          <w:p w14:paraId="4718AE2A">
            <w:pPr>
              <w:wordWrap w:val="0"/>
              <w:rPr>
                <w:rFonts w:hint="eastAsia" w:ascii="宋体" w:hAnsi="宋体" w:eastAsia="宋体" w:cs="宋体"/>
                <w:sz w:val="21"/>
              </w:rPr>
            </w:pPr>
          </w:p>
        </w:tc>
        <w:tc>
          <w:tcPr>
            <w:tcW w:w="1633" w:type="dxa"/>
            <w:vMerge w:val="restart"/>
            <w:tcBorders>
              <w:left w:val="single" w:color="000000" w:sz="2" w:space="0"/>
              <w:right w:val="single" w:color="000000" w:sz="2" w:space="0"/>
            </w:tcBorders>
          </w:tcPr>
          <w:p w14:paraId="18DE57BA">
            <w:pPr>
              <w:wordWrap w:val="0"/>
              <w:rPr>
                <w:rFonts w:hint="eastAsia" w:ascii="宋体" w:hAnsi="宋体" w:eastAsia="宋体" w:cs="宋体"/>
                <w:sz w:val="21"/>
                <w:lang w:eastAsia="zh-CN"/>
              </w:rPr>
            </w:pPr>
          </w:p>
        </w:tc>
      </w:tr>
      <w:tr w14:paraId="1C8E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178" w:type="dxa"/>
            <w:tcBorders>
              <w:left w:val="single" w:color="000000" w:sz="10" w:space="0"/>
              <w:right w:val="single" w:color="000000" w:sz="2" w:space="0"/>
            </w:tcBorders>
          </w:tcPr>
          <w:p w14:paraId="17F1EB6D">
            <w:pPr>
              <w:pStyle w:val="55"/>
              <w:wordWrap w:val="0"/>
              <w:spacing w:before="162" w:line="163" w:lineRule="auto"/>
              <w:ind w:left="208"/>
              <w:rPr>
                <w:rFonts w:hint="eastAsia"/>
              </w:rPr>
            </w:pPr>
            <w:r>
              <w:rPr>
                <w:rFonts w:hint="eastAsia"/>
              </w:rPr>
              <w:t>2</w:t>
            </w:r>
          </w:p>
        </w:tc>
        <w:tc>
          <w:tcPr>
            <w:tcW w:w="2091" w:type="dxa"/>
            <w:tcBorders>
              <w:left w:val="single" w:color="000000" w:sz="2" w:space="0"/>
            </w:tcBorders>
          </w:tcPr>
          <w:p w14:paraId="36E171F7">
            <w:pPr>
              <w:wordWrap w:val="0"/>
              <w:rPr>
                <w:rFonts w:hint="eastAsia" w:ascii="宋体" w:hAnsi="宋体" w:eastAsia="宋体" w:cs="宋体"/>
                <w:sz w:val="21"/>
              </w:rPr>
            </w:pPr>
          </w:p>
        </w:tc>
        <w:tc>
          <w:tcPr>
            <w:tcW w:w="745" w:type="dxa"/>
            <w:tcBorders>
              <w:right w:val="single" w:color="000000" w:sz="2" w:space="0"/>
            </w:tcBorders>
          </w:tcPr>
          <w:p w14:paraId="01DDE182">
            <w:pPr>
              <w:wordWrap w:val="0"/>
              <w:jc w:val="center"/>
              <w:rPr>
                <w:rFonts w:hint="eastAsia" w:ascii="宋体" w:hAnsi="宋体" w:eastAsia="宋体" w:cs="宋体"/>
                <w:sz w:val="21"/>
                <w:lang w:eastAsia="zh-CN"/>
              </w:rPr>
            </w:pPr>
            <w:r>
              <w:rPr>
                <w:rFonts w:hint="eastAsia" w:ascii="宋体" w:hAnsi="宋体" w:eastAsia="宋体" w:cs="宋体"/>
                <w:sz w:val="21"/>
                <w:lang w:eastAsia="zh-CN"/>
              </w:rPr>
              <w:t>1</w:t>
            </w:r>
          </w:p>
        </w:tc>
        <w:tc>
          <w:tcPr>
            <w:tcW w:w="1554" w:type="dxa"/>
            <w:tcBorders>
              <w:left w:val="single" w:color="000000" w:sz="2" w:space="0"/>
              <w:right w:val="single" w:color="000000" w:sz="2" w:space="0"/>
            </w:tcBorders>
          </w:tcPr>
          <w:p w14:paraId="3820E45C">
            <w:pPr>
              <w:wordWrap w:val="0"/>
              <w:rPr>
                <w:rFonts w:hint="eastAsia" w:ascii="宋体" w:hAnsi="宋体" w:eastAsia="宋体" w:cs="宋体"/>
                <w:sz w:val="21"/>
              </w:rPr>
            </w:pPr>
          </w:p>
        </w:tc>
        <w:tc>
          <w:tcPr>
            <w:tcW w:w="1716" w:type="dxa"/>
            <w:tcBorders>
              <w:left w:val="single" w:color="000000" w:sz="2" w:space="0"/>
              <w:right w:val="single" w:color="000000" w:sz="2" w:space="0"/>
            </w:tcBorders>
          </w:tcPr>
          <w:p w14:paraId="60E576BD">
            <w:pPr>
              <w:wordWrap w:val="0"/>
              <w:rPr>
                <w:rFonts w:hint="eastAsia" w:ascii="宋体" w:hAnsi="宋体" w:eastAsia="宋体" w:cs="宋体"/>
                <w:sz w:val="21"/>
              </w:rPr>
            </w:pPr>
          </w:p>
        </w:tc>
        <w:tc>
          <w:tcPr>
            <w:tcW w:w="1633" w:type="dxa"/>
            <w:vMerge w:val="continue"/>
            <w:tcBorders>
              <w:left w:val="single" w:color="000000" w:sz="2" w:space="0"/>
              <w:right w:val="single" w:color="000000" w:sz="2" w:space="0"/>
            </w:tcBorders>
          </w:tcPr>
          <w:p w14:paraId="5E090EEB">
            <w:pPr>
              <w:wordWrap w:val="0"/>
              <w:rPr>
                <w:rFonts w:hint="eastAsia" w:ascii="宋体" w:hAnsi="宋体" w:eastAsia="宋体" w:cs="宋体"/>
                <w:sz w:val="21"/>
              </w:rPr>
            </w:pPr>
          </w:p>
        </w:tc>
      </w:tr>
      <w:tr w14:paraId="767F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178" w:type="dxa"/>
            <w:tcBorders>
              <w:left w:val="single" w:color="000000" w:sz="10" w:space="0"/>
              <w:right w:val="single" w:color="000000" w:sz="2" w:space="0"/>
            </w:tcBorders>
          </w:tcPr>
          <w:p w14:paraId="1768B2ED">
            <w:pPr>
              <w:pStyle w:val="55"/>
              <w:wordWrap w:val="0"/>
              <w:spacing w:before="162" w:line="163" w:lineRule="auto"/>
              <w:ind w:left="208"/>
              <w:rPr>
                <w:rFonts w:hint="eastAsia"/>
                <w:lang w:eastAsia="zh-CN"/>
              </w:rPr>
            </w:pPr>
            <w:r>
              <w:rPr>
                <w:rFonts w:hint="eastAsia"/>
                <w:lang w:eastAsia="zh-CN"/>
              </w:rPr>
              <w:t>3</w:t>
            </w:r>
          </w:p>
        </w:tc>
        <w:tc>
          <w:tcPr>
            <w:tcW w:w="2091" w:type="dxa"/>
            <w:tcBorders>
              <w:left w:val="single" w:color="000000" w:sz="2" w:space="0"/>
            </w:tcBorders>
          </w:tcPr>
          <w:p w14:paraId="26A4EC11">
            <w:pPr>
              <w:wordWrap w:val="0"/>
              <w:rPr>
                <w:rFonts w:hint="eastAsia" w:ascii="宋体" w:hAnsi="宋体" w:eastAsia="宋体" w:cs="宋体"/>
                <w:sz w:val="21"/>
              </w:rPr>
            </w:pPr>
          </w:p>
        </w:tc>
        <w:tc>
          <w:tcPr>
            <w:tcW w:w="745" w:type="dxa"/>
            <w:tcBorders>
              <w:right w:val="single" w:color="000000" w:sz="2" w:space="0"/>
            </w:tcBorders>
          </w:tcPr>
          <w:p w14:paraId="200103F9">
            <w:pPr>
              <w:wordWrap w:val="0"/>
              <w:jc w:val="center"/>
              <w:rPr>
                <w:rFonts w:hint="eastAsia" w:ascii="宋体" w:hAnsi="宋体" w:eastAsia="宋体" w:cs="宋体"/>
                <w:sz w:val="21"/>
                <w:lang w:eastAsia="zh-CN"/>
              </w:rPr>
            </w:pPr>
            <w:r>
              <w:rPr>
                <w:rFonts w:hint="eastAsia" w:ascii="宋体" w:hAnsi="宋体" w:eastAsia="宋体" w:cs="宋体"/>
                <w:sz w:val="21"/>
                <w:lang w:eastAsia="zh-CN"/>
              </w:rPr>
              <w:t>1</w:t>
            </w:r>
          </w:p>
        </w:tc>
        <w:tc>
          <w:tcPr>
            <w:tcW w:w="1554" w:type="dxa"/>
            <w:tcBorders>
              <w:left w:val="single" w:color="000000" w:sz="2" w:space="0"/>
              <w:right w:val="single" w:color="000000" w:sz="2" w:space="0"/>
            </w:tcBorders>
          </w:tcPr>
          <w:p w14:paraId="620218FC">
            <w:pPr>
              <w:wordWrap w:val="0"/>
              <w:rPr>
                <w:rFonts w:hint="eastAsia" w:ascii="宋体" w:hAnsi="宋体" w:eastAsia="宋体" w:cs="宋体"/>
                <w:sz w:val="21"/>
              </w:rPr>
            </w:pPr>
          </w:p>
        </w:tc>
        <w:tc>
          <w:tcPr>
            <w:tcW w:w="1716" w:type="dxa"/>
            <w:tcBorders>
              <w:left w:val="single" w:color="000000" w:sz="2" w:space="0"/>
              <w:right w:val="single" w:color="000000" w:sz="2" w:space="0"/>
            </w:tcBorders>
          </w:tcPr>
          <w:p w14:paraId="058557DD">
            <w:pPr>
              <w:wordWrap w:val="0"/>
              <w:rPr>
                <w:rFonts w:hint="eastAsia" w:ascii="宋体" w:hAnsi="宋体" w:eastAsia="宋体" w:cs="宋体"/>
                <w:sz w:val="21"/>
              </w:rPr>
            </w:pPr>
          </w:p>
        </w:tc>
        <w:tc>
          <w:tcPr>
            <w:tcW w:w="1633" w:type="dxa"/>
            <w:vMerge w:val="continue"/>
            <w:tcBorders>
              <w:left w:val="single" w:color="000000" w:sz="2" w:space="0"/>
              <w:right w:val="single" w:color="000000" w:sz="2" w:space="0"/>
            </w:tcBorders>
          </w:tcPr>
          <w:p w14:paraId="6788645E">
            <w:pPr>
              <w:wordWrap w:val="0"/>
              <w:rPr>
                <w:rFonts w:hint="eastAsia" w:ascii="宋体" w:hAnsi="宋体" w:eastAsia="宋体" w:cs="宋体"/>
                <w:sz w:val="21"/>
              </w:rPr>
            </w:pPr>
          </w:p>
        </w:tc>
      </w:tr>
      <w:tr w14:paraId="33286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178" w:type="dxa"/>
            <w:tcBorders>
              <w:left w:val="single" w:color="000000" w:sz="10" w:space="0"/>
              <w:right w:val="single" w:color="000000" w:sz="2" w:space="0"/>
            </w:tcBorders>
          </w:tcPr>
          <w:p w14:paraId="0DEC953A">
            <w:pPr>
              <w:pStyle w:val="55"/>
              <w:wordWrap w:val="0"/>
              <w:spacing w:before="162" w:line="163" w:lineRule="auto"/>
              <w:ind w:left="208"/>
              <w:rPr>
                <w:rFonts w:hint="eastAsia"/>
                <w:lang w:eastAsia="zh-CN"/>
              </w:rPr>
            </w:pPr>
            <w:r>
              <w:rPr>
                <w:rFonts w:hint="eastAsia"/>
                <w:lang w:eastAsia="zh-CN"/>
              </w:rPr>
              <w:t>4</w:t>
            </w:r>
          </w:p>
        </w:tc>
        <w:tc>
          <w:tcPr>
            <w:tcW w:w="2091" w:type="dxa"/>
            <w:tcBorders>
              <w:left w:val="single" w:color="000000" w:sz="2" w:space="0"/>
            </w:tcBorders>
          </w:tcPr>
          <w:p w14:paraId="48259CC6">
            <w:pPr>
              <w:wordWrap w:val="0"/>
              <w:rPr>
                <w:rFonts w:hint="eastAsia" w:ascii="宋体" w:hAnsi="宋体" w:eastAsia="宋体" w:cs="宋体"/>
                <w:sz w:val="21"/>
              </w:rPr>
            </w:pPr>
          </w:p>
        </w:tc>
        <w:tc>
          <w:tcPr>
            <w:tcW w:w="745" w:type="dxa"/>
            <w:tcBorders>
              <w:right w:val="single" w:color="000000" w:sz="2" w:space="0"/>
            </w:tcBorders>
          </w:tcPr>
          <w:p w14:paraId="65FC3570">
            <w:pPr>
              <w:wordWrap w:val="0"/>
              <w:jc w:val="center"/>
              <w:rPr>
                <w:rFonts w:hint="eastAsia" w:ascii="宋体" w:hAnsi="宋体" w:eastAsia="宋体" w:cs="宋体"/>
                <w:sz w:val="21"/>
                <w:lang w:eastAsia="zh-CN"/>
              </w:rPr>
            </w:pPr>
            <w:r>
              <w:rPr>
                <w:rFonts w:hint="eastAsia" w:ascii="宋体" w:hAnsi="宋体" w:eastAsia="宋体" w:cs="宋体"/>
                <w:sz w:val="21"/>
                <w:lang w:eastAsia="zh-CN"/>
              </w:rPr>
              <w:t>1</w:t>
            </w:r>
          </w:p>
        </w:tc>
        <w:tc>
          <w:tcPr>
            <w:tcW w:w="1554" w:type="dxa"/>
            <w:tcBorders>
              <w:left w:val="single" w:color="000000" w:sz="2" w:space="0"/>
              <w:right w:val="single" w:color="000000" w:sz="2" w:space="0"/>
            </w:tcBorders>
          </w:tcPr>
          <w:p w14:paraId="179AFDE7">
            <w:pPr>
              <w:wordWrap w:val="0"/>
              <w:rPr>
                <w:rFonts w:hint="eastAsia" w:ascii="宋体" w:hAnsi="宋体" w:eastAsia="宋体" w:cs="宋体"/>
                <w:sz w:val="21"/>
              </w:rPr>
            </w:pPr>
          </w:p>
        </w:tc>
        <w:tc>
          <w:tcPr>
            <w:tcW w:w="1716" w:type="dxa"/>
            <w:tcBorders>
              <w:left w:val="single" w:color="000000" w:sz="2" w:space="0"/>
              <w:right w:val="single" w:color="000000" w:sz="2" w:space="0"/>
            </w:tcBorders>
          </w:tcPr>
          <w:p w14:paraId="300B5632">
            <w:pPr>
              <w:wordWrap w:val="0"/>
              <w:rPr>
                <w:rFonts w:hint="eastAsia" w:ascii="宋体" w:hAnsi="宋体" w:eastAsia="宋体" w:cs="宋体"/>
                <w:sz w:val="21"/>
              </w:rPr>
            </w:pPr>
          </w:p>
        </w:tc>
        <w:tc>
          <w:tcPr>
            <w:tcW w:w="1633" w:type="dxa"/>
            <w:vMerge w:val="continue"/>
            <w:tcBorders>
              <w:left w:val="single" w:color="000000" w:sz="2" w:space="0"/>
              <w:right w:val="single" w:color="000000" w:sz="2" w:space="0"/>
            </w:tcBorders>
          </w:tcPr>
          <w:p w14:paraId="3DF67662">
            <w:pPr>
              <w:wordWrap w:val="0"/>
              <w:rPr>
                <w:rFonts w:hint="eastAsia" w:ascii="宋体" w:hAnsi="宋体" w:eastAsia="宋体" w:cs="宋体"/>
                <w:sz w:val="21"/>
              </w:rPr>
            </w:pPr>
          </w:p>
        </w:tc>
      </w:tr>
      <w:tr w14:paraId="2DE9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5568" w:type="dxa"/>
            <w:gridSpan w:val="4"/>
            <w:tcBorders>
              <w:left w:val="single" w:color="000000" w:sz="10" w:space="0"/>
              <w:right w:val="single" w:color="000000" w:sz="2" w:space="0"/>
            </w:tcBorders>
          </w:tcPr>
          <w:p w14:paraId="30DB82CD">
            <w:pPr>
              <w:wordWrap w:val="0"/>
              <w:rPr>
                <w:rFonts w:hint="eastAsia" w:ascii="宋体" w:hAnsi="宋体" w:eastAsia="宋体" w:cs="宋体"/>
                <w:sz w:val="21"/>
              </w:rPr>
            </w:pPr>
            <w:r>
              <w:rPr>
                <w:rFonts w:hint="eastAsia" w:ascii="宋体" w:hAnsi="宋体" w:eastAsia="宋体" w:cs="宋体"/>
              </w:rPr>
              <w:t>合计（大写</w:t>
            </w:r>
            <w:r>
              <w:rPr>
                <w:rFonts w:hint="eastAsia" w:ascii="宋体" w:hAnsi="宋体" w:eastAsia="宋体" w:cs="宋体"/>
                <w:w w:val="98"/>
              </w:rPr>
              <w:t>）：</w:t>
            </w:r>
          </w:p>
        </w:tc>
        <w:tc>
          <w:tcPr>
            <w:tcW w:w="1716" w:type="dxa"/>
            <w:tcBorders>
              <w:left w:val="single" w:color="000000" w:sz="2" w:space="0"/>
              <w:right w:val="single" w:color="000000" w:sz="2" w:space="0"/>
            </w:tcBorders>
          </w:tcPr>
          <w:p w14:paraId="7035BC0D">
            <w:pPr>
              <w:wordWrap w:val="0"/>
              <w:rPr>
                <w:rFonts w:hint="eastAsia" w:ascii="宋体" w:hAnsi="宋体" w:eastAsia="宋体" w:cs="宋体"/>
                <w:sz w:val="21"/>
              </w:rPr>
            </w:pPr>
          </w:p>
        </w:tc>
        <w:tc>
          <w:tcPr>
            <w:tcW w:w="1633" w:type="dxa"/>
            <w:tcBorders>
              <w:left w:val="single" w:color="000000" w:sz="2" w:space="0"/>
              <w:right w:val="single" w:color="000000" w:sz="2" w:space="0"/>
            </w:tcBorders>
          </w:tcPr>
          <w:p w14:paraId="587C26CC">
            <w:pPr>
              <w:wordWrap w:val="0"/>
              <w:rPr>
                <w:rFonts w:hint="eastAsia" w:ascii="宋体" w:hAnsi="宋体" w:eastAsia="宋体" w:cs="宋体"/>
                <w:sz w:val="21"/>
              </w:rPr>
            </w:pPr>
          </w:p>
        </w:tc>
      </w:tr>
    </w:tbl>
    <w:p w14:paraId="691B9D08">
      <w:pPr>
        <w:pStyle w:val="8"/>
        <w:rPr>
          <w:rFonts w:hint="eastAsia" w:ascii="Times New Roman"/>
          <w:sz w:val="20"/>
        </w:rPr>
      </w:pPr>
    </w:p>
    <w:p w14:paraId="636426D4">
      <w:pPr>
        <w:pStyle w:val="8"/>
        <w:rPr>
          <w:rFonts w:hint="eastAsia" w:ascii="Times New Roman"/>
          <w:sz w:val="20"/>
          <w:szCs w:val="22"/>
          <w:lang w:eastAsia="zh-CN"/>
        </w:rPr>
      </w:pPr>
      <w:r>
        <w:rPr>
          <w:rFonts w:hint="eastAsia" w:ascii="Times New Roman"/>
          <w:sz w:val="20"/>
          <w:lang w:eastAsia="zh-CN"/>
        </w:rPr>
        <w:t>注：1、本次招标为单价招标，中标单价为结算价。按单价汇总价进行价格评审。</w:t>
      </w:r>
    </w:p>
    <w:p w14:paraId="14327493">
      <w:pPr>
        <w:numPr>
          <w:ilvl w:val="0"/>
          <w:numId w:val="25"/>
        </w:numPr>
        <w:ind w:firstLine="400" w:firstLineChars="200"/>
        <w:rPr>
          <w:rFonts w:hint="eastAsia" w:ascii="Times New Roman"/>
          <w:sz w:val="20"/>
          <w:lang w:eastAsia="zh-CN"/>
        </w:rPr>
      </w:pPr>
      <w:r>
        <w:rPr>
          <w:rFonts w:ascii="Times New Roman"/>
          <w:sz w:val="20"/>
          <w:lang w:eastAsia="zh-CN"/>
        </w:rPr>
        <w:t>数量以实际发生为准，投标报价时，数量均为1</w:t>
      </w:r>
      <w:r>
        <w:rPr>
          <w:rFonts w:hint="eastAsia" w:ascii="Times New Roman"/>
          <w:sz w:val="20"/>
          <w:lang w:eastAsia="zh-CN"/>
        </w:rPr>
        <w:t>。本项目招标限额为300万元。</w:t>
      </w:r>
    </w:p>
    <w:p w14:paraId="6EAEF1E8">
      <w:pPr>
        <w:pStyle w:val="4"/>
        <w:spacing w:line="240" w:lineRule="exact"/>
        <w:ind w:right="0" w:firstLine="0"/>
        <w:rPr>
          <w:rFonts w:hint="eastAsia"/>
          <w:sz w:val="28"/>
          <w:szCs w:val="28"/>
          <w:lang w:eastAsia="zh-CN"/>
        </w:rPr>
      </w:pPr>
    </w:p>
    <w:p w14:paraId="48834E90">
      <w:pPr>
        <w:pStyle w:val="8"/>
        <w:spacing w:before="1"/>
        <w:rPr>
          <w:rFonts w:hint="eastAsia"/>
          <w:sz w:val="30"/>
          <w:lang w:eastAsia="zh-CN"/>
        </w:rPr>
      </w:pPr>
    </w:p>
    <w:p w14:paraId="7069B8C3">
      <w:pPr>
        <w:pStyle w:val="8"/>
        <w:tabs>
          <w:tab w:val="left" w:pos="3658"/>
        </w:tabs>
        <w:spacing w:before="1"/>
        <w:ind w:left="238"/>
        <w:rPr>
          <w:rFonts w:ascii="Times New Roman" w:eastAsia="Times New Roman"/>
          <w:lang w:eastAsia="zh-CN"/>
        </w:rPr>
      </w:pPr>
      <w:r>
        <w:rPr>
          <w:lang w:eastAsia="zh-CN"/>
        </w:rPr>
        <w:t>投标人盖章：</w:t>
      </w:r>
      <w:r>
        <w:rPr>
          <w:rFonts w:ascii="Times New Roman" w:eastAsia="Times New Roman"/>
          <w:u w:val="single"/>
          <w:lang w:eastAsia="zh-CN"/>
        </w:rPr>
        <w:t xml:space="preserve"> </w:t>
      </w:r>
      <w:r>
        <w:rPr>
          <w:rFonts w:ascii="Times New Roman" w:eastAsia="Times New Roman"/>
          <w:u w:val="single"/>
          <w:lang w:eastAsia="zh-CN"/>
        </w:rPr>
        <w:tab/>
      </w:r>
    </w:p>
    <w:p w14:paraId="51F74CC5">
      <w:pPr>
        <w:rPr>
          <w:rFonts w:ascii="Times New Roman" w:eastAsia="Times New Roman"/>
          <w:lang w:eastAsia="zh-CN"/>
        </w:rPr>
        <w:sectPr>
          <w:pgSz w:w="11910" w:h="16840"/>
          <w:pgMar w:top="1460" w:right="840" w:bottom="1380" w:left="1180" w:header="0" w:footer="1200" w:gutter="0"/>
          <w:cols w:space="720" w:num="1"/>
        </w:sectPr>
      </w:pPr>
    </w:p>
    <w:p w14:paraId="50FA7B43">
      <w:pPr>
        <w:pStyle w:val="7"/>
        <w:spacing w:before="37"/>
        <w:ind w:left="198"/>
        <w:jc w:val="center"/>
        <w:rPr>
          <w:rFonts w:hint="eastAsia"/>
          <w:lang w:eastAsia="zh-CN"/>
        </w:rPr>
      </w:pPr>
      <w:bookmarkStart w:id="168" w:name="_bookmark46"/>
      <w:bookmarkEnd w:id="168"/>
      <w:bookmarkStart w:id="169" w:name="格式5.服务需求响应/偏离表"/>
      <w:bookmarkEnd w:id="169"/>
      <w:r>
        <w:rPr>
          <w:lang w:eastAsia="zh-CN"/>
        </w:rPr>
        <w:t xml:space="preserve">格式 </w:t>
      </w:r>
      <w:r>
        <w:rPr>
          <w:rFonts w:hint="eastAsia"/>
          <w:lang w:eastAsia="zh-CN"/>
        </w:rPr>
        <w:t>3</w:t>
      </w:r>
      <w:r>
        <w:rPr>
          <w:lang w:eastAsia="zh-CN"/>
        </w:rPr>
        <w:t>.</w:t>
      </w:r>
      <w:r>
        <w:rPr>
          <w:rFonts w:hint="eastAsia"/>
          <w:lang w:eastAsia="zh-CN"/>
        </w:rPr>
        <w:t>技术条款</w:t>
      </w:r>
      <w:r>
        <w:rPr>
          <w:lang w:eastAsia="zh-CN"/>
        </w:rPr>
        <w:t>响应/偏离表</w:t>
      </w:r>
    </w:p>
    <w:p w14:paraId="3457A949">
      <w:pPr>
        <w:pStyle w:val="8"/>
        <w:rPr>
          <w:rFonts w:hint="eastAsia"/>
          <w:b/>
          <w:sz w:val="20"/>
          <w:lang w:eastAsia="zh-CN"/>
        </w:rPr>
      </w:pPr>
    </w:p>
    <w:p w14:paraId="2206173C">
      <w:pPr>
        <w:pStyle w:val="8"/>
        <w:rPr>
          <w:rFonts w:hint="eastAsia"/>
          <w:b/>
          <w:sz w:val="20"/>
          <w:lang w:eastAsia="zh-CN"/>
        </w:rPr>
      </w:pPr>
    </w:p>
    <w:p w14:paraId="5EB617BC">
      <w:pPr>
        <w:pStyle w:val="8"/>
        <w:spacing w:before="1"/>
        <w:rPr>
          <w:rFonts w:hint="eastAsia"/>
          <w:b/>
          <w:sz w:val="29"/>
          <w:lang w:eastAsia="zh-CN"/>
        </w:rPr>
      </w:pPr>
    </w:p>
    <w:tbl>
      <w:tblPr>
        <w:tblStyle w:val="22"/>
        <w:tblW w:w="9322" w:type="dxa"/>
        <w:tblInd w:w="6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1266"/>
        <w:gridCol w:w="2073"/>
        <w:gridCol w:w="2268"/>
        <w:gridCol w:w="1560"/>
        <w:gridCol w:w="1417"/>
      </w:tblGrid>
      <w:tr w14:paraId="4279B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738" w:type="dxa"/>
          </w:tcPr>
          <w:p w14:paraId="0AB97751">
            <w:pPr>
              <w:pStyle w:val="39"/>
              <w:spacing w:before="12"/>
              <w:rPr>
                <w:rFonts w:hint="eastAsia"/>
                <w:b/>
                <w:sz w:val="32"/>
                <w:lang w:eastAsia="zh-CN"/>
              </w:rPr>
            </w:pPr>
          </w:p>
          <w:p w14:paraId="0823271C">
            <w:pPr>
              <w:pStyle w:val="39"/>
              <w:ind w:left="128"/>
              <w:rPr>
                <w:rFonts w:hint="eastAsia"/>
                <w:sz w:val="24"/>
              </w:rPr>
            </w:pPr>
            <w:r>
              <w:rPr>
                <w:sz w:val="24"/>
              </w:rPr>
              <w:t>序号</w:t>
            </w:r>
          </w:p>
        </w:tc>
        <w:tc>
          <w:tcPr>
            <w:tcW w:w="1266" w:type="dxa"/>
          </w:tcPr>
          <w:p w14:paraId="47A017FE">
            <w:pPr>
              <w:pStyle w:val="39"/>
              <w:spacing w:before="2"/>
              <w:rPr>
                <w:rFonts w:hint="eastAsia"/>
                <w:b/>
                <w:sz w:val="17"/>
              </w:rPr>
            </w:pPr>
          </w:p>
          <w:p w14:paraId="63C5354D">
            <w:pPr>
              <w:pStyle w:val="39"/>
              <w:spacing w:line="312" w:lineRule="auto"/>
              <w:ind w:left="271" w:right="142" w:hanging="120"/>
              <w:rPr>
                <w:rFonts w:hint="eastAsia"/>
                <w:sz w:val="24"/>
              </w:rPr>
            </w:pPr>
            <w:r>
              <w:rPr>
                <w:sz w:val="24"/>
              </w:rPr>
              <w:t>招标文件条目号</w:t>
            </w:r>
          </w:p>
        </w:tc>
        <w:tc>
          <w:tcPr>
            <w:tcW w:w="2073" w:type="dxa"/>
            <w:vAlign w:val="center"/>
          </w:tcPr>
          <w:p w14:paraId="1F9AB67F">
            <w:pPr>
              <w:pStyle w:val="39"/>
              <w:ind w:left="316"/>
              <w:jc w:val="both"/>
              <w:rPr>
                <w:rFonts w:hint="eastAsia"/>
                <w:sz w:val="24"/>
                <w:lang w:eastAsia="zh-CN"/>
              </w:rPr>
            </w:pPr>
            <w:r>
              <w:rPr>
                <w:sz w:val="24"/>
                <w:lang w:eastAsia="zh-CN"/>
              </w:rPr>
              <w:t>招标文件的</w:t>
            </w:r>
            <w:r>
              <w:rPr>
                <w:rFonts w:hint="eastAsia"/>
                <w:sz w:val="24"/>
                <w:lang w:eastAsia="zh-CN"/>
              </w:rPr>
              <w:t>技术条款要求</w:t>
            </w:r>
          </w:p>
        </w:tc>
        <w:tc>
          <w:tcPr>
            <w:tcW w:w="2268" w:type="dxa"/>
            <w:vAlign w:val="center"/>
          </w:tcPr>
          <w:p w14:paraId="0D57F2B8">
            <w:pPr>
              <w:pStyle w:val="39"/>
              <w:ind w:left="412"/>
              <w:jc w:val="both"/>
              <w:rPr>
                <w:rFonts w:hint="eastAsia"/>
                <w:sz w:val="24"/>
                <w:lang w:eastAsia="zh-CN"/>
              </w:rPr>
            </w:pPr>
            <w:r>
              <w:rPr>
                <w:sz w:val="24"/>
                <w:lang w:eastAsia="zh-CN"/>
              </w:rPr>
              <w:t>投标文件的</w:t>
            </w:r>
            <w:r>
              <w:rPr>
                <w:rFonts w:hint="eastAsia"/>
                <w:sz w:val="24"/>
                <w:lang w:eastAsia="zh-CN"/>
              </w:rPr>
              <w:t>技术条款</w:t>
            </w:r>
            <w:r>
              <w:rPr>
                <w:sz w:val="24"/>
                <w:lang w:eastAsia="zh-CN"/>
              </w:rPr>
              <w:t>响应</w:t>
            </w:r>
          </w:p>
        </w:tc>
        <w:tc>
          <w:tcPr>
            <w:tcW w:w="1560" w:type="dxa"/>
          </w:tcPr>
          <w:p w14:paraId="02072263">
            <w:pPr>
              <w:pStyle w:val="39"/>
              <w:spacing w:before="12"/>
              <w:rPr>
                <w:rFonts w:hint="eastAsia"/>
                <w:b/>
                <w:sz w:val="32"/>
                <w:lang w:eastAsia="zh-CN"/>
              </w:rPr>
            </w:pPr>
          </w:p>
          <w:p w14:paraId="66BEE383">
            <w:pPr>
              <w:pStyle w:val="39"/>
              <w:ind w:left="239"/>
              <w:rPr>
                <w:rFonts w:hint="eastAsia"/>
                <w:sz w:val="24"/>
              </w:rPr>
            </w:pPr>
            <w:r>
              <w:rPr>
                <w:sz w:val="24"/>
              </w:rPr>
              <w:t>响应/偏离</w:t>
            </w:r>
          </w:p>
        </w:tc>
        <w:tc>
          <w:tcPr>
            <w:tcW w:w="1417" w:type="dxa"/>
          </w:tcPr>
          <w:p w14:paraId="442B1799">
            <w:pPr>
              <w:pStyle w:val="39"/>
              <w:spacing w:before="12"/>
              <w:rPr>
                <w:rFonts w:hint="eastAsia"/>
                <w:b/>
                <w:sz w:val="32"/>
              </w:rPr>
            </w:pPr>
          </w:p>
          <w:p w14:paraId="44350E7D">
            <w:pPr>
              <w:pStyle w:val="39"/>
              <w:ind w:left="467"/>
              <w:rPr>
                <w:rFonts w:hint="eastAsia"/>
                <w:sz w:val="24"/>
              </w:rPr>
            </w:pPr>
            <w:r>
              <w:rPr>
                <w:sz w:val="24"/>
              </w:rPr>
              <w:t>说明</w:t>
            </w:r>
          </w:p>
        </w:tc>
      </w:tr>
      <w:tr w14:paraId="6385C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738" w:type="dxa"/>
          </w:tcPr>
          <w:p w14:paraId="536048C1">
            <w:pPr>
              <w:pStyle w:val="39"/>
              <w:rPr>
                <w:rFonts w:hint="eastAsia" w:ascii="Times New Roman"/>
              </w:rPr>
            </w:pPr>
          </w:p>
        </w:tc>
        <w:tc>
          <w:tcPr>
            <w:tcW w:w="1266" w:type="dxa"/>
          </w:tcPr>
          <w:p w14:paraId="2FD3F1C6">
            <w:pPr>
              <w:pStyle w:val="39"/>
              <w:rPr>
                <w:rFonts w:hint="eastAsia" w:ascii="Times New Roman"/>
              </w:rPr>
            </w:pPr>
          </w:p>
        </w:tc>
        <w:tc>
          <w:tcPr>
            <w:tcW w:w="2073" w:type="dxa"/>
          </w:tcPr>
          <w:p w14:paraId="70EF14B7">
            <w:pPr>
              <w:pStyle w:val="39"/>
              <w:rPr>
                <w:rFonts w:hint="eastAsia" w:ascii="Times New Roman"/>
              </w:rPr>
            </w:pPr>
          </w:p>
        </w:tc>
        <w:tc>
          <w:tcPr>
            <w:tcW w:w="2268" w:type="dxa"/>
          </w:tcPr>
          <w:p w14:paraId="1EFA9DE1">
            <w:pPr>
              <w:pStyle w:val="39"/>
              <w:rPr>
                <w:rFonts w:hint="eastAsia" w:ascii="Times New Roman"/>
              </w:rPr>
            </w:pPr>
          </w:p>
        </w:tc>
        <w:tc>
          <w:tcPr>
            <w:tcW w:w="1560" w:type="dxa"/>
          </w:tcPr>
          <w:p w14:paraId="0F877BB6">
            <w:pPr>
              <w:pStyle w:val="39"/>
              <w:rPr>
                <w:rFonts w:hint="eastAsia" w:ascii="Times New Roman"/>
              </w:rPr>
            </w:pPr>
          </w:p>
        </w:tc>
        <w:tc>
          <w:tcPr>
            <w:tcW w:w="1417" w:type="dxa"/>
          </w:tcPr>
          <w:p w14:paraId="5BA1A6B8">
            <w:pPr>
              <w:pStyle w:val="39"/>
              <w:rPr>
                <w:rFonts w:hint="eastAsia" w:ascii="Times New Roman"/>
              </w:rPr>
            </w:pPr>
          </w:p>
        </w:tc>
      </w:tr>
      <w:tr w14:paraId="07020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738" w:type="dxa"/>
          </w:tcPr>
          <w:p w14:paraId="1DC1CCF4">
            <w:pPr>
              <w:pStyle w:val="39"/>
              <w:rPr>
                <w:rFonts w:hint="eastAsia" w:ascii="Times New Roman"/>
              </w:rPr>
            </w:pPr>
          </w:p>
        </w:tc>
        <w:tc>
          <w:tcPr>
            <w:tcW w:w="1266" w:type="dxa"/>
          </w:tcPr>
          <w:p w14:paraId="2EE07180">
            <w:pPr>
              <w:pStyle w:val="39"/>
              <w:rPr>
                <w:rFonts w:hint="eastAsia" w:ascii="Times New Roman"/>
              </w:rPr>
            </w:pPr>
          </w:p>
        </w:tc>
        <w:tc>
          <w:tcPr>
            <w:tcW w:w="2073" w:type="dxa"/>
          </w:tcPr>
          <w:p w14:paraId="736F1290">
            <w:pPr>
              <w:pStyle w:val="39"/>
              <w:rPr>
                <w:rFonts w:hint="eastAsia" w:ascii="Times New Roman"/>
              </w:rPr>
            </w:pPr>
          </w:p>
        </w:tc>
        <w:tc>
          <w:tcPr>
            <w:tcW w:w="2268" w:type="dxa"/>
          </w:tcPr>
          <w:p w14:paraId="07282111">
            <w:pPr>
              <w:pStyle w:val="39"/>
              <w:rPr>
                <w:rFonts w:hint="eastAsia" w:ascii="Times New Roman"/>
              </w:rPr>
            </w:pPr>
          </w:p>
        </w:tc>
        <w:tc>
          <w:tcPr>
            <w:tcW w:w="1560" w:type="dxa"/>
          </w:tcPr>
          <w:p w14:paraId="29893B4E">
            <w:pPr>
              <w:pStyle w:val="39"/>
              <w:rPr>
                <w:rFonts w:hint="eastAsia" w:ascii="Times New Roman"/>
              </w:rPr>
            </w:pPr>
          </w:p>
        </w:tc>
        <w:tc>
          <w:tcPr>
            <w:tcW w:w="1417" w:type="dxa"/>
          </w:tcPr>
          <w:p w14:paraId="10B4E6AC">
            <w:pPr>
              <w:pStyle w:val="39"/>
              <w:rPr>
                <w:rFonts w:hint="eastAsia" w:ascii="Times New Roman"/>
              </w:rPr>
            </w:pPr>
          </w:p>
        </w:tc>
      </w:tr>
      <w:tr w14:paraId="3ABD9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738" w:type="dxa"/>
          </w:tcPr>
          <w:p w14:paraId="73853F36">
            <w:pPr>
              <w:pStyle w:val="39"/>
              <w:rPr>
                <w:rFonts w:hint="eastAsia" w:ascii="Times New Roman"/>
              </w:rPr>
            </w:pPr>
          </w:p>
        </w:tc>
        <w:tc>
          <w:tcPr>
            <w:tcW w:w="1266" w:type="dxa"/>
          </w:tcPr>
          <w:p w14:paraId="59D6DF65">
            <w:pPr>
              <w:pStyle w:val="39"/>
              <w:rPr>
                <w:rFonts w:hint="eastAsia" w:ascii="Times New Roman"/>
              </w:rPr>
            </w:pPr>
          </w:p>
        </w:tc>
        <w:tc>
          <w:tcPr>
            <w:tcW w:w="2073" w:type="dxa"/>
          </w:tcPr>
          <w:p w14:paraId="23450B5F">
            <w:pPr>
              <w:pStyle w:val="39"/>
              <w:rPr>
                <w:rFonts w:hint="eastAsia" w:ascii="Times New Roman"/>
              </w:rPr>
            </w:pPr>
          </w:p>
        </w:tc>
        <w:tc>
          <w:tcPr>
            <w:tcW w:w="2268" w:type="dxa"/>
          </w:tcPr>
          <w:p w14:paraId="2AD201A5">
            <w:pPr>
              <w:pStyle w:val="39"/>
              <w:rPr>
                <w:rFonts w:hint="eastAsia" w:ascii="Times New Roman"/>
              </w:rPr>
            </w:pPr>
          </w:p>
        </w:tc>
        <w:tc>
          <w:tcPr>
            <w:tcW w:w="1560" w:type="dxa"/>
          </w:tcPr>
          <w:p w14:paraId="5595F161">
            <w:pPr>
              <w:pStyle w:val="39"/>
              <w:rPr>
                <w:rFonts w:hint="eastAsia" w:ascii="Times New Roman"/>
              </w:rPr>
            </w:pPr>
          </w:p>
        </w:tc>
        <w:tc>
          <w:tcPr>
            <w:tcW w:w="1417" w:type="dxa"/>
          </w:tcPr>
          <w:p w14:paraId="7459F94A">
            <w:pPr>
              <w:pStyle w:val="39"/>
              <w:rPr>
                <w:rFonts w:hint="eastAsia" w:ascii="Times New Roman"/>
              </w:rPr>
            </w:pPr>
          </w:p>
        </w:tc>
      </w:tr>
      <w:tr w14:paraId="0FD6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6" w:hRule="atLeast"/>
        </w:trPr>
        <w:tc>
          <w:tcPr>
            <w:tcW w:w="738" w:type="dxa"/>
          </w:tcPr>
          <w:p w14:paraId="1571B135">
            <w:pPr>
              <w:pStyle w:val="39"/>
              <w:rPr>
                <w:rFonts w:hint="eastAsia" w:ascii="Times New Roman"/>
              </w:rPr>
            </w:pPr>
          </w:p>
        </w:tc>
        <w:tc>
          <w:tcPr>
            <w:tcW w:w="1266" w:type="dxa"/>
          </w:tcPr>
          <w:p w14:paraId="45A7F4CD">
            <w:pPr>
              <w:pStyle w:val="39"/>
              <w:rPr>
                <w:rFonts w:hint="eastAsia" w:ascii="Times New Roman"/>
              </w:rPr>
            </w:pPr>
          </w:p>
        </w:tc>
        <w:tc>
          <w:tcPr>
            <w:tcW w:w="2073" w:type="dxa"/>
          </w:tcPr>
          <w:p w14:paraId="57673F4D">
            <w:pPr>
              <w:pStyle w:val="39"/>
              <w:rPr>
                <w:rFonts w:hint="eastAsia" w:ascii="Times New Roman"/>
              </w:rPr>
            </w:pPr>
          </w:p>
        </w:tc>
        <w:tc>
          <w:tcPr>
            <w:tcW w:w="2268" w:type="dxa"/>
          </w:tcPr>
          <w:p w14:paraId="2EF45D37">
            <w:pPr>
              <w:pStyle w:val="39"/>
              <w:rPr>
                <w:rFonts w:hint="eastAsia" w:ascii="Times New Roman"/>
              </w:rPr>
            </w:pPr>
          </w:p>
        </w:tc>
        <w:tc>
          <w:tcPr>
            <w:tcW w:w="1560" w:type="dxa"/>
          </w:tcPr>
          <w:p w14:paraId="6FA8E490">
            <w:pPr>
              <w:pStyle w:val="39"/>
              <w:rPr>
                <w:rFonts w:hint="eastAsia" w:ascii="Times New Roman"/>
              </w:rPr>
            </w:pPr>
          </w:p>
        </w:tc>
        <w:tc>
          <w:tcPr>
            <w:tcW w:w="1417" w:type="dxa"/>
          </w:tcPr>
          <w:p w14:paraId="3D55637F">
            <w:pPr>
              <w:pStyle w:val="39"/>
              <w:rPr>
                <w:rFonts w:hint="eastAsia" w:ascii="Times New Roman"/>
              </w:rPr>
            </w:pPr>
          </w:p>
        </w:tc>
      </w:tr>
      <w:tr w14:paraId="028A7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738" w:type="dxa"/>
          </w:tcPr>
          <w:p w14:paraId="3E1B59D7">
            <w:pPr>
              <w:pStyle w:val="39"/>
              <w:rPr>
                <w:rFonts w:hint="eastAsia" w:ascii="Times New Roman"/>
              </w:rPr>
            </w:pPr>
          </w:p>
        </w:tc>
        <w:tc>
          <w:tcPr>
            <w:tcW w:w="1266" w:type="dxa"/>
          </w:tcPr>
          <w:p w14:paraId="3A526898">
            <w:pPr>
              <w:pStyle w:val="39"/>
              <w:rPr>
                <w:rFonts w:hint="eastAsia" w:ascii="Times New Roman"/>
              </w:rPr>
            </w:pPr>
          </w:p>
        </w:tc>
        <w:tc>
          <w:tcPr>
            <w:tcW w:w="2073" w:type="dxa"/>
          </w:tcPr>
          <w:p w14:paraId="068360BF">
            <w:pPr>
              <w:pStyle w:val="39"/>
              <w:rPr>
                <w:rFonts w:hint="eastAsia" w:ascii="Times New Roman"/>
              </w:rPr>
            </w:pPr>
          </w:p>
        </w:tc>
        <w:tc>
          <w:tcPr>
            <w:tcW w:w="2268" w:type="dxa"/>
          </w:tcPr>
          <w:p w14:paraId="79232479">
            <w:pPr>
              <w:pStyle w:val="39"/>
              <w:rPr>
                <w:rFonts w:hint="eastAsia" w:ascii="Times New Roman"/>
              </w:rPr>
            </w:pPr>
          </w:p>
        </w:tc>
        <w:tc>
          <w:tcPr>
            <w:tcW w:w="1560" w:type="dxa"/>
          </w:tcPr>
          <w:p w14:paraId="543B32C9">
            <w:pPr>
              <w:pStyle w:val="39"/>
              <w:rPr>
                <w:rFonts w:hint="eastAsia" w:ascii="Times New Roman"/>
              </w:rPr>
            </w:pPr>
          </w:p>
        </w:tc>
        <w:tc>
          <w:tcPr>
            <w:tcW w:w="1417" w:type="dxa"/>
          </w:tcPr>
          <w:p w14:paraId="7E183A88">
            <w:pPr>
              <w:pStyle w:val="39"/>
              <w:rPr>
                <w:rFonts w:hint="eastAsia" w:ascii="Times New Roman"/>
              </w:rPr>
            </w:pPr>
          </w:p>
        </w:tc>
      </w:tr>
      <w:tr w14:paraId="56D5B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738" w:type="dxa"/>
          </w:tcPr>
          <w:p w14:paraId="15930D36">
            <w:pPr>
              <w:pStyle w:val="39"/>
              <w:rPr>
                <w:rFonts w:hint="eastAsia" w:ascii="Times New Roman"/>
              </w:rPr>
            </w:pPr>
          </w:p>
        </w:tc>
        <w:tc>
          <w:tcPr>
            <w:tcW w:w="1266" w:type="dxa"/>
          </w:tcPr>
          <w:p w14:paraId="456E89B7">
            <w:pPr>
              <w:pStyle w:val="39"/>
              <w:rPr>
                <w:rFonts w:hint="eastAsia" w:ascii="Times New Roman"/>
              </w:rPr>
            </w:pPr>
          </w:p>
        </w:tc>
        <w:tc>
          <w:tcPr>
            <w:tcW w:w="2073" w:type="dxa"/>
          </w:tcPr>
          <w:p w14:paraId="3CA60BB2">
            <w:pPr>
              <w:pStyle w:val="39"/>
              <w:rPr>
                <w:rFonts w:hint="eastAsia" w:ascii="Times New Roman"/>
              </w:rPr>
            </w:pPr>
          </w:p>
        </w:tc>
        <w:tc>
          <w:tcPr>
            <w:tcW w:w="2268" w:type="dxa"/>
          </w:tcPr>
          <w:p w14:paraId="491B79D0">
            <w:pPr>
              <w:pStyle w:val="39"/>
              <w:rPr>
                <w:rFonts w:hint="eastAsia" w:ascii="Times New Roman"/>
              </w:rPr>
            </w:pPr>
          </w:p>
        </w:tc>
        <w:tc>
          <w:tcPr>
            <w:tcW w:w="1560" w:type="dxa"/>
          </w:tcPr>
          <w:p w14:paraId="3E1D0BB6">
            <w:pPr>
              <w:pStyle w:val="39"/>
              <w:rPr>
                <w:rFonts w:hint="eastAsia" w:ascii="Times New Roman"/>
              </w:rPr>
            </w:pPr>
          </w:p>
        </w:tc>
        <w:tc>
          <w:tcPr>
            <w:tcW w:w="1417" w:type="dxa"/>
          </w:tcPr>
          <w:p w14:paraId="7B571536">
            <w:pPr>
              <w:pStyle w:val="39"/>
              <w:rPr>
                <w:rFonts w:hint="eastAsia" w:ascii="Times New Roman"/>
              </w:rPr>
            </w:pPr>
          </w:p>
        </w:tc>
      </w:tr>
      <w:tr w14:paraId="10F44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738" w:type="dxa"/>
          </w:tcPr>
          <w:p w14:paraId="611FF673">
            <w:pPr>
              <w:pStyle w:val="39"/>
              <w:rPr>
                <w:rFonts w:hint="eastAsia" w:ascii="Times New Roman"/>
              </w:rPr>
            </w:pPr>
          </w:p>
        </w:tc>
        <w:tc>
          <w:tcPr>
            <w:tcW w:w="1266" w:type="dxa"/>
          </w:tcPr>
          <w:p w14:paraId="223E8407">
            <w:pPr>
              <w:pStyle w:val="39"/>
              <w:rPr>
                <w:rFonts w:hint="eastAsia" w:ascii="Times New Roman"/>
              </w:rPr>
            </w:pPr>
          </w:p>
        </w:tc>
        <w:tc>
          <w:tcPr>
            <w:tcW w:w="2073" w:type="dxa"/>
          </w:tcPr>
          <w:p w14:paraId="535BC9BF">
            <w:pPr>
              <w:pStyle w:val="39"/>
              <w:rPr>
                <w:rFonts w:hint="eastAsia" w:ascii="Times New Roman"/>
              </w:rPr>
            </w:pPr>
          </w:p>
        </w:tc>
        <w:tc>
          <w:tcPr>
            <w:tcW w:w="2268" w:type="dxa"/>
          </w:tcPr>
          <w:p w14:paraId="03578FFD">
            <w:pPr>
              <w:pStyle w:val="39"/>
              <w:rPr>
                <w:rFonts w:hint="eastAsia" w:ascii="Times New Roman"/>
              </w:rPr>
            </w:pPr>
          </w:p>
        </w:tc>
        <w:tc>
          <w:tcPr>
            <w:tcW w:w="1560" w:type="dxa"/>
          </w:tcPr>
          <w:p w14:paraId="513B8A17">
            <w:pPr>
              <w:pStyle w:val="39"/>
              <w:rPr>
                <w:rFonts w:hint="eastAsia" w:ascii="Times New Roman"/>
              </w:rPr>
            </w:pPr>
          </w:p>
        </w:tc>
        <w:tc>
          <w:tcPr>
            <w:tcW w:w="1417" w:type="dxa"/>
          </w:tcPr>
          <w:p w14:paraId="742D827F">
            <w:pPr>
              <w:pStyle w:val="39"/>
              <w:rPr>
                <w:rFonts w:hint="eastAsia" w:ascii="Times New Roman"/>
              </w:rPr>
            </w:pPr>
          </w:p>
        </w:tc>
      </w:tr>
      <w:tr w14:paraId="76654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738" w:type="dxa"/>
          </w:tcPr>
          <w:p w14:paraId="05B31495">
            <w:pPr>
              <w:pStyle w:val="39"/>
              <w:rPr>
                <w:rFonts w:hint="eastAsia" w:ascii="Times New Roman"/>
              </w:rPr>
            </w:pPr>
          </w:p>
        </w:tc>
        <w:tc>
          <w:tcPr>
            <w:tcW w:w="1266" w:type="dxa"/>
          </w:tcPr>
          <w:p w14:paraId="42293966">
            <w:pPr>
              <w:pStyle w:val="39"/>
              <w:rPr>
                <w:rFonts w:hint="eastAsia" w:ascii="Times New Roman"/>
              </w:rPr>
            </w:pPr>
          </w:p>
        </w:tc>
        <w:tc>
          <w:tcPr>
            <w:tcW w:w="2073" w:type="dxa"/>
          </w:tcPr>
          <w:p w14:paraId="428BCA68">
            <w:pPr>
              <w:pStyle w:val="39"/>
              <w:rPr>
                <w:rFonts w:hint="eastAsia" w:ascii="Times New Roman"/>
              </w:rPr>
            </w:pPr>
          </w:p>
        </w:tc>
        <w:tc>
          <w:tcPr>
            <w:tcW w:w="2268" w:type="dxa"/>
          </w:tcPr>
          <w:p w14:paraId="07E0D525">
            <w:pPr>
              <w:pStyle w:val="39"/>
              <w:rPr>
                <w:rFonts w:hint="eastAsia" w:ascii="Times New Roman"/>
              </w:rPr>
            </w:pPr>
          </w:p>
        </w:tc>
        <w:tc>
          <w:tcPr>
            <w:tcW w:w="1560" w:type="dxa"/>
          </w:tcPr>
          <w:p w14:paraId="575DAC5B">
            <w:pPr>
              <w:pStyle w:val="39"/>
              <w:rPr>
                <w:rFonts w:hint="eastAsia" w:ascii="Times New Roman"/>
              </w:rPr>
            </w:pPr>
          </w:p>
        </w:tc>
        <w:tc>
          <w:tcPr>
            <w:tcW w:w="1417" w:type="dxa"/>
          </w:tcPr>
          <w:p w14:paraId="3FA9F693">
            <w:pPr>
              <w:pStyle w:val="39"/>
              <w:rPr>
                <w:rFonts w:hint="eastAsia" w:ascii="Times New Roman"/>
              </w:rPr>
            </w:pPr>
          </w:p>
        </w:tc>
      </w:tr>
    </w:tbl>
    <w:p w14:paraId="261DF4DA">
      <w:pPr>
        <w:pStyle w:val="8"/>
        <w:ind w:left="1244"/>
        <w:rPr>
          <w:rFonts w:hint="eastAsia"/>
          <w:lang w:eastAsia="zh-CN"/>
        </w:rPr>
      </w:pPr>
      <w:r>
        <w:rPr>
          <w:b/>
          <w:lang w:eastAsia="zh-CN"/>
        </w:rPr>
        <w:t xml:space="preserve">注： </w:t>
      </w:r>
      <w:r>
        <w:rPr>
          <w:lang w:eastAsia="zh-CN"/>
        </w:rPr>
        <w:t>1、响应/偏离内容应在说明栏中说明该条款在投标文件中（或页码）的依据；</w:t>
      </w:r>
    </w:p>
    <w:p w14:paraId="664711F4">
      <w:pPr>
        <w:pStyle w:val="8"/>
        <w:spacing w:before="161"/>
        <w:ind w:left="1844"/>
        <w:outlineLvl w:val="1"/>
        <w:rPr>
          <w:rFonts w:hint="eastAsia"/>
          <w:lang w:eastAsia="zh-CN"/>
        </w:rPr>
      </w:pPr>
      <w:bookmarkStart w:id="170" w:name="_Toc30482"/>
      <w:r>
        <w:rPr>
          <w:lang w:eastAsia="zh-CN"/>
        </w:rPr>
        <w:t>2、投标人不按上述表格填写，所产生的一切后果由投标人承担。</w:t>
      </w:r>
      <w:bookmarkEnd w:id="170"/>
    </w:p>
    <w:p w14:paraId="4F88B7C6">
      <w:pPr>
        <w:pStyle w:val="8"/>
        <w:rPr>
          <w:rFonts w:hint="eastAsia"/>
          <w:lang w:eastAsia="zh-CN"/>
        </w:rPr>
      </w:pPr>
    </w:p>
    <w:p w14:paraId="4AFF039E">
      <w:pPr>
        <w:pStyle w:val="8"/>
        <w:rPr>
          <w:rFonts w:hint="eastAsia"/>
          <w:lang w:eastAsia="zh-CN"/>
        </w:rPr>
      </w:pPr>
    </w:p>
    <w:p w14:paraId="343A9253">
      <w:pPr>
        <w:pStyle w:val="8"/>
        <w:rPr>
          <w:rFonts w:hint="eastAsia"/>
          <w:lang w:eastAsia="zh-CN"/>
        </w:rPr>
      </w:pPr>
    </w:p>
    <w:p w14:paraId="460C5065">
      <w:pPr>
        <w:pStyle w:val="8"/>
        <w:spacing w:before="6"/>
        <w:rPr>
          <w:rFonts w:hint="eastAsia"/>
          <w:sz w:val="18"/>
          <w:lang w:eastAsia="zh-CN"/>
        </w:rPr>
      </w:pPr>
    </w:p>
    <w:p w14:paraId="61750F27">
      <w:pPr>
        <w:pStyle w:val="8"/>
        <w:ind w:left="1484"/>
        <w:rPr>
          <w:rFonts w:hint="eastAsia"/>
          <w:lang w:eastAsia="zh-CN"/>
        </w:rPr>
      </w:pPr>
      <w:r>
        <w:rPr>
          <w:lang w:eastAsia="zh-CN"/>
        </w:rPr>
        <w:t>法定代表人或委托代理签字或盖章：</w:t>
      </w:r>
    </w:p>
    <w:p w14:paraId="6806B06D">
      <w:pPr>
        <w:rPr>
          <w:rFonts w:hint="eastAsia"/>
          <w:lang w:eastAsia="zh-CN"/>
        </w:rPr>
        <w:sectPr>
          <w:footerReference r:id="rId7" w:type="default"/>
          <w:pgSz w:w="11910" w:h="16840"/>
          <w:pgMar w:top="1320" w:right="820" w:bottom="1160" w:left="620" w:header="0" w:footer="962" w:gutter="0"/>
          <w:cols w:space="720" w:num="1"/>
        </w:sectPr>
      </w:pPr>
    </w:p>
    <w:p w14:paraId="5A1445D4">
      <w:pPr>
        <w:pStyle w:val="7"/>
        <w:spacing w:before="67"/>
        <w:ind w:left="198"/>
        <w:jc w:val="center"/>
        <w:rPr>
          <w:rFonts w:hint="eastAsia"/>
          <w:lang w:eastAsia="zh-CN"/>
        </w:rPr>
      </w:pPr>
      <w:bookmarkStart w:id="171" w:name="_bookmark47"/>
      <w:bookmarkEnd w:id="171"/>
      <w:bookmarkStart w:id="172" w:name="7、投标人应当提交的资格、资信证明文件"/>
      <w:bookmarkEnd w:id="172"/>
      <w:bookmarkStart w:id="173" w:name="格式6.商务条件响应/偏离表"/>
      <w:bookmarkEnd w:id="173"/>
      <w:r>
        <w:rPr>
          <w:lang w:eastAsia="zh-CN"/>
        </w:rPr>
        <w:t>格式</w:t>
      </w:r>
      <w:r>
        <w:rPr>
          <w:rFonts w:hint="eastAsia"/>
          <w:lang w:eastAsia="zh-CN"/>
        </w:rPr>
        <w:t>4</w:t>
      </w:r>
      <w:r>
        <w:rPr>
          <w:lang w:eastAsia="zh-CN"/>
        </w:rPr>
        <w:t>.商务</w:t>
      </w:r>
      <w:r>
        <w:rPr>
          <w:rFonts w:hint="eastAsia"/>
          <w:lang w:eastAsia="zh-CN"/>
        </w:rPr>
        <w:t>条款</w:t>
      </w:r>
      <w:r>
        <w:rPr>
          <w:lang w:eastAsia="zh-CN"/>
        </w:rPr>
        <w:t>响应/偏离表</w:t>
      </w:r>
    </w:p>
    <w:p w14:paraId="56C7B15A">
      <w:pPr>
        <w:pStyle w:val="8"/>
        <w:rPr>
          <w:rFonts w:hint="eastAsia"/>
          <w:b/>
          <w:sz w:val="20"/>
          <w:lang w:eastAsia="zh-CN"/>
        </w:rPr>
      </w:pPr>
    </w:p>
    <w:p w14:paraId="45EBB3A5">
      <w:pPr>
        <w:pStyle w:val="8"/>
        <w:rPr>
          <w:rFonts w:hint="eastAsia"/>
          <w:b/>
          <w:sz w:val="20"/>
          <w:lang w:eastAsia="zh-CN"/>
        </w:rPr>
      </w:pPr>
    </w:p>
    <w:p w14:paraId="7E5794A2">
      <w:pPr>
        <w:pStyle w:val="8"/>
        <w:spacing w:before="3"/>
        <w:rPr>
          <w:rFonts w:hint="eastAsia"/>
          <w:b/>
          <w:sz w:val="29"/>
          <w:lang w:eastAsia="zh-CN"/>
        </w:rPr>
      </w:pPr>
    </w:p>
    <w:tbl>
      <w:tblPr>
        <w:tblStyle w:val="22"/>
        <w:tblW w:w="9597" w:type="dxa"/>
        <w:tblInd w:w="5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974"/>
        <w:gridCol w:w="2457"/>
        <w:gridCol w:w="2457"/>
        <w:gridCol w:w="975"/>
        <w:gridCol w:w="900"/>
      </w:tblGrid>
      <w:tr w14:paraId="2EDB4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7" w:hRule="atLeast"/>
        </w:trPr>
        <w:tc>
          <w:tcPr>
            <w:tcW w:w="834" w:type="dxa"/>
          </w:tcPr>
          <w:p w14:paraId="00EE06F0">
            <w:pPr>
              <w:pStyle w:val="39"/>
              <w:spacing w:before="2"/>
              <w:rPr>
                <w:rFonts w:hint="eastAsia"/>
                <w:b/>
                <w:sz w:val="29"/>
                <w:lang w:eastAsia="zh-CN"/>
              </w:rPr>
            </w:pPr>
          </w:p>
          <w:p w14:paraId="468CD0DF">
            <w:pPr>
              <w:pStyle w:val="39"/>
              <w:ind w:left="175"/>
              <w:rPr>
                <w:rFonts w:hint="eastAsia"/>
                <w:sz w:val="24"/>
              </w:rPr>
            </w:pPr>
            <w:r>
              <w:rPr>
                <w:sz w:val="24"/>
              </w:rPr>
              <w:t>序号</w:t>
            </w:r>
          </w:p>
        </w:tc>
        <w:tc>
          <w:tcPr>
            <w:tcW w:w="1974" w:type="dxa"/>
          </w:tcPr>
          <w:p w14:paraId="2335D0E2">
            <w:pPr>
              <w:pStyle w:val="39"/>
              <w:spacing w:before="2"/>
              <w:rPr>
                <w:rFonts w:hint="eastAsia"/>
                <w:b/>
                <w:sz w:val="29"/>
              </w:rPr>
            </w:pPr>
          </w:p>
          <w:p w14:paraId="629B332F">
            <w:pPr>
              <w:pStyle w:val="39"/>
              <w:ind w:left="145"/>
              <w:rPr>
                <w:rFonts w:hint="eastAsia"/>
                <w:sz w:val="24"/>
              </w:rPr>
            </w:pPr>
            <w:r>
              <w:rPr>
                <w:sz w:val="24"/>
              </w:rPr>
              <w:t>招标文件条目号</w:t>
            </w:r>
          </w:p>
        </w:tc>
        <w:tc>
          <w:tcPr>
            <w:tcW w:w="2457" w:type="dxa"/>
          </w:tcPr>
          <w:p w14:paraId="77077E0B">
            <w:pPr>
              <w:pStyle w:val="39"/>
              <w:spacing w:before="2"/>
              <w:rPr>
                <w:rFonts w:hint="eastAsia"/>
                <w:b/>
                <w:sz w:val="29"/>
                <w:lang w:eastAsia="zh-CN"/>
              </w:rPr>
            </w:pPr>
          </w:p>
          <w:p w14:paraId="757B6261">
            <w:pPr>
              <w:pStyle w:val="39"/>
              <w:ind w:left="146"/>
              <w:rPr>
                <w:rFonts w:hint="eastAsia"/>
                <w:sz w:val="24"/>
                <w:lang w:eastAsia="zh-CN"/>
              </w:rPr>
            </w:pPr>
            <w:r>
              <w:rPr>
                <w:sz w:val="24"/>
                <w:lang w:eastAsia="zh-CN"/>
              </w:rPr>
              <w:t>招标文件的商务</w:t>
            </w:r>
            <w:r>
              <w:rPr>
                <w:rFonts w:hint="eastAsia"/>
                <w:sz w:val="24"/>
                <w:lang w:eastAsia="zh-CN"/>
              </w:rPr>
              <w:t>条款要求</w:t>
            </w:r>
          </w:p>
        </w:tc>
        <w:tc>
          <w:tcPr>
            <w:tcW w:w="2457" w:type="dxa"/>
          </w:tcPr>
          <w:p w14:paraId="197A2325">
            <w:pPr>
              <w:pStyle w:val="39"/>
              <w:spacing w:before="2"/>
              <w:rPr>
                <w:rFonts w:hint="eastAsia"/>
                <w:b/>
                <w:sz w:val="29"/>
                <w:lang w:eastAsia="zh-CN"/>
              </w:rPr>
            </w:pPr>
          </w:p>
          <w:p w14:paraId="7DA2F850">
            <w:pPr>
              <w:pStyle w:val="39"/>
              <w:ind w:left="147"/>
              <w:rPr>
                <w:rFonts w:hint="eastAsia"/>
                <w:sz w:val="24"/>
                <w:lang w:eastAsia="zh-CN"/>
              </w:rPr>
            </w:pPr>
            <w:r>
              <w:rPr>
                <w:sz w:val="24"/>
                <w:lang w:eastAsia="zh-CN"/>
              </w:rPr>
              <w:t>投标文件的商务</w:t>
            </w:r>
            <w:r>
              <w:rPr>
                <w:rFonts w:hint="eastAsia"/>
                <w:sz w:val="24"/>
                <w:lang w:eastAsia="zh-CN"/>
              </w:rPr>
              <w:t>条款</w:t>
            </w:r>
            <w:r>
              <w:rPr>
                <w:sz w:val="24"/>
                <w:lang w:eastAsia="zh-CN"/>
              </w:rPr>
              <w:t>响应</w:t>
            </w:r>
          </w:p>
        </w:tc>
        <w:tc>
          <w:tcPr>
            <w:tcW w:w="975" w:type="dxa"/>
          </w:tcPr>
          <w:p w14:paraId="701D05E7">
            <w:pPr>
              <w:pStyle w:val="39"/>
              <w:spacing w:before="82" w:line="400" w:lineRule="atLeast"/>
              <w:ind w:left="246" w:right="176" w:hanging="60"/>
              <w:rPr>
                <w:rFonts w:hint="eastAsia"/>
                <w:sz w:val="24"/>
              </w:rPr>
            </w:pPr>
            <w:r>
              <w:rPr>
                <w:sz w:val="24"/>
              </w:rPr>
              <w:t>响应/ 偏离</w:t>
            </w:r>
          </w:p>
        </w:tc>
        <w:tc>
          <w:tcPr>
            <w:tcW w:w="900" w:type="dxa"/>
          </w:tcPr>
          <w:p w14:paraId="24785E0A">
            <w:pPr>
              <w:pStyle w:val="39"/>
              <w:spacing w:before="2"/>
              <w:rPr>
                <w:rFonts w:hint="eastAsia"/>
                <w:b/>
                <w:sz w:val="29"/>
              </w:rPr>
            </w:pPr>
          </w:p>
          <w:p w14:paraId="38BC677F">
            <w:pPr>
              <w:pStyle w:val="39"/>
              <w:ind w:left="209"/>
              <w:rPr>
                <w:rFonts w:hint="eastAsia"/>
                <w:sz w:val="24"/>
              </w:rPr>
            </w:pPr>
            <w:r>
              <w:rPr>
                <w:sz w:val="24"/>
              </w:rPr>
              <w:t>说明</w:t>
            </w:r>
          </w:p>
        </w:tc>
      </w:tr>
      <w:tr w14:paraId="2C16C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834" w:type="dxa"/>
          </w:tcPr>
          <w:p w14:paraId="2C339ADE">
            <w:pPr>
              <w:pStyle w:val="39"/>
              <w:rPr>
                <w:rFonts w:hint="eastAsia" w:ascii="Times New Roman"/>
              </w:rPr>
            </w:pPr>
          </w:p>
        </w:tc>
        <w:tc>
          <w:tcPr>
            <w:tcW w:w="1974" w:type="dxa"/>
          </w:tcPr>
          <w:p w14:paraId="52C90014">
            <w:pPr>
              <w:pStyle w:val="39"/>
              <w:rPr>
                <w:rFonts w:hint="eastAsia" w:ascii="Times New Roman"/>
              </w:rPr>
            </w:pPr>
          </w:p>
        </w:tc>
        <w:tc>
          <w:tcPr>
            <w:tcW w:w="2457" w:type="dxa"/>
          </w:tcPr>
          <w:p w14:paraId="0414D969">
            <w:pPr>
              <w:pStyle w:val="39"/>
              <w:rPr>
                <w:rFonts w:hint="eastAsia" w:ascii="Times New Roman"/>
              </w:rPr>
            </w:pPr>
          </w:p>
        </w:tc>
        <w:tc>
          <w:tcPr>
            <w:tcW w:w="2457" w:type="dxa"/>
          </w:tcPr>
          <w:p w14:paraId="2EE531F7">
            <w:pPr>
              <w:pStyle w:val="39"/>
              <w:rPr>
                <w:rFonts w:hint="eastAsia" w:ascii="Times New Roman"/>
              </w:rPr>
            </w:pPr>
          </w:p>
        </w:tc>
        <w:tc>
          <w:tcPr>
            <w:tcW w:w="975" w:type="dxa"/>
          </w:tcPr>
          <w:p w14:paraId="29BA99A3">
            <w:pPr>
              <w:pStyle w:val="39"/>
              <w:rPr>
                <w:rFonts w:hint="eastAsia" w:ascii="Times New Roman"/>
              </w:rPr>
            </w:pPr>
          </w:p>
        </w:tc>
        <w:tc>
          <w:tcPr>
            <w:tcW w:w="900" w:type="dxa"/>
          </w:tcPr>
          <w:p w14:paraId="76A4D1EF">
            <w:pPr>
              <w:pStyle w:val="39"/>
              <w:rPr>
                <w:rFonts w:hint="eastAsia" w:ascii="Times New Roman"/>
              </w:rPr>
            </w:pPr>
          </w:p>
        </w:tc>
      </w:tr>
      <w:tr w14:paraId="72F67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834" w:type="dxa"/>
          </w:tcPr>
          <w:p w14:paraId="010BD2B5">
            <w:pPr>
              <w:pStyle w:val="39"/>
              <w:rPr>
                <w:rFonts w:hint="eastAsia" w:ascii="Times New Roman"/>
              </w:rPr>
            </w:pPr>
          </w:p>
        </w:tc>
        <w:tc>
          <w:tcPr>
            <w:tcW w:w="1974" w:type="dxa"/>
          </w:tcPr>
          <w:p w14:paraId="3D9F0C5F">
            <w:pPr>
              <w:pStyle w:val="39"/>
              <w:rPr>
                <w:rFonts w:hint="eastAsia" w:ascii="Times New Roman"/>
              </w:rPr>
            </w:pPr>
          </w:p>
        </w:tc>
        <w:tc>
          <w:tcPr>
            <w:tcW w:w="2457" w:type="dxa"/>
          </w:tcPr>
          <w:p w14:paraId="19AA6F35">
            <w:pPr>
              <w:pStyle w:val="39"/>
              <w:rPr>
                <w:rFonts w:hint="eastAsia" w:ascii="Times New Roman"/>
              </w:rPr>
            </w:pPr>
          </w:p>
        </w:tc>
        <w:tc>
          <w:tcPr>
            <w:tcW w:w="2457" w:type="dxa"/>
          </w:tcPr>
          <w:p w14:paraId="3A790943">
            <w:pPr>
              <w:pStyle w:val="39"/>
              <w:rPr>
                <w:rFonts w:hint="eastAsia" w:ascii="Times New Roman"/>
              </w:rPr>
            </w:pPr>
          </w:p>
        </w:tc>
        <w:tc>
          <w:tcPr>
            <w:tcW w:w="975" w:type="dxa"/>
          </w:tcPr>
          <w:p w14:paraId="50653458">
            <w:pPr>
              <w:pStyle w:val="39"/>
              <w:rPr>
                <w:rFonts w:hint="eastAsia" w:ascii="Times New Roman"/>
              </w:rPr>
            </w:pPr>
          </w:p>
        </w:tc>
        <w:tc>
          <w:tcPr>
            <w:tcW w:w="900" w:type="dxa"/>
          </w:tcPr>
          <w:p w14:paraId="5595E81D">
            <w:pPr>
              <w:pStyle w:val="39"/>
              <w:rPr>
                <w:rFonts w:hint="eastAsia" w:ascii="Times New Roman"/>
              </w:rPr>
            </w:pPr>
          </w:p>
        </w:tc>
      </w:tr>
      <w:tr w14:paraId="1365D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834" w:type="dxa"/>
          </w:tcPr>
          <w:p w14:paraId="74A7A7B5">
            <w:pPr>
              <w:pStyle w:val="39"/>
              <w:rPr>
                <w:rFonts w:hint="eastAsia" w:ascii="Times New Roman"/>
              </w:rPr>
            </w:pPr>
          </w:p>
        </w:tc>
        <w:tc>
          <w:tcPr>
            <w:tcW w:w="1974" w:type="dxa"/>
          </w:tcPr>
          <w:p w14:paraId="5ED9C94E">
            <w:pPr>
              <w:pStyle w:val="39"/>
              <w:rPr>
                <w:rFonts w:hint="eastAsia" w:ascii="Times New Roman"/>
              </w:rPr>
            </w:pPr>
          </w:p>
        </w:tc>
        <w:tc>
          <w:tcPr>
            <w:tcW w:w="2457" w:type="dxa"/>
          </w:tcPr>
          <w:p w14:paraId="640CAD98">
            <w:pPr>
              <w:pStyle w:val="39"/>
              <w:rPr>
                <w:rFonts w:hint="eastAsia" w:ascii="Times New Roman"/>
              </w:rPr>
            </w:pPr>
          </w:p>
        </w:tc>
        <w:tc>
          <w:tcPr>
            <w:tcW w:w="2457" w:type="dxa"/>
          </w:tcPr>
          <w:p w14:paraId="556C8E83">
            <w:pPr>
              <w:pStyle w:val="39"/>
              <w:rPr>
                <w:rFonts w:hint="eastAsia" w:ascii="Times New Roman"/>
              </w:rPr>
            </w:pPr>
          </w:p>
        </w:tc>
        <w:tc>
          <w:tcPr>
            <w:tcW w:w="975" w:type="dxa"/>
          </w:tcPr>
          <w:p w14:paraId="40A41FD1">
            <w:pPr>
              <w:pStyle w:val="39"/>
              <w:rPr>
                <w:rFonts w:hint="eastAsia" w:ascii="Times New Roman"/>
              </w:rPr>
            </w:pPr>
          </w:p>
        </w:tc>
        <w:tc>
          <w:tcPr>
            <w:tcW w:w="900" w:type="dxa"/>
          </w:tcPr>
          <w:p w14:paraId="736561CD">
            <w:pPr>
              <w:pStyle w:val="39"/>
              <w:rPr>
                <w:rFonts w:hint="eastAsia" w:ascii="Times New Roman"/>
              </w:rPr>
            </w:pPr>
          </w:p>
        </w:tc>
      </w:tr>
      <w:tr w14:paraId="58BC4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834" w:type="dxa"/>
          </w:tcPr>
          <w:p w14:paraId="45E5A9C1">
            <w:pPr>
              <w:pStyle w:val="39"/>
              <w:rPr>
                <w:rFonts w:hint="eastAsia" w:ascii="Times New Roman"/>
              </w:rPr>
            </w:pPr>
          </w:p>
        </w:tc>
        <w:tc>
          <w:tcPr>
            <w:tcW w:w="1974" w:type="dxa"/>
          </w:tcPr>
          <w:p w14:paraId="16AE3239">
            <w:pPr>
              <w:pStyle w:val="39"/>
              <w:rPr>
                <w:rFonts w:hint="eastAsia" w:ascii="Times New Roman"/>
              </w:rPr>
            </w:pPr>
          </w:p>
        </w:tc>
        <w:tc>
          <w:tcPr>
            <w:tcW w:w="2457" w:type="dxa"/>
          </w:tcPr>
          <w:p w14:paraId="33C977C5">
            <w:pPr>
              <w:pStyle w:val="39"/>
              <w:rPr>
                <w:rFonts w:hint="eastAsia" w:ascii="Times New Roman"/>
              </w:rPr>
            </w:pPr>
          </w:p>
        </w:tc>
        <w:tc>
          <w:tcPr>
            <w:tcW w:w="2457" w:type="dxa"/>
          </w:tcPr>
          <w:p w14:paraId="530489D8">
            <w:pPr>
              <w:pStyle w:val="39"/>
              <w:rPr>
                <w:rFonts w:hint="eastAsia" w:ascii="Times New Roman"/>
              </w:rPr>
            </w:pPr>
          </w:p>
        </w:tc>
        <w:tc>
          <w:tcPr>
            <w:tcW w:w="975" w:type="dxa"/>
          </w:tcPr>
          <w:p w14:paraId="70291608">
            <w:pPr>
              <w:pStyle w:val="39"/>
              <w:rPr>
                <w:rFonts w:hint="eastAsia" w:ascii="Times New Roman"/>
              </w:rPr>
            </w:pPr>
          </w:p>
        </w:tc>
        <w:tc>
          <w:tcPr>
            <w:tcW w:w="900" w:type="dxa"/>
          </w:tcPr>
          <w:p w14:paraId="733F26B1">
            <w:pPr>
              <w:pStyle w:val="39"/>
              <w:rPr>
                <w:rFonts w:hint="eastAsia" w:ascii="Times New Roman"/>
              </w:rPr>
            </w:pPr>
          </w:p>
        </w:tc>
      </w:tr>
      <w:tr w14:paraId="74E49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834" w:type="dxa"/>
          </w:tcPr>
          <w:p w14:paraId="495C4921">
            <w:pPr>
              <w:pStyle w:val="39"/>
              <w:rPr>
                <w:rFonts w:hint="eastAsia" w:ascii="Times New Roman"/>
              </w:rPr>
            </w:pPr>
          </w:p>
        </w:tc>
        <w:tc>
          <w:tcPr>
            <w:tcW w:w="1974" w:type="dxa"/>
          </w:tcPr>
          <w:p w14:paraId="746E64D5">
            <w:pPr>
              <w:pStyle w:val="39"/>
              <w:rPr>
                <w:rFonts w:hint="eastAsia" w:ascii="Times New Roman"/>
              </w:rPr>
            </w:pPr>
          </w:p>
        </w:tc>
        <w:tc>
          <w:tcPr>
            <w:tcW w:w="2457" w:type="dxa"/>
          </w:tcPr>
          <w:p w14:paraId="4A1F2428">
            <w:pPr>
              <w:pStyle w:val="39"/>
              <w:rPr>
                <w:rFonts w:hint="eastAsia" w:ascii="Times New Roman"/>
              </w:rPr>
            </w:pPr>
          </w:p>
        </w:tc>
        <w:tc>
          <w:tcPr>
            <w:tcW w:w="2457" w:type="dxa"/>
          </w:tcPr>
          <w:p w14:paraId="27BAF836">
            <w:pPr>
              <w:pStyle w:val="39"/>
              <w:rPr>
                <w:rFonts w:hint="eastAsia" w:ascii="Times New Roman"/>
              </w:rPr>
            </w:pPr>
          </w:p>
        </w:tc>
        <w:tc>
          <w:tcPr>
            <w:tcW w:w="975" w:type="dxa"/>
          </w:tcPr>
          <w:p w14:paraId="4AD0F5C0">
            <w:pPr>
              <w:pStyle w:val="39"/>
              <w:rPr>
                <w:rFonts w:hint="eastAsia" w:ascii="Times New Roman"/>
              </w:rPr>
            </w:pPr>
          </w:p>
        </w:tc>
        <w:tc>
          <w:tcPr>
            <w:tcW w:w="900" w:type="dxa"/>
          </w:tcPr>
          <w:p w14:paraId="4D70A130">
            <w:pPr>
              <w:pStyle w:val="39"/>
              <w:rPr>
                <w:rFonts w:hint="eastAsia" w:ascii="Times New Roman"/>
              </w:rPr>
            </w:pPr>
          </w:p>
        </w:tc>
      </w:tr>
      <w:tr w14:paraId="58CF5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834" w:type="dxa"/>
          </w:tcPr>
          <w:p w14:paraId="7FAE6D8E">
            <w:pPr>
              <w:pStyle w:val="39"/>
              <w:rPr>
                <w:rFonts w:hint="eastAsia" w:ascii="Times New Roman"/>
              </w:rPr>
            </w:pPr>
          </w:p>
        </w:tc>
        <w:tc>
          <w:tcPr>
            <w:tcW w:w="1974" w:type="dxa"/>
          </w:tcPr>
          <w:p w14:paraId="61ADD83F">
            <w:pPr>
              <w:pStyle w:val="39"/>
              <w:rPr>
                <w:rFonts w:hint="eastAsia" w:ascii="Times New Roman"/>
              </w:rPr>
            </w:pPr>
          </w:p>
        </w:tc>
        <w:tc>
          <w:tcPr>
            <w:tcW w:w="2457" w:type="dxa"/>
          </w:tcPr>
          <w:p w14:paraId="654DC5DF">
            <w:pPr>
              <w:pStyle w:val="39"/>
              <w:rPr>
                <w:rFonts w:hint="eastAsia" w:ascii="Times New Roman"/>
              </w:rPr>
            </w:pPr>
          </w:p>
        </w:tc>
        <w:tc>
          <w:tcPr>
            <w:tcW w:w="2457" w:type="dxa"/>
          </w:tcPr>
          <w:p w14:paraId="73ACE5CF">
            <w:pPr>
              <w:pStyle w:val="39"/>
              <w:rPr>
                <w:rFonts w:hint="eastAsia" w:ascii="Times New Roman"/>
              </w:rPr>
            </w:pPr>
          </w:p>
        </w:tc>
        <w:tc>
          <w:tcPr>
            <w:tcW w:w="975" w:type="dxa"/>
          </w:tcPr>
          <w:p w14:paraId="4AF92252">
            <w:pPr>
              <w:pStyle w:val="39"/>
              <w:rPr>
                <w:rFonts w:hint="eastAsia" w:ascii="Times New Roman"/>
              </w:rPr>
            </w:pPr>
          </w:p>
        </w:tc>
        <w:tc>
          <w:tcPr>
            <w:tcW w:w="900" w:type="dxa"/>
          </w:tcPr>
          <w:p w14:paraId="52A681D3">
            <w:pPr>
              <w:pStyle w:val="39"/>
              <w:rPr>
                <w:rFonts w:hint="eastAsia" w:ascii="Times New Roman"/>
              </w:rPr>
            </w:pPr>
          </w:p>
        </w:tc>
      </w:tr>
      <w:tr w14:paraId="630AE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834" w:type="dxa"/>
          </w:tcPr>
          <w:p w14:paraId="24D3372A">
            <w:pPr>
              <w:pStyle w:val="39"/>
              <w:rPr>
                <w:rFonts w:hint="eastAsia" w:ascii="Times New Roman"/>
              </w:rPr>
            </w:pPr>
          </w:p>
        </w:tc>
        <w:tc>
          <w:tcPr>
            <w:tcW w:w="1974" w:type="dxa"/>
          </w:tcPr>
          <w:p w14:paraId="55F80319">
            <w:pPr>
              <w:pStyle w:val="39"/>
              <w:rPr>
                <w:rFonts w:hint="eastAsia" w:ascii="Times New Roman"/>
              </w:rPr>
            </w:pPr>
          </w:p>
        </w:tc>
        <w:tc>
          <w:tcPr>
            <w:tcW w:w="2457" w:type="dxa"/>
          </w:tcPr>
          <w:p w14:paraId="269BC2CE">
            <w:pPr>
              <w:pStyle w:val="39"/>
              <w:rPr>
                <w:rFonts w:hint="eastAsia" w:ascii="Times New Roman"/>
              </w:rPr>
            </w:pPr>
          </w:p>
        </w:tc>
        <w:tc>
          <w:tcPr>
            <w:tcW w:w="2457" w:type="dxa"/>
          </w:tcPr>
          <w:p w14:paraId="408D21D1">
            <w:pPr>
              <w:pStyle w:val="39"/>
              <w:rPr>
                <w:rFonts w:hint="eastAsia" w:ascii="Times New Roman"/>
              </w:rPr>
            </w:pPr>
          </w:p>
        </w:tc>
        <w:tc>
          <w:tcPr>
            <w:tcW w:w="975" w:type="dxa"/>
          </w:tcPr>
          <w:p w14:paraId="0157259F">
            <w:pPr>
              <w:pStyle w:val="39"/>
              <w:rPr>
                <w:rFonts w:hint="eastAsia" w:ascii="Times New Roman"/>
              </w:rPr>
            </w:pPr>
          </w:p>
        </w:tc>
        <w:tc>
          <w:tcPr>
            <w:tcW w:w="900" w:type="dxa"/>
          </w:tcPr>
          <w:p w14:paraId="074AFE4F">
            <w:pPr>
              <w:pStyle w:val="39"/>
              <w:rPr>
                <w:rFonts w:hint="eastAsia" w:ascii="Times New Roman"/>
              </w:rPr>
            </w:pPr>
          </w:p>
        </w:tc>
      </w:tr>
      <w:tr w14:paraId="53FC2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834" w:type="dxa"/>
          </w:tcPr>
          <w:p w14:paraId="33C10A6A">
            <w:pPr>
              <w:pStyle w:val="39"/>
              <w:rPr>
                <w:rFonts w:hint="eastAsia" w:ascii="Times New Roman"/>
              </w:rPr>
            </w:pPr>
          </w:p>
        </w:tc>
        <w:tc>
          <w:tcPr>
            <w:tcW w:w="1974" w:type="dxa"/>
          </w:tcPr>
          <w:p w14:paraId="0FB95954">
            <w:pPr>
              <w:pStyle w:val="39"/>
              <w:rPr>
                <w:rFonts w:hint="eastAsia" w:ascii="Times New Roman"/>
              </w:rPr>
            </w:pPr>
          </w:p>
        </w:tc>
        <w:tc>
          <w:tcPr>
            <w:tcW w:w="2457" w:type="dxa"/>
          </w:tcPr>
          <w:p w14:paraId="54A4B6AB">
            <w:pPr>
              <w:pStyle w:val="39"/>
              <w:rPr>
                <w:rFonts w:hint="eastAsia" w:ascii="Times New Roman"/>
              </w:rPr>
            </w:pPr>
          </w:p>
        </w:tc>
        <w:tc>
          <w:tcPr>
            <w:tcW w:w="2457" w:type="dxa"/>
          </w:tcPr>
          <w:p w14:paraId="4E009F14">
            <w:pPr>
              <w:pStyle w:val="39"/>
              <w:rPr>
                <w:rFonts w:hint="eastAsia" w:ascii="Times New Roman"/>
              </w:rPr>
            </w:pPr>
          </w:p>
        </w:tc>
        <w:tc>
          <w:tcPr>
            <w:tcW w:w="975" w:type="dxa"/>
          </w:tcPr>
          <w:p w14:paraId="08E39DC2">
            <w:pPr>
              <w:pStyle w:val="39"/>
              <w:rPr>
                <w:rFonts w:hint="eastAsia" w:ascii="Times New Roman"/>
              </w:rPr>
            </w:pPr>
          </w:p>
        </w:tc>
        <w:tc>
          <w:tcPr>
            <w:tcW w:w="900" w:type="dxa"/>
          </w:tcPr>
          <w:p w14:paraId="1F27C6A3">
            <w:pPr>
              <w:pStyle w:val="39"/>
              <w:rPr>
                <w:rFonts w:hint="eastAsia" w:ascii="Times New Roman"/>
              </w:rPr>
            </w:pPr>
          </w:p>
        </w:tc>
      </w:tr>
    </w:tbl>
    <w:p w14:paraId="0B644498">
      <w:pPr>
        <w:pStyle w:val="8"/>
        <w:spacing w:before="2"/>
        <w:ind w:left="1004"/>
        <w:rPr>
          <w:rFonts w:hint="eastAsia"/>
          <w:lang w:eastAsia="zh-CN"/>
        </w:rPr>
      </w:pPr>
      <w:r>
        <w:rPr>
          <w:b/>
          <w:lang w:eastAsia="zh-CN"/>
        </w:rPr>
        <w:t xml:space="preserve">注： </w:t>
      </w:r>
      <w:r>
        <w:rPr>
          <w:lang w:eastAsia="zh-CN"/>
        </w:rPr>
        <w:t>1、响应/偏离内容应在说明栏中说明该条款在投标文件中（或页码）的依据；</w:t>
      </w:r>
    </w:p>
    <w:p w14:paraId="20A81FDC">
      <w:pPr>
        <w:pStyle w:val="8"/>
        <w:spacing w:before="160"/>
        <w:ind w:left="1604"/>
        <w:outlineLvl w:val="1"/>
        <w:rPr>
          <w:rFonts w:hint="eastAsia"/>
          <w:lang w:eastAsia="zh-CN"/>
        </w:rPr>
      </w:pPr>
      <w:bookmarkStart w:id="174" w:name="_Toc4763"/>
      <w:r>
        <w:rPr>
          <w:lang w:eastAsia="zh-CN"/>
        </w:rPr>
        <w:t>2、投标人不按上述表格填写，所产生的一切后果由投标人承担。</w:t>
      </w:r>
      <w:bookmarkEnd w:id="174"/>
    </w:p>
    <w:p w14:paraId="6CDB0DF1">
      <w:pPr>
        <w:pStyle w:val="8"/>
        <w:rPr>
          <w:rFonts w:hint="eastAsia"/>
          <w:lang w:eastAsia="zh-CN"/>
        </w:rPr>
      </w:pPr>
    </w:p>
    <w:p w14:paraId="2AB2BA48">
      <w:pPr>
        <w:pStyle w:val="8"/>
        <w:rPr>
          <w:rFonts w:hint="eastAsia"/>
          <w:lang w:eastAsia="zh-CN"/>
        </w:rPr>
      </w:pPr>
    </w:p>
    <w:p w14:paraId="25A12D01">
      <w:pPr>
        <w:pStyle w:val="8"/>
        <w:spacing w:before="3"/>
        <w:rPr>
          <w:rFonts w:hint="eastAsia"/>
          <w:sz w:val="33"/>
          <w:lang w:eastAsia="zh-CN"/>
        </w:rPr>
      </w:pPr>
    </w:p>
    <w:p w14:paraId="334858D4">
      <w:pPr>
        <w:pStyle w:val="8"/>
        <w:spacing w:before="1"/>
        <w:ind w:left="1004"/>
        <w:rPr>
          <w:rFonts w:hint="eastAsia"/>
          <w:lang w:eastAsia="zh-CN"/>
        </w:rPr>
      </w:pPr>
      <w:r>
        <w:rPr>
          <w:lang w:eastAsia="zh-CN"/>
        </w:rPr>
        <w:t>法定代表人或委托代理签字或盖章：</w:t>
      </w:r>
    </w:p>
    <w:p w14:paraId="1808A30A">
      <w:pPr>
        <w:rPr>
          <w:rFonts w:hint="eastAsia"/>
          <w:lang w:eastAsia="zh-CN"/>
        </w:rPr>
        <w:sectPr>
          <w:pgSz w:w="11910" w:h="16840"/>
          <w:pgMar w:top="1440" w:right="1080" w:bottom="1440" w:left="1080" w:header="0" w:footer="962" w:gutter="0"/>
          <w:cols w:space="720" w:num="1"/>
        </w:sectPr>
      </w:pPr>
    </w:p>
    <w:p w14:paraId="6DE9E93F">
      <w:pPr>
        <w:pStyle w:val="7"/>
        <w:spacing w:before="55"/>
        <w:ind w:left="3104"/>
        <w:rPr>
          <w:rFonts w:hint="eastAsia"/>
          <w:lang w:eastAsia="zh-CN"/>
        </w:rPr>
      </w:pPr>
      <w:bookmarkStart w:id="175" w:name="_bookmark48"/>
      <w:bookmarkEnd w:id="175"/>
      <w:bookmarkStart w:id="176" w:name="_Toc8897"/>
      <w:r>
        <w:rPr>
          <w:lang w:eastAsia="zh-CN"/>
        </w:rPr>
        <w:t>7、投标人应当提交的资格、资信证明文件</w:t>
      </w:r>
      <w:bookmarkEnd w:id="176"/>
    </w:p>
    <w:p w14:paraId="41A6089A">
      <w:pPr>
        <w:spacing w:before="1" w:line="400" w:lineRule="exact"/>
        <w:ind w:left="513" w:right="258"/>
        <w:rPr>
          <w:rFonts w:hint="eastAsia"/>
          <w:spacing w:val="-18"/>
          <w:sz w:val="21"/>
          <w:szCs w:val="21"/>
          <w:lang w:eastAsia="zh-CN"/>
        </w:rPr>
      </w:pPr>
      <w:r>
        <w:rPr>
          <w:spacing w:val="-18"/>
          <w:sz w:val="21"/>
          <w:szCs w:val="21"/>
          <w:lang w:eastAsia="zh-CN"/>
        </w:rPr>
        <w:t>说明：以下应当提交的资格、资信证明文件均为原件原色扫描件,未提交或不满足要求均视  为无效投标。</w:t>
      </w:r>
    </w:p>
    <w:p w14:paraId="19A4D962">
      <w:pPr>
        <w:spacing w:before="11" w:line="400" w:lineRule="exact"/>
        <w:ind w:left="524"/>
        <w:rPr>
          <w:rFonts w:hint="eastAsia"/>
          <w:b/>
          <w:sz w:val="28"/>
          <w:lang w:eastAsia="zh-CN"/>
        </w:rPr>
      </w:pPr>
      <w:bookmarkStart w:id="177" w:name="格式7-1具有独立承担民事责任的能力的资格证明文件"/>
      <w:bookmarkEnd w:id="177"/>
      <w:bookmarkStart w:id="178" w:name="_bookmark49"/>
      <w:bookmarkEnd w:id="178"/>
      <w:r>
        <w:rPr>
          <w:b/>
          <w:sz w:val="28"/>
          <w:lang w:eastAsia="zh-CN"/>
        </w:rPr>
        <w:t>格式 7-1 具有独立承担民事责任的能力的资格证明文件</w:t>
      </w:r>
    </w:p>
    <w:p w14:paraId="64344B7B">
      <w:pPr>
        <w:pStyle w:val="8"/>
        <w:spacing w:before="183" w:line="400" w:lineRule="exact"/>
        <w:ind w:left="524" w:right="205" w:firstLine="480"/>
        <w:rPr>
          <w:rFonts w:hint="eastAsia"/>
          <w:lang w:eastAsia="zh-CN"/>
        </w:rPr>
      </w:pPr>
      <w:r>
        <w:rPr>
          <w:spacing w:val="-6"/>
          <w:lang w:eastAsia="zh-CN"/>
        </w:rPr>
        <w:t>如投标人是企业的</w:t>
      </w:r>
      <w:r>
        <w:rPr>
          <w:lang w:eastAsia="zh-CN"/>
        </w:rPr>
        <w:t>（包括合伙企业</w:t>
      </w:r>
      <w:r>
        <w:rPr>
          <w:spacing w:val="-46"/>
          <w:lang w:eastAsia="zh-CN"/>
        </w:rPr>
        <w:t>）</w:t>
      </w:r>
      <w:r>
        <w:rPr>
          <w:spacing w:val="-18"/>
          <w:lang w:eastAsia="zh-CN"/>
        </w:rPr>
        <w:t>应提供有效的“企业法人营业执照”或“营业执照”；如投标人是事业单位的应提供“事业单位法人证书”；如投标人是非企业专业服务机构的应提供执业许可证等证明文件；投标人是个体工商户的应提供有效的“个体工商户营业执照”、组织机构代码证证明文件（实行“统一社会信用代码”的不需单独提供组织机构代码证）； 如投标人是自然人的，应提供有效的自然人的身份证明(中国公民)。同时提供法定代表人授权委托书原件及被授权人身份证复印件；不具备法人资格的分公司或支公司来投标，除需提供具有法人资格的总公司的授权书外，总公司也须符合《政府</w:t>
      </w:r>
      <w:r>
        <w:rPr>
          <w:rFonts w:hint="eastAsia"/>
          <w:spacing w:val="-18"/>
          <w:lang w:eastAsia="zh-CN"/>
        </w:rPr>
        <w:t>招标</w:t>
      </w:r>
      <w:r>
        <w:rPr>
          <w:spacing w:val="-18"/>
          <w:lang w:eastAsia="zh-CN"/>
        </w:rPr>
        <w:t>法》第二十二条之规定并提供《政府</w:t>
      </w:r>
      <w:r>
        <w:rPr>
          <w:rFonts w:hint="eastAsia"/>
          <w:spacing w:val="-18"/>
          <w:lang w:eastAsia="zh-CN"/>
        </w:rPr>
        <w:t>招标</w:t>
      </w:r>
      <w:r>
        <w:rPr>
          <w:spacing w:val="-18"/>
          <w:lang w:eastAsia="zh-CN"/>
        </w:rPr>
        <w:t>法》第二十二条相关材料。</w:t>
      </w:r>
      <w:r>
        <w:rPr>
          <w:rFonts w:hint="eastAsia"/>
          <w:spacing w:val="-18"/>
          <w:lang w:eastAsia="zh-CN"/>
        </w:rPr>
        <w:t>经营范围内应包含下列类型的内容之一</w:t>
      </w:r>
      <w:r>
        <w:rPr>
          <w:rFonts w:hint="eastAsia"/>
          <w:spacing w:val="-18"/>
          <w:lang w:val="en-US" w:eastAsia="zh-CN"/>
        </w:rPr>
        <w:t>:</w:t>
      </w:r>
      <w:r>
        <w:rPr>
          <w:rFonts w:hint="eastAsia"/>
          <w:spacing w:val="-18"/>
          <w:lang w:eastAsia="zh-CN"/>
        </w:rPr>
        <w:t>排水设施维护、潜水作业、管道检测、管道疏通和管道维修工程。</w:t>
      </w:r>
    </w:p>
    <w:p w14:paraId="4540A771">
      <w:pPr>
        <w:pStyle w:val="6"/>
        <w:spacing w:line="400" w:lineRule="exact"/>
        <w:rPr>
          <w:rFonts w:hint="eastAsia"/>
          <w:lang w:eastAsia="zh-CN"/>
        </w:rPr>
      </w:pPr>
      <w:bookmarkStart w:id="179" w:name="_bookmark50"/>
      <w:bookmarkEnd w:id="179"/>
      <w:bookmarkStart w:id="180" w:name="格式7-2具有良好的商业信誉和健全的财务会计制度的证明文件_"/>
      <w:bookmarkEnd w:id="180"/>
      <w:r>
        <w:rPr>
          <w:lang w:eastAsia="zh-CN"/>
        </w:rPr>
        <w:t>格式 7-2 具有良好的商业信誉和健全的财务会计制度的证明文件</w:t>
      </w:r>
    </w:p>
    <w:p w14:paraId="5C647A42">
      <w:pPr>
        <w:pStyle w:val="8"/>
        <w:spacing w:before="185" w:line="400" w:lineRule="exact"/>
        <w:ind w:left="524" w:right="324" w:firstLine="480"/>
        <w:jc w:val="both"/>
        <w:rPr>
          <w:rFonts w:hint="eastAsia"/>
          <w:lang w:eastAsia="zh-CN"/>
        </w:rPr>
      </w:pPr>
      <w:r>
        <w:rPr>
          <w:lang w:eastAsia="zh-CN"/>
        </w:rPr>
        <w:t>投标人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三个月中国人民银行征信中心开具个人信用报告。</w:t>
      </w:r>
    </w:p>
    <w:p w14:paraId="15B31883">
      <w:pPr>
        <w:pStyle w:val="6"/>
        <w:spacing w:line="400" w:lineRule="exact"/>
        <w:rPr>
          <w:rFonts w:hint="eastAsia"/>
          <w:lang w:eastAsia="zh-CN"/>
        </w:rPr>
      </w:pPr>
      <w:bookmarkStart w:id="181" w:name="_bookmark51"/>
      <w:bookmarkEnd w:id="181"/>
      <w:bookmarkStart w:id="182" w:name="格式7-3_具有履行合同所必须的设备和专业技术能力的证明文件_"/>
      <w:bookmarkEnd w:id="182"/>
      <w:r>
        <w:rPr>
          <w:lang w:eastAsia="zh-CN"/>
        </w:rPr>
        <w:t>格式 7-3 具有履行合同所必须的设备和专业技术能力的证明文件</w:t>
      </w:r>
    </w:p>
    <w:p w14:paraId="12C00799">
      <w:pPr>
        <w:pStyle w:val="8"/>
        <w:spacing w:before="185" w:line="400" w:lineRule="exact"/>
        <w:ind w:left="1004"/>
        <w:rPr>
          <w:rFonts w:hint="eastAsia"/>
          <w:lang w:eastAsia="zh-CN"/>
        </w:rPr>
      </w:pPr>
      <w:r>
        <w:rPr>
          <w:lang w:eastAsia="zh-CN"/>
        </w:rPr>
        <w:t>投标人提供具有履行合同所必须的设备和专业技术能力的承诺函；（格式自拟）</w:t>
      </w:r>
    </w:p>
    <w:p w14:paraId="6BF04049">
      <w:pPr>
        <w:pStyle w:val="6"/>
        <w:spacing w:before="159" w:line="400" w:lineRule="exact"/>
        <w:rPr>
          <w:rFonts w:hint="eastAsia"/>
          <w:lang w:eastAsia="zh-CN"/>
        </w:rPr>
      </w:pPr>
      <w:bookmarkStart w:id="183" w:name="_bookmark52"/>
      <w:bookmarkEnd w:id="183"/>
      <w:bookmarkStart w:id="184" w:name="格式7-4_有依法缴纳税收和社会保障资金的良好记录的证明文件_"/>
      <w:bookmarkEnd w:id="184"/>
      <w:r>
        <w:rPr>
          <w:lang w:eastAsia="zh-CN"/>
        </w:rPr>
        <w:t>格式 7-4 有依法缴纳税收和社会保障资金的良好记录的证明文件</w:t>
      </w:r>
    </w:p>
    <w:p w14:paraId="7ADF2A33">
      <w:pPr>
        <w:pStyle w:val="8"/>
        <w:spacing w:before="185" w:line="400" w:lineRule="exact"/>
        <w:ind w:left="524" w:right="324" w:firstLine="480"/>
        <w:rPr>
          <w:rFonts w:hint="eastAsia"/>
          <w:lang w:eastAsia="zh-CN"/>
        </w:rPr>
      </w:pPr>
      <w:r>
        <w:rPr>
          <w:lang w:eastAsia="zh-CN"/>
        </w:rPr>
        <w:t>税务登记证（实行“统一社会信用代码”的不需单独提供）和开标前六个月内任意一个月的企业缴税凭证或证明；</w:t>
      </w:r>
    </w:p>
    <w:p w14:paraId="5E62E621">
      <w:pPr>
        <w:pStyle w:val="8"/>
        <w:spacing w:line="400" w:lineRule="exact"/>
        <w:ind w:left="524" w:right="324" w:firstLine="480"/>
        <w:rPr>
          <w:rFonts w:hint="eastAsia"/>
          <w:lang w:eastAsia="zh-CN"/>
        </w:rPr>
      </w:pPr>
      <w:r>
        <w:rPr>
          <w:lang w:eastAsia="zh-CN"/>
        </w:rPr>
        <w:t>开标前六个月内任意一个月的缴纳社会保障资金的凭证或当地社会保障局出具的缴纳明细。</w:t>
      </w:r>
    </w:p>
    <w:p w14:paraId="132366B8">
      <w:pPr>
        <w:pStyle w:val="7"/>
        <w:spacing w:line="400" w:lineRule="exact"/>
        <w:ind w:right="270" w:firstLine="480"/>
        <w:rPr>
          <w:rFonts w:hint="eastAsia"/>
          <w:lang w:eastAsia="zh-CN"/>
        </w:rPr>
      </w:pPr>
      <w:r>
        <w:rPr>
          <w:w w:val="95"/>
          <w:lang w:eastAsia="zh-CN"/>
        </w:rPr>
        <w:t xml:space="preserve">依法免税或不需要缴纳社会保障资金的投标人，应当提供相关文件证明其依法免税或不  </w:t>
      </w:r>
      <w:r>
        <w:rPr>
          <w:lang w:eastAsia="zh-CN"/>
        </w:rPr>
        <w:t>需要缴纳社会保障资金。</w:t>
      </w:r>
    </w:p>
    <w:p w14:paraId="50285571">
      <w:pPr>
        <w:spacing w:line="400" w:lineRule="exact"/>
        <w:ind w:left="524"/>
        <w:rPr>
          <w:rFonts w:hint="eastAsia"/>
          <w:b/>
          <w:sz w:val="28"/>
          <w:lang w:eastAsia="zh-CN"/>
        </w:rPr>
      </w:pPr>
      <w:bookmarkStart w:id="185" w:name="格式7-5参加政府采购前三年内,在经营活动中没有重大违法记录的证明文件_"/>
      <w:bookmarkEnd w:id="185"/>
      <w:bookmarkStart w:id="186" w:name="_bookmark53"/>
      <w:bookmarkEnd w:id="186"/>
      <w:r>
        <w:rPr>
          <w:b/>
          <w:sz w:val="28"/>
          <w:lang w:eastAsia="zh-CN"/>
        </w:rPr>
        <w:t>格式 7-5 参加政府</w:t>
      </w:r>
      <w:r>
        <w:rPr>
          <w:rFonts w:hint="eastAsia"/>
          <w:b/>
          <w:sz w:val="28"/>
          <w:lang w:eastAsia="zh-CN"/>
        </w:rPr>
        <w:t>招标</w:t>
      </w:r>
      <w:r>
        <w:rPr>
          <w:b/>
          <w:sz w:val="28"/>
          <w:lang w:eastAsia="zh-CN"/>
        </w:rPr>
        <w:t>前三年内,在经营活动中没有重大违法记录的证明文件</w:t>
      </w:r>
    </w:p>
    <w:p w14:paraId="3662BD86">
      <w:pPr>
        <w:pStyle w:val="8"/>
        <w:spacing w:before="183" w:line="400" w:lineRule="exact"/>
        <w:ind w:left="1004"/>
        <w:rPr>
          <w:rFonts w:hint="eastAsia"/>
          <w:lang w:eastAsia="zh-CN"/>
        </w:rPr>
      </w:pPr>
      <w:r>
        <w:rPr>
          <w:lang w:eastAsia="zh-CN"/>
        </w:rPr>
        <w:t>参加政府</w:t>
      </w:r>
      <w:r>
        <w:rPr>
          <w:rFonts w:hint="eastAsia"/>
          <w:lang w:eastAsia="zh-CN"/>
        </w:rPr>
        <w:t>招标</w:t>
      </w:r>
      <w:r>
        <w:rPr>
          <w:lang w:eastAsia="zh-CN"/>
        </w:rPr>
        <w:t>前三年内,在经营活动中没有重大违法记录承诺函；（格式自拟）</w:t>
      </w:r>
    </w:p>
    <w:p w14:paraId="050D7F9F">
      <w:pPr>
        <w:pStyle w:val="8"/>
        <w:spacing w:before="161" w:line="400" w:lineRule="exact"/>
        <w:ind w:left="524" w:right="324" w:firstLine="480"/>
        <w:rPr>
          <w:rFonts w:hint="eastAsia"/>
          <w:lang w:eastAsia="zh-CN"/>
        </w:rPr>
      </w:pPr>
      <w:r>
        <w:rPr>
          <w:lang w:eastAsia="zh-CN"/>
        </w:rPr>
        <w:t>重大违法记录，是指投标人因违法经营受到刑事处罚或者责令停产停业、吊销许可证或者执照、较大罚款等行政处罚。</w:t>
      </w:r>
    </w:p>
    <w:p w14:paraId="51AAD939">
      <w:pPr>
        <w:spacing w:line="364" w:lineRule="auto"/>
        <w:rPr>
          <w:rFonts w:hint="eastAsia"/>
          <w:lang w:eastAsia="zh-CN"/>
        </w:rPr>
        <w:sectPr>
          <w:pgSz w:w="11910" w:h="16840"/>
          <w:pgMar w:top="1440" w:right="1080" w:bottom="1440" w:left="1080" w:header="0" w:footer="962" w:gutter="0"/>
          <w:cols w:space="720" w:num="1"/>
        </w:sectPr>
      </w:pPr>
    </w:p>
    <w:p w14:paraId="11DAC22E">
      <w:pPr>
        <w:pStyle w:val="7"/>
        <w:spacing w:before="55"/>
        <w:ind w:left="3889"/>
        <w:rPr>
          <w:rFonts w:hint="eastAsia"/>
          <w:lang w:eastAsia="zh-CN"/>
        </w:rPr>
      </w:pPr>
      <w:bookmarkStart w:id="187" w:name="_bookmark54"/>
      <w:bookmarkEnd w:id="187"/>
      <w:bookmarkStart w:id="188" w:name="格式7-6法定代表人授权书"/>
      <w:bookmarkEnd w:id="188"/>
      <w:r>
        <w:rPr>
          <w:lang w:eastAsia="zh-CN"/>
        </w:rPr>
        <w:t>格式 7-6 法定代表人授权书</w:t>
      </w:r>
    </w:p>
    <w:p w14:paraId="105828AB">
      <w:pPr>
        <w:pStyle w:val="8"/>
        <w:rPr>
          <w:rFonts w:hint="eastAsia"/>
          <w:b/>
          <w:lang w:eastAsia="zh-CN"/>
        </w:rPr>
      </w:pPr>
    </w:p>
    <w:p w14:paraId="211CE650">
      <w:pPr>
        <w:pStyle w:val="8"/>
        <w:spacing w:before="132" w:line="345" w:lineRule="auto"/>
        <w:ind w:left="524" w:right="223"/>
        <w:rPr>
          <w:rFonts w:hint="eastAsia"/>
          <w:lang w:eastAsia="zh-CN"/>
        </w:rPr>
      </w:pPr>
      <w:r>
        <w:rPr>
          <w:lang w:eastAsia="zh-CN"/>
        </w:rPr>
        <w:t>致：</w:t>
      </w:r>
      <w:r>
        <w:rPr>
          <w:rFonts w:hint="eastAsia"/>
          <w:lang w:eastAsia="zh-CN"/>
        </w:rPr>
        <w:t>浩玟（江西）工程管理有限公司</w:t>
      </w:r>
    </w:p>
    <w:p w14:paraId="6CBC5BC2">
      <w:pPr>
        <w:pStyle w:val="8"/>
        <w:spacing w:before="132" w:line="345" w:lineRule="auto"/>
        <w:ind w:left="524" w:right="223" w:firstLine="720" w:firstLineChars="300"/>
        <w:rPr>
          <w:rFonts w:hint="eastAsia"/>
          <w:lang w:eastAsia="zh-CN"/>
        </w:rPr>
      </w:pPr>
      <w:r>
        <w:rPr>
          <w:lang w:eastAsia="zh-CN"/>
        </w:rPr>
        <w:t>（投标人全称）法定代表人授权（全权代表姓名）为全权代表,参加贵处组织的（招标编号） 项目招标活动，全权代表我方处理招标活动中的一切事宜。</w:t>
      </w:r>
    </w:p>
    <w:p w14:paraId="1119135F">
      <w:pPr>
        <w:pStyle w:val="8"/>
        <w:rPr>
          <w:rFonts w:hint="eastAsia"/>
          <w:lang w:eastAsia="zh-CN"/>
        </w:rPr>
      </w:pPr>
    </w:p>
    <w:p w14:paraId="0A08DA96">
      <w:pPr>
        <w:pStyle w:val="8"/>
        <w:spacing w:before="8"/>
        <w:rPr>
          <w:rFonts w:hint="eastAsia"/>
          <w:sz w:val="30"/>
          <w:lang w:eastAsia="zh-CN"/>
        </w:rPr>
      </w:pPr>
    </w:p>
    <w:p w14:paraId="10B67361">
      <w:pPr>
        <w:ind w:firstLine="480" w:firstLineChars="200"/>
        <w:rPr>
          <w:rFonts w:hint="eastAsia"/>
          <w:sz w:val="24"/>
          <w:szCs w:val="24"/>
          <w:lang w:eastAsia="zh-CN"/>
        </w:rPr>
      </w:pPr>
      <w:r>
        <w:rPr>
          <w:sz w:val="24"/>
          <w:szCs w:val="24"/>
          <w:lang w:eastAsia="zh-CN"/>
        </w:rPr>
        <w:t xml:space="preserve">法定代表人签字或盖章： </w:t>
      </w:r>
    </w:p>
    <w:p w14:paraId="4274FD45">
      <w:pPr>
        <w:pStyle w:val="8"/>
        <w:spacing w:line="686" w:lineRule="auto"/>
        <w:ind w:left="524" w:right="7303"/>
        <w:rPr>
          <w:rFonts w:hint="eastAsia"/>
          <w:lang w:eastAsia="zh-CN"/>
        </w:rPr>
      </w:pPr>
    </w:p>
    <w:p w14:paraId="1D252047">
      <w:pPr>
        <w:pStyle w:val="8"/>
        <w:spacing w:line="686" w:lineRule="auto"/>
        <w:ind w:left="524" w:right="7303"/>
        <w:rPr>
          <w:rFonts w:hint="eastAsia"/>
          <w:lang w:eastAsia="zh-CN"/>
        </w:rPr>
      </w:pPr>
      <w:r>
        <w:rPr>
          <w:lang w:eastAsia="zh-CN"/>
        </w:rPr>
        <w:t>投标人盖章：</w:t>
      </w:r>
    </w:p>
    <w:p w14:paraId="3453FFF6">
      <w:pPr>
        <w:pStyle w:val="8"/>
        <w:ind w:left="524"/>
        <w:rPr>
          <w:rFonts w:hint="eastAsia"/>
          <w:lang w:eastAsia="zh-CN"/>
        </w:rPr>
      </w:pPr>
      <w:r>
        <w:rPr>
          <w:lang w:eastAsia="zh-CN"/>
        </w:rPr>
        <w:t>日期：</w:t>
      </w:r>
    </w:p>
    <w:p w14:paraId="158F54BD">
      <w:pPr>
        <w:pStyle w:val="8"/>
        <w:rPr>
          <w:rFonts w:hint="eastAsia"/>
          <w:lang w:eastAsia="zh-CN"/>
        </w:rPr>
      </w:pPr>
    </w:p>
    <w:p w14:paraId="36B29E5E">
      <w:pPr>
        <w:pStyle w:val="8"/>
        <w:spacing w:before="10"/>
        <w:rPr>
          <w:rFonts w:hint="eastAsia"/>
          <w:sz w:val="20"/>
          <w:lang w:eastAsia="zh-CN"/>
        </w:rPr>
      </w:pPr>
    </w:p>
    <w:p w14:paraId="7D724F77">
      <w:pPr>
        <w:spacing w:line="360" w:lineRule="auto"/>
        <w:ind w:firstLine="480" w:firstLineChars="200"/>
        <w:rPr>
          <w:rFonts w:hint="eastAsia"/>
          <w:sz w:val="24"/>
          <w:szCs w:val="24"/>
          <w:lang w:eastAsia="zh-CN"/>
        </w:rPr>
      </w:pPr>
      <w:r>
        <w:rPr>
          <w:sz w:val="24"/>
          <w:szCs w:val="24"/>
          <w:lang w:eastAsia="zh-CN"/>
        </w:rPr>
        <w:t>附：</w:t>
      </w:r>
    </w:p>
    <w:p w14:paraId="255F87D6">
      <w:pPr>
        <w:spacing w:line="360" w:lineRule="auto"/>
        <w:ind w:firstLine="480" w:firstLineChars="200"/>
        <w:rPr>
          <w:rFonts w:hint="eastAsia"/>
          <w:sz w:val="24"/>
          <w:szCs w:val="24"/>
          <w:lang w:eastAsia="zh-CN"/>
        </w:rPr>
      </w:pPr>
      <w:r>
        <w:rPr>
          <w:sz w:val="24"/>
          <w:szCs w:val="24"/>
          <w:lang w:eastAsia="zh-CN"/>
        </w:rPr>
        <w:t xml:space="preserve">全权代表姓名： </w:t>
      </w:r>
    </w:p>
    <w:p w14:paraId="5CEADD1B">
      <w:pPr>
        <w:spacing w:line="360" w:lineRule="auto"/>
        <w:ind w:firstLine="480" w:firstLineChars="200"/>
        <w:rPr>
          <w:rFonts w:hint="eastAsia"/>
          <w:sz w:val="24"/>
          <w:szCs w:val="24"/>
          <w:lang w:eastAsia="zh-CN"/>
        </w:rPr>
      </w:pPr>
      <w:r>
        <w:rPr>
          <w:sz w:val="24"/>
          <w:szCs w:val="24"/>
          <w:lang w:eastAsia="zh-CN"/>
        </w:rPr>
        <w:t>职务：</w:t>
      </w:r>
    </w:p>
    <w:p w14:paraId="39312FC6">
      <w:pPr>
        <w:spacing w:line="360" w:lineRule="auto"/>
        <w:ind w:firstLine="480" w:firstLineChars="200"/>
        <w:rPr>
          <w:rFonts w:hint="eastAsia"/>
          <w:sz w:val="24"/>
          <w:szCs w:val="24"/>
          <w:lang w:eastAsia="zh-CN"/>
        </w:rPr>
      </w:pPr>
      <w:r>
        <w:rPr>
          <w:sz w:val="24"/>
          <w:szCs w:val="24"/>
          <w:lang w:eastAsia="zh-CN"/>
        </w:rPr>
        <w:t>电话：</w:t>
      </w:r>
    </w:p>
    <w:p w14:paraId="2F02860A">
      <w:pPr>
        <w:spacing w:line="360" w:lineRule="auto"/>
        <w:ind w:firstLine="480" w:firstLineChars="200"/>
        <w:rPr>
          <w:rFonts w:hint="eastAsia"/>
          <w:sz w:val="24"/>
          <w:szCs w:val="24"/>
          <w:lang w:eastAsia="zh-CN"/>
        </w:rPr>
      </w:pPr>
      <w:r>
        <w:rPr>
          <w:sz w:val="24"/>
          <w:szCs w:val="24"/>
          <w:lang w:eastAsia="zh-CN"/>
        </w:rPr>
        <w:t xml:space="preserve">详细通讯地址： </w:t>
      </w:r>
    </w:p>
    <w:p w14:paraId="0EDCEF93">
      <w:pPr>
        <w:spacing w:line="360" w:lineRule="auto"/>
        <w:ind w:firstLine="480" w:firstLineChars="200"/>
        <w:rPr>
          <w:rFonts w:hint="eastAsia"/>
          <w:lang w:eastAsia="zh-CN"/>
        </w:rPr>
      </w:pPr>
      <w:r>
        <w:rPr>
          <w:sz w:val="24"/>
          <w:szCs w:val="24"/>
          <w:lang w:eastAsia="zh-CN"/>
        </w:rPr>
        <w:t>邮政编码</w:t>
      </w:r>
      <w:r>
        <w:rPr>
          <w:lang w:eastAsia="zh-CN"/>
        </w:rPr>
        <w:t>：</w:t>
      </w:r>
    </w:p>
    <w:p w14:paraId="4CDF87E2">
      <w:pPr>
        <w:pStyle w:val="8"/>
        <w:spacing w:line="360" w:lineRule="auto"/>
        <w:rPr>
          <w:rFonts w:hint="eastAsia"/>
          <w:lang w:eastAsia="zh-CN"/>
        </w:rPr>
      </w:pPr>
    </w:p>
    <w:p w14:paraId="366CCCC2">
      <w:pPr>
        <w:pStyle w:val="8"/>
        <w:rPr>
          <w:rFonts w:hint="eastAsia"/>
          <w:lang w:eastAsia="zh-CN"/>
        </w:rPr>
      </w:pPr>
    </w:p>
    <w:p w14:paraId="06F7F849">
      <w:pPr>
        <w:pStyle w:val="8"/>
        <w:rPr>
          <w:rFonts w:hint="eastAsia"/>
          <w:lang w:eastAsia="zh-CN"/>
        </w:rPr>
      </w:pPr>
    </w:p>
    <w:p w14:paraId="71FCB8C5">
      <w:pPr>
        <w:pStyle w:val="8"/>
        <w:spacing w:before="2"/>
        <w:rPr>
          <w:rFonts w:hint="eastAsia"/>
          <w:sz w:val="29"/>
          <w:lang w:eastAsia="zh-CN"/>
        </w:rPr>
      </w:pPr>
    </w:p>
    <w:p w14:paraId="07495CE0">
      <w:pPr>
        <w:rPr>
          <w:rFonts w:hint="eastAsia"/>
          <w:sz w:val="24"/>
          <w:lang w:eastAsia="zh-CN"/>
        </w:rPr>
      </w:pPr>
      <w:r>
        <w:rPr>
          <w:sz w:val="24"/>
          <w:lang w:eastAsia="zh-CN"/>
        </w:rPr>
        <w:t xml:space="preserve">附：全权代表及法人身份证扫描件（正、反面） </w:t>
      </w:r>
    </w:p>
    <w:p w14:paraId="247CA1DE">
      <w:pPr>
        <w:rPr>
          <w:rFonts w:hint="eastAsia"/>
          <w:b/>
          <w:sz w:val="24"/>
          <w:lang w:eastAsia="zh-CN"/>
        </w:rPr>
      </w:pPr>
      <w:r>
        <w:rPr>
          <w:b/>
          <w:sz w:val="24"/>
          <w:lang w:eastAsia="zh-CN"/>
        </w:rPr>
        <w:t>说明：法定代表人参加</w:t>
      </w:r>
      <w:r>
        <w:rPr>
          <w:rFonts w:hint="eastAsia"/>
          <w:b/>
          <w:sz w:val="24"/>
          <w:lang w:eastAsia="zh-CN"/>
        </w:rPr>
        <w:t>招标</w:t>
      </w:r>
      <w:r>
        <w:rPr>
          <w:b/>
          <w:sz w:val="24"/>
          <w:lang w:eastAsia="zh-CN"/>
        </w:rPr>
        <w:t>，不用提供授权书</w:t>
      </w:r>
    </w:p>
    <w:p w14:paraId="5AAB22A7">
      <w:pPr>
        <w:spacing w:line="477" w:lineRule="auto"/>
        <w:rPr>
          <w:rFonts w:hint="eastAsia"/>
          <w:sz w:val="24"/>
          <w:lang w:eastAsia="zh-CN"/>
        </w:rPr>
        <w:sectPr>
          <w:pgSz w:w="11910" w:h="16840"/>
          <w:pgMar w:top="1440" w:right="1080" w:bottom="1440" w:left="1080" w:header="0" w:footer="962" w:gutter="0"/>
          <w:cols w:space="720" w:num="1"/>
        </w:sectPr>
      </w:pPr>
    </w:p>
    <w:p w14:paraId="17EF9FE8">
      <w:pPr>
        <w:pStyle w:val="7"/>
        <w:spacing w:before="66"/>
        <w:ind w:left="198"/>
        <w:jc w:val="center"/>
        <w:rPr>
          <w:rFonts w:hint="eastAsia"/>
          <w:lang w:eastAsia="zh-CN"/>
        </w:rPr>
      </w:pPr>
      <w:bookmarkStart w:id="189" w:name="_bookmark55"/>
      <w:bookmarkEnd w:id="189"/>
      <w:bookmarkStart w:id="190" w:name="格式7-7投标人的资格声明"/>
      <w:bookmarkEnd w:id="190"/>
      <w:r>
        <w:rPr>
          <w:lang w:eastAsia="zh-CN"/>
        </w:rPr>
        <w:t>格式 7-7 投标人的资格声明</w:t>
      </w:r>
    </w:p>
    <w:p w14:paraId="5ED6574E">
      <w:pPr>
        <w:pStyle w:val="8"/>
        <w:rPr>
          <w:rFonts w:hint="eastAsia"/>
          <w:b/>
          <w:lang w:eastAsia="zh-CN"/>
        </w:rPr>
      </w:pPr>
    </w:p>
    <w:p w14:paraId="5FE024E0">
      <w:pPr>
        <w:pStyle w:val="8"/>
        <w:spacing w:before="180"/>
        <w:ind w:left="198"/>
        <w:jc w:val="center"/>
        <w:rPr>
          <w:rFonts w:hint="eastAsia"/>
          <w:lang w:eastAsia="zh-CN"/>
        </w:rPr>
      </w:pPr>
      <w:r>
        <w:rPr>
          <w:lang w:eastAsia="zh-CN"/>
        </w:rPr>
        <w:t>（参考格式）</w:t>
      </w:r>
    </w:p>
    <w:p w14:paraId="34F3818A">
      <w:pPr>
        <w:pStyle w:val="8"/>
        <w:spacing w:before="2"/>
        <w:rPr>
          <w:rFonts w:hint="eastAsia"/>
          <w:sz w:val="23"/>
          <w:lang w:eastAsia="zh-CN"/>
        </w:rPr>
      </w:pPr>
    </w:p>
    <w:p w14:paraId="7CBD4EA4">
      <w:pPr>
        <w:pStyle w:val="8"/>
        <w:rPr>
          <w:rFonts w:hint="eastAsia"/>
        </w:rPr>
      </w:pPr>
      <w:r>
        <w:t>致：</w:t>
      </w:r>
      <w:r>
        <w:rPr>
          <w:rFonts w:hint="eastAsia"/>
          <w:lang w:eastAsia="zh-CN"/>
        </w:rPr>
        <w:t>浩玟（江西）工程管理有限公司</w:t>
      </w:r>
    </w:p>
    <w:p w14:paraId="057EDCAC">
      <w:pPr>
        <w:pStyle w:val="8"/>
        <w:spacing w:before="164" w:line="427" w:lineRule="auto"/>
        <w:ind w:left="527" w:right="319" w:firstLine="477"/>
        <w:rPr>
          <w:rFonts w:hint="eastAsia"/>
          <w:lang w:eastAsia="zh-CN"/>
        </w:rPr>
      </w:pPr>
      <w:r>
        <w:rPr>
          <w:spacing w:val="-12"/>
          <w:lang w:eastAsia="zh-CN"/>
        </w:rPr>
        <w:t>为响应贵方</w:t>
      </w:r>
      <w:r>
        <w:rPr>
          <w:spacing w:val="-9"/>
          <w:lang w:eastAsia="zh-CN"/>
        </w:rPr>
        <w:t>（项目名称、招标编号）投标邀请，下述签字人愿参与投标，提供</w:t>
      </w:r>
      <w:r>
        <w:rPr>
          <w:rFonts w:hint="eastAsia"/>
          <w:spacing w:val="-9"/>
          <w:lang w:eastAsia="zh-CN"/>
        </w:rPr>
        <w:t>招标</w:t>
      </w:r>
      <w:r>
        <w:rPr>
          <w:spacing w:val="-9"/>
          <w:lang w:eastAsia="zh-CN"/>
        </w:rPr>
        <w:t>需求一</w:t>
      </w:r>
      <w:r>
        <w:rPr>
          <w:spacing w:val="-5"/>
          <w:lang w:eastAsia="zh-CN"/>
        </w:rPr>
        <w:t>览表有关服务，提交下述文件并声明全部说明是真实的和正确的。</w:t>
      </w:r>
    </w:p>
    <w:p w14:paraId="6EE465F5">
      <w:pPr>
        <w:pStyle w:val="8"/>
        <w:spacing w:before="14"/>
        <w:ind w:left="1004"/>
        <w:outlineLvl w:val="1"/>
        <w:rPr>
          <w:rFonts w:hint="eastAsia"/>
          <w:lang w:eastAsia="zh-CN"/>
        </w:rPr>
      </w:pPr>
      <w:bookmarkStart w:id="191" w:name="_Toc10298"/>
      <w:r>
        <w:rPr>
          <w:lang w:eastAsia="zh-CN"/>
        </w:rPr>
        <w:t>1.我方具有履行合同所必须的设备和专业技术能力。</w:t>
      </w:r>
      <w:bookmarkEnd w:id="191"/>
    </w:p>
    <w:p w14:paraId="4B28600A">
      <w:pPr>
        <w:pStyle w:val="8"/>
        <w:spacing w:before="8"/>
        <w:rPr>
          <w:rFonts w:hint="eastAsia"/>
          <w:sz w:val="19"/>
          <w:lang w:eastAsia="zh-CN"/>
        </w:rPr>
      </w:pPr>
    </w:p>
    <w:p w14:paraId="66F9392C">
      <w:pPr>
        <w:pStyle w:val="8"/>
        <w:ind w:left="1004"/>
        <w:rPr>
          <w:rFonts w:hint="eastAsia"/>
          <w:lang w:eastAsia="zh-CN"/>
        </w:rPr>
      </w:pPr>
      <w:r>
        <w:rPr>
          <w:lang w:eastAsia="zh-CN"/>
        </w:rPr>
        <w:t>2.我方在参加</w:t>
      </w:r>
      <w:r>
        <w:rPr>
          <w:rFonts w:hint="eastAsia"/>
          <w:lang w:eastAsia="zh-CN"/>
        </w:rPr>
        <w:t>投标</w:t>
      </w:r>
      <w:r>
        <w:rPr>
          <w:lang w:eastAsia="zh-CN"/>
        </w:rPr>
        <w:t>前三年内,在经营活动中没有重大违法记录。</w:t>
      </w:r>
    </w:p>
    <w:p w14:paraId="02132926">
      <w:pPr>
        <w:pStyle w:val="8"/>
        <w:spacing w:before="8"/>
        <w:rPr>
          <w:rFonts w:hint="eastAsia"/>
          <w:sz w:val="19"/>
          <w:lang w:eastAsia="zh-CN"/>
        </w:rPr>
      </w:pPr>
    </w:p>
    <w:p w14:paraId="341E5A51">
      <w:pPr>
        <w:pStyle w:val="8"/>
        <w:ind w:left="1004"/>
        <w:rPr>
          <w:rFonts w:hint="eastAsia"/>
          <w:lang w:eastAsia="zh-CN"/>
        </w:rPr>
      </w:pPr>
      <w:r>
        <w:rPr>
          <w:lang w:eastAsia="zh-CN"/>
        </w:rPr>
        <w:t>3.下述签字人在证书中证明本资格文件中的内容是真实的和正确的。</w:t>
      </w:r>
    </w:p>
    <w:p w14:paraId="0B7BA229">
      <w:pPr>
        <w:pStyle w:val="8"/>
        <w:rPr>
          <w:rFonts w:hint="eastAsia"/>
          <w:lang w:eastAsia="zh-CN"/>
        </w:rPr>
      </w:pPr>
    </w:p>
    <w:p w14:paraId="2108A303">
      <w:pPr>
        <w:pStyle w:val="8"/>
        <w:rPr>
          <w:rFonts w:hint="eastAsia"/>
          <w:lang w:eastAsia="zh-CN"/>
        </w:rPr>
      </w:pPr>
    </w:p>
    <w:p w14:paraId="636272B2">
      <w:pPr>
        <w:pStyle w:val="8"/>
        <w:rPr>
          <w:rFonts w:hint="eastAsia"/>
          <w:lang w:eastAsia="zh-CN"/>
        </w:rPr>
      </w:pPr>
    </w:p>
    <w:p w14:paraId="52D6F0E0">
      <w:pPr>
        <w:pStyle w:val="8"/>
        <w:rPr>
          <w:rFonts w:hint="eastAsia"/>
          <w:sz w:val="19"/>
          <w:lang w:eastAsia="zh-CN"/>
        </w:rPr>
      </w:pPr>
    </w:p>
    <w:p w14:paraId="1AE3B5E4">
      <w:pPr>
        <w:pStyle w:val="8"/>
        <w:spacing w:line="436" w:lineRule="auto"/>
        <w:ind w:left="524" w:right="6103"/>
        <w:rPr>
          <w:rFonts w:hint="eastAsia"/>
          <w:lang w:eastAsia="zh-CN"/>
        </w:rPr>
      </w:pPr>
      <w:r>
        <w:rPr>
          <w:lang w:eastAsia="zh-CN"/>
        </w:rPr>
        <w:t>法定代表人或委托代理签字或盖章： 投标人盖章：</w:t>
      </w:r>
    </w:p>
    <w:p w14:paraId="2CC5B09D">
      <w:pPr>
        <w:pStyle w:val="8"/>
        <w:spacing w:before="2"/>
        <w:ind w:left="524"/>
        <w:rPr>
          <w:rFonts w:hint="eastAsia"/>
          <w:lang w:eastAsia="zh-CN"/>
        </w:rPr>
      </w:pPr>
      <w:r>
        <w:rPr>
          <w:lang w:eastAsia="zh-CN"/>
        </w:rPr>
        <w:t>日期：</w:t>
      </w:r>
    </w:p>
    <w:p w14:paraId="14C314B9">
      <w:pPr>
        <w:rPr>
          <w:rFonts w:hint="eastAsia"/>
          <w:lang w:eastAsia="zh-CN"/>
        </w:rPr>
        <w:sectPr>
          <w:pgSz w:w="11910" w:h="16840"/>
          <w:pgMar w:top="1440" w:right="1080" w:bottom="1440" w:left="1080" w:header="0" w:footer="962" w:gutter="0"/>
          <w:cols w:space="720" w:num="1"/>
        </w:sectPr>
      </w:pPr>
    </w:p>
    <w:p w14:paraId="4656C3DC">
      <w:pPr>
        <w:pStyle w:val="7"/>
        <w:spacing w:before="66"/>
        <w:jc w:val="center"/>
        <w:rPr>
          <w:rFonts w:hint="eastAsia"/>
          <w:lang w:eastAsia="zh-CN"/>
        </w:rPr>
      </w:pPr>
      <w:bookmarkStart w:id="192" w:name="格式7-8投标保证金凭证"/>
      <w:bookmarkEnd w:id="192"/>
      <w:bookmarkStart w:id="193" w:name="_bookmark56"/>
      <w:bookmarkEnd w:id="193"/>
      <w:r>
        <w:rPr>
          <w:lang w:eastAsia="zh-CN"/>
        </w:rPr>
        <w:t>格式 7-8 投标保证金凭证</w:t>
      </w:r>
    </w:p>
    <w:p w14:paraId="09A4A6F7">
      <w:pPr>
        <w:pStyle w:val="8"/>
        <w:rPr>
          <w:rFonts w:hint="eastAsia"/>
          <w:b/>
          <w:lang w:eastAsia="zh-CN"/>
        </w:rPr>
      </w:pPr>
    </w:p>
    <w:p w14:paraId="0CA6159E">
      <w:pPr>
        <w:pStyle w:val="8"/>
        <w:spacing w:before="180"/>
        <w:rPr>
          <w:rFonts w:hint="eastAsia"/>
          <w:lang w:eastAsia="zh-CN"/>
        </w:rPr>
      </w:pPr>
      <w:bookmarkStart w:id="194" w:name="_bookmark57"/>
      <w:bookmarkEnd w:id="194"/>
      <w:bookmarkStart w:id="195" w:name="格式7-_9联合体协议（适用于联合体投标）"/>
      <w:bookmarkEnd w:id="195"/>
      <w:r>
        <w:rPr>
          <w:lang w:eastAsia="zh-CN"/>
        </w:rPr>
        <w:t>附：投标人盖章的保证金凭证</w:t>
      </w:r>
      <w:r>
        <w:rPr>
          <w:rFonts w:hint="eastAsia"/>
          <w:lang w:eastAsia="zh-CN"/>
        </w:rPr>
        <w:t>扫描件加盖投标人公章</w:t>
      </w:r>
      <w:r>
        <w:rPr>
          <w:lang w:eastAsia="zh-CN"/>
        </w:rPr>
        <w:t>或截图</w:t>
      </w:r>
      <w:r>
        <w:rPr>
          <w:rFonts w:hint="eastAsia"/>
          <w:lang w:eastAsia="zh-CN"/>
        </w:rPr>
        <w:t>或保函扫描件加盖投标人公章</w:t>
      </w:r>
    </w:p>
    <w:p w14:paraId="5A98179A">
      <w:pPr>
        <w:pStyle w:val="8"/>
        <w:spacing w:before="8"/>
        <w:rPr>
          <w:rFonts w:hint="eastAsia"/>
          <w:sz w:val="19"/>
          <w:lang w:eastAsia="zh-CN"/>
        </w:rPr>
      </w:pPr>
    </w:p>
    <w:p w14:paraId="17CE5A8C">
      <w:pPr>
        <w:pStyle w:val="8"/>
        <w:spacing w:line="439" w:lineRule="auto"/>
        <w:ind w:left="524" w:right="583"/>
        <w:rPr>
          <w:rFonts w:hint="eastAsia"/>
          <w:lang w:eastAsia="zh-CN"/>
        </w:rPr>
      </w:pPr>
      <w:r>
        <w:rPr>
          <w:lang w:eastAsia="zh-CN"/>
        </w:rPr>
        <w:t>未提供保证金凭证、或提供的保证金凭证及资料不满足上述要求的，视为未缴纳保证金</w:t>
      </w:r>
      <w:r>
        <w:rPr>
          <w:rFonts w:hint="eastAsia"/>
          <w:lang w:eastAsia="zh-CN"/>
        </w:rPr>
        <w:t>；提交电子保函的放电子保函扫描件加盖投标人公章；提交纸质保函的放纸质保函扫描件加盖投标人公章</w:t>
      </w:r>
      <w:r>
        <w:rPr>
          <w:lang w:eastAsia="zh-CN"/>
        </w:rPr>
        <w:t>。</w:t>
      </w:r>
      <w:r>
        <w:rPr>
          <w:rFonts w:hint="eastAsia"/>
          <w:lang w:eastAsia="zh-CN"/>
        </w:rPr>
        <w:t>中标后将纸质保函原件交招标代理机构留存。</w:t>
      </w:r>
    </w:p>
    <w:p w14:paraId="62745A0A">
      <w:pPr>
        <w:rPr>
          <w:rFonts w:hint="eastAsia"/>
          <w:lang w:eastAsia="zh-CN"/>
        </w:rPr>
      </w:pPr>
      <w:r>
        <w:rPr>
          <w:lang w:eastAsia="zh-CN"/>
        </w:rPr>
        <w:br w:type="page"/>
      </w:r>
    </w:p>
    <w:p w14:paraId="24AF1FC8">
      <w:pPr>
        <w:pStyle w:val="7"/>
        <w:spacing w:before="55"/>
        <w:ind w:left="196"/>
        <w:jc w:val="center"/>
        <w:rPr>
          <w:rFonts w:hint="eastAsia"/>
          <w:lang w:eastAsia="zh-CN"/>
        </w:rPr>
      </w:pPr>
      <w:bookmarkStart w:id="196" w:name="格式7-10其他资格证明文件"/>
      <w:bookmarkEnd w:id="196"/>
      <w:bookmarkStart w:id="197" w:name="_bookmark58"/>
      <w:bookmarkEnd w:id="197"/>
      <w:r>
        <w:rPr>
          <w:lang w:eastAsia="zh-CN"/>
        </w:rPr>
        <w:t>格式 7-</w:t>
      </w:r>
      <w:r>
        <w:rPr>
          <w:rFonts w:hint="eastAsia"/>
          <w:lang w:eastAsia="zh-CN"/>
        </w:rPr>
        <w:t>9</w:t>
      </w:r>
      <w:r>
        <w:rPr>
          <w:lang w:eastAsia="zh-CN"/>
        </w:rPr>
        <w:t>其他资格证明文件</w:t>
      </w:r>
    </w:p>
    <w:p w14:paraId="6D62EF94">
      <w:pPr>
        <w:jc w:val="center"/>
        <w:rPr>
          <w:rFonts w:hint="eastAsia"/>
          <w:lang w:eastAsia="zh-CN"/>
        </w:rPr>
      </w:pPr>
    </w:p>
    <w:p w14:paraId="078DFC40">
      <w:pPr>
        <w:rPr>
          <w:rFonts w:hint="eastAsia"/>
          <w:lang w:eastAsia="zh-CN"/>
        </w:rPr>
      </w:pPr>
      <w:r>
        <w:rPr>
          <w:lang w:eastAsia="zh-CN"/>
        </w:rPr>
        <w:br w:type="page"/>
      </w:r>
    </w:p>
    <w:p w14:paraId="6D12E3E9">
      <w:pPr>
        <w:rPr>
          <w:rFonts w:hint="eastAsia"/>
          <w:b/>
          <w:sz w:val="24"/>
          <w:lang w:eastAsia="zh-CN"/>
        </w:rPr>
      </w:pPr>
      <w:bookmarkStart w:id="198" w:name="_bookmark59"/>
      <w:bookmarkEnd w:id="198"/>
      <w:bookmarkStart w:id="199" w:name="9.技术文件"/>
      <w:bookmarkEnd w:id="199"/>
      <w:bookmarkStart w:id="200" w:name="10、其他资料"/>
      <w:bookmarkEnd w:id="200"/>
      <w:bookmarkStart w:id="201" w:name="_bookmark64"/>
      <w:bookmarkEnd w:id="201"/>
      <w:bookmarkStart w:id="202" w:name="8.为落实政府采购政策投标人须提供的证明材料"/>
      <w:bookmarkEnd w:id="202"/>
      <w:bookmarkStart w:id="203" w:name="_Toc13506"/>
    </w:p>
    <w:p w14:paraId="08BE587C">
      <w:pPr>
        <w:spacing w:before="47"/>
        <w:ind w:left="196"/>
        <w:jc w:val="center"/>
        <w:outlineLvl w:val="1"/>
        <w:rPr>
          <w:rFonts w:hint="eastAsia"/>
          <w:b/>
          <w:sz w:val="24"/>
          <w:lang w:eastAsia="zh-CN"/>
        </w:rPr>
      </w:pPr>
      <w:r>
        <w:rPr>
          <w:rFonts w:hint="eastAsia"/>
          <w:b/>
          <w:sz w:val="24"/>
          <w:lang w:eastAsia="zh-CN"/>
        </w:rPr>
        <w:t>8</w:t>
      </w:r>
      <w:r>
        <w:rPr>
          <w:b/>
          <w:sz w:val="24"/>
          <w:lang w:eastAsia="zh-CN"/>
        </w:rPr>
        <w:t>.技术文件</w:t>
      </w:r>
      <w:bookmarkEnd w:id="203"/>
    </w:p>
    <w:p w14:paraId="095543D3">
      <w:pPr>
        <w:pStyle w:val="8"/>
        <w:spacing w:before="4"/>
        <w:rPr>
          <w:rFonts w:hint="eastAsia"/>
          <w:b/>
          <w:sz w:val="19"/>
          <w:lang w:eastAsia="zh-CN"/>
        </w:rPr>
      </w:pPr>
    </w:p>
    <w:p w14:paraId="2717A0AA">
      <w:pPr>
        <w:pStyle w:val="8"/>
        <w:spacing w:before="67"/>
        <w:ind w:left="524"/>
        <w:rPr>
          <w:rFonts w:hint="eastAsia"/>
          <w:lang w:eastAsia="zh-CN"/>
        </w:rPr>
      </w:pPr>
      <w:r>
        <w:rPr>
          <w:lang w:eastAsia="zh-CN"/>
        </w:rPr>
        <w:t>内容包括：</w:t>
      </w:r>
    </w:p>
    <w:p w14:paraId="507B5746">
      <w:pPr>
        <w:pStyle w:val="8"/>
        <w:spacing w:before="10"/>
        <w:rPr>
          <w:rFonts w:hint="eastAsia"/>
          <w:sz w:val="19"/>
          <w:lang w:eastAsia="zh-CN"/>
        </w:rPr>
      </w:pPr>
    </w:p>
    <w:p w14:paraId="26CFF724">
      <w:pPr>
        <w:pStyle w:val="8"/>
        <w:ind w:left="524"/>
        <w:rPr>
          <w:rFonts w:hint="eastAsia"/>
          <w:lang w:eastAsia="zh-CN"/>
        </w:rPr>
      </w:pPr>
      <w:r>
        <w:rPr>
          <w:lang w:eastAsia="zh-CN"/>
        </w:rPr>
        <w:t>1、</w:t>
      </w:r>
      <w:r>
        <w:rPr>
          <w:rFonts w:hint="eastAsia"/>
          <w:lang w:eastAsia="zh-CN"/>
        </w:rPr>
        <w:t>技术实施方案</w:t>
      </w:r>
    </w:p>
    <w:p w14:paraId="1348EA56">
      <w:pPr>
        <w:pStyle w:val="8"/>
        <w:spacing w:before="8"/>
        <w:rPr>
          <w:rFonts w:hint="eastAsia"/>
          <w:sz w:val="19"/>
          <w:lang w:eastAsia="zh-CN"/>
        </w:rPr>
      </w:pPr>
    </w:p>
    <w:p w14:paraId="6F5298F1">
      <w:pPr>
        <w:pStyle w:val="8"/>
        <w:spacing w:before="1"/>
        <w:ind w:left="524"/>
        <w:rPr>
          <w:rFonts w:hint="eastAsia"/>
          <w:lang w:eastAsia="zh-CN"/>
        </w:rPr>
      </w:pPr>
      <w:r>
        <w:rPr>
          <w:lang w:eastAsia="zh-CN"/>
        </w:rPr>
        <w:t>2、投标人认为需要说明的其他内容（投标人视需要自行编写）</w:t>
      </w:r>
    </w:p>
    <w:p w14:paraId="48860487">
      <w:pPr>
        <w:rPr>
          <w:rFonts w:hint="eastAsia"/>
          <w:lang w:eastAsia="zh-CN"/>
        </w:rPr>
        <w:sectPr>
          <w:footerReference r:id="rId8" w:type="default"/>
          <w:pgSz w:w="11910" w:h="16840"/>
          <w:pgMar w:top="1440" w:right="1080" w:bottom="1440" w:left="1080" w:header="0" w:footer="962" w:gutter="0"/>
          <w:cols w:space="720" w:num="1"/>
        </w:sectPr>
      </w:pPr>
    </w:p>
    <w:p w14:paraId="0C898B18">
      <w:pPr>
        <w:pStyle w:val="7"/>
        <w:spacing w:before="55"/>
        <w:ind w:left="198"/>
        <w:jc w:val="center"/>
        <w:rPr>
          <w:rFonts w:hint="eastAsia"/>
          <w:lang w:eastAsia="zh-CN"/>
        </w:rPr>
      </w:pPr>
      <w:bookmarkStart w:id="204" w:name="_bookmark65"/>
      <w:bookmarkEnd w:id="204"/>
      <w:bookmarkStart w:id="205" w:name="_Toc15070"/>
      <w:r>
        <w:rPr>
          <w:rFonts w:hint="eastAsia"/>
          <w:lang w:eastAsia="zh-CN"/>
        </w:rPr>
        <w:t>9</w:t>
      </w:r>
      <w:r>
        <w:rPr>
          <w:lang w:eastAsia="zh-CN"/>
        </w:rPr>
        <w:t>、其他资料</w:t>
      </w:r>
      <w:bookmarkEnd w:id="205"/>
    </w:p>
    <w:p w14:paraId="13A9C7AD">
      <w:pPr>
        <w:pStyle w:val="8"/>
        <w:rPr>
          <w:rFonts w:hint="eastAsia"/>
          <w:b/>
          <w:lang w:eastAsia="zh-CN"/>
        </w:rPr>
      </w:pPr>
    </w:p>
    <w:p w14:paraId="735DF4E9">
      <w:pPr>
        <w:ind w:left="196"/>
        <w:jc w:val="center"/>
        <w:outlineLvl w:val="0"/>
        <w:rPr>
          <w:rFonts w:hint="eastAsia"/>
          <w:b/>
          <w:sz w:val="24"/>
          <w:lang w:eastAsia="zh-CN"/>
        </w:rPr>
      </w:pPr>
      <w:bookmarkStart w:id="206" w:name="_bookmark66"/>
      <w:bookmarkEnd w:id="206"/>
      <w:bookmarkStart w:id="207" w:name="格式10-1投标企业情况一览表"/>
      <w:bookmarkEnd w:id="207"/>
      <w:bookmarkStart w:id="208" w:name="_Toc2593"/>
      <w:r>
        <w:rPr>
          <w:b/>
          <w:sz w:val="24"/>
          <w:lang w:eastAsia="zh-CN"/>
        </w:rPr>
        <w:t xml:space="preserve">格式 </w:t>
      </w:r>
      <w:r>
        <w:rPr>
          <w:rFonts w:hint="eastAsia"/>
          <w:b/>
          <w:sz w:val="24"/>
          <w:lang w:eastAsia="zh-CN"/>
        </w:rPr>
        <w:t>9</w:t>
      </w:r>
      <w:r>
        <w:rPr>
          <w:b/>
          <w:sz w:val="24"/>
          <w:lang w:eastAsia="zh-CN"/>
        </w:rPr>
        <w:t>-1 投标企业情况一览表</w:t>
      </w:r>
      <w:bookmarkEnd w:id="208"/>
    </w:p>
    <w:p w14:paraId="76899044">
      <w:pPr>
        <w:pStyle w:val="8"/>
        <w:rPr>
          <w:rFonts w:hint="eastAsia"/>
          <w:b/>
          <w:sz w:val="20"/>
          <w:lang w:eastAsia="zh-CN"/>
        </w:rPr>
      </w:pPr>
    </w:p>
    <w:tbl>
      <w:tblPr>
        <w:tblStyle w:val="22"/>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1035"/>
        <w:gridCol w:w="1696"/>
        <w:gridCol w:w="1198"/>
        <w:gridCol w:w="1356"/>
        <w:gridCol w:w="876"/>
        <w:gridCol w:w="1324"/>
      </w:tblGrid>
      <w:tr w14:paraId="228B3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235" w:type="dxa"/>
          </w:tcPr>
          <w:p w14:paraId="16708A33">
            <w:pPr>
              <w:pStyle w:val="39"/>
              <w:spacing w:before="127"/>
              <w:ind w:left="377" w:right="367"/>
              <w:jc w:val="center"/>
              <w:rPr>
                <w:rFonts w:hint="eastAsia"/>
                <w:sz w:val="24"/>
              </w:rPr>
            </w:pPr>
            <w:r>
              <w:rPr>
                <w:sz w:val="24"/>
              </w:rPr>
              <w:t>投标人名称</w:t>
            </w:r>
          </w:p>
        </w:tc>
        <w:tc>
          <w:tcPr>
            <w:tcW w:w="7485" w:type="dxa"/>
            <w:gridSpan w:val="6"/>
          </w:tcPr>
          <w:p w14:paraId="767285FD">
            <w:pPr>
              <w:pStyle w:val="39"/>
              <w:rPr>
                <w:rFonts w:hint="eastAsia" w:ascii="Times New Roman"/>
              </w:rPr>
            </w:pPr>
          </w:p>
        </w:tc>
      </w:tr>
      <w:tr w14:paraId="68E08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235" w:type="dxa"/>
          </w:tcPr>
          <w:p w14:paraId="518A4350">
            <w:pPr>
              <w:pStyle w:val="39"/>
              <w:spacing w:before="129"/>
              <w:ind w:left="377" w:right="367"/>
              <w:jc w:val="center"/>
              <w:rPr>
                <w:rFonts w:hint="eastAsia"/>
                <w:sz w:val="24"/>
              </w:rPr>
            </w:pPr>
            <w:r>
              <w:rPr>
                <w:sz w:val="24"/>
              </w:rPr>
              <w:t>注册地址</w:t>
            </w:r>
          </w:p>
        </w:tc>
        <w:tc>
          <w:tcPr>
            <w:tcW w:w="3929" w:type="dxa"/>
            <w:gridSpan w:val="3"/>
          </w:tcPr>
          <w:p w14:paraId="404545CE">
            <w:pPr>
              <w:pStyle w:val="39"/>
              <w:rPr>
                <w:rFonts w:hint="eastAsia" w:ascii="Times New Roman"/>
              </w:rPr>
            </w:pPr>
          </w:p>
        </w:tc>
        <w:tc>
          <w:tcPr>
            <w:tcW w:w="1356" w:type="dxa"/>
          </w:tcPr>
          <w:p w14:paraId="3C93BF56">
            <w:pPr>
              <w:pStyle w:val="39"/>
              <w:spacing w:before="129"/>
              <w:ind w:right="186"/>
              <w:jc w:val="right"/>
              <w:rPr>
                <w:rFonts w:hint="eastAsia"/>
                <w:sz w:val="24"/>
              </w:rPr>
            </w:pPr>
            <w:r>
              <w:rPr>
                <w:sz w:val="24"/>
              </w:rPr>
              <w:t>邮政编码</w:t>
            </w:r>
          </w:p>
        </w:tc>
        <w:tc>
          <w:tcPr>
            <w:tcW w:w="2200" w:type="dxa"/>
            <w:gridSpan w:val="2"/>
          </w:tcPr>
          <w:p w14:paraId="0B20155F">
            <w:pPr>
              <w:pStyle w:val="39"/>
              <w:rPr>
                <w:rFonts w:hint="eastAsia" w:ascii="Times New Roman"/>
              </w:rPr>
            </w:pPr>
          </w:p>
        </w:tc>
      </w:tr>
      <w:tr w14:paraId="0D029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35" w:type="dxa"/>
            <w:vMerge w:val="restart"/>
          </w:tcPr>
          <w:p w14:paraId="09131800">
            <w:pPr>
              <w:pStyle w:val="39"/>
              <w:spacing w:before="6"/>
              <w:rPr>
                <w:rFonts w:hint="eastAsia"/>
                <w:b/>
                <w:sz w:val="32"/>
              </w:rPr>
            </w:pPr>
          </w:p>
          <w:p w14:paraId="3C8C7704">
            <w:pPr>
              <w:pStyle w:val="39"/>
              <w:ind w:left="637"/>
              <w:rPr>
                <w:rFonts w:hint="eastAsia"/>
                <w:sz w:val="24"/>
              </w:rPr>
            </w:pPr>
            <w:r>
              <w:rPr>
                <w:sz w:val="24"/>
              </w:rPr>
              <w:t>联系方式</w:t>
            </w:r>
          </w:p>
        </w:tc>
        <w:tc>
          <w:tcPr>
            <w:tcW w:w="1035" w:type="dxa"/>
          </w:tcPr>
          <w:p w14:paraId="73BEA513">
            <w:pPr>
              <w:pStyle w:val="39"/>
              <w:spacing w:before="128"/>
              <w:ind w:left="136" w:right="128"/>
              <w:jc w:val="center"/>
              <w:rPr>
                <w:rFonts w:hint="eastAsia"/>
                <w:sz w:val="24"/>
              </w:rPr>
            </w:pPr>
            <w:r>
              <w:rPr>
                <w:sz w:val="24"/>
              </w:rPr>
              <w:t>联系人</w:t>
            </w:r>
          </w:p>
        </w:tc>
        <w:tc>
          <w:tcPr>
            <w:tcW w:w="2894" w:type="dxa"/>
            <w:gridSpan w:val="2"/>
          </w:tcPr>
          <w:p w14:paraId="73CFB4D2">
            <w:pPr>
              <w:pStyle w:val="39"/>
              <w:rPr>
                <w:rFonts w:hint="eastAsia" w:ascii="Times New Roman"/>
              </w:rPr>
            </w:pPr>
          </w:p>
        </w:tc>
        <w:tc>
          <w:tcPr>
            <w:tcW w:w="1356" w:type="dxa"/>
          </w:tcPr>
          <w:p w14:paraId="0258E44A">
            <w:pPr>
              <w:pStyle w:val="39"/>
              <w:spacing w:before="128"/>
              <w:ind w:right="186"/>
              <w:jc w:val="right"/>
              <w:rPr>
                <w:rFonts w:hint="eastAsia"/>
                <w:sz w:val="24"/>
              </w:rPr>
            </w:pPr>
            <w:r>
              <w:rPr>
                <w:sz w:val="24"/>
              </w:rPr>
              <w:t>联系电话</w:t>
            </w:r>
          </w:p>
        </w:tc>
        <w:tc>
          <w:tcPr>
            <w:tcW w:w="2200" w:type="dxa"/>
            <w:gridSpan w:val="2"/>
          </w:tcPr>
          <w:p w14:paraId="273A9212">
            <w:pPr>
              <w:pStyle w:val="39"/>
              <w:rPr>
                <w:rFonts w:hint="eastAsia" w:ascii="Times New Roman"/>
              </w:rPr>
            </w:pPr>
          </w:p>
        </w:tc>
      </w:tr>
      <w:tr w14:paraId="4F350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35" w:type="dxa"/>
            <w:vMerge w:val="continue"/>
            <w:tcBorders>
              <w:top w:val="nil"/>
            </w:tcBorders>
          </w:tcPr>
          <w:p w14:paraId="374D100B">
            <w:pPr>
              <w:rPr>
                <w:rFonts w:hint="eastAsia"/>
                <w:sz w:val="2"/>
                <w:szCs w:val="2"/>
              </w:rPr>
            </w:pPr>
          </w:p>
        </w:tc>
        <w:tc>
          <w:tcPr>
            <w:tcW w:w="1035" w:type="dxa"/>
          </w:tcPr>
          <w:p w14:paraId="226D4A71">
            <w:pPr>
              <w:pStyle w:val="39"/>
              <w:spacing w:before="127"/>
              <w:ind w:left="136" w:right="128"/>
              <w:jc w:val="center"/>
              <w:rPr>
                <w:rFonts w:hint="eastAsia"/>
                <w:sz w:val="24"/>
              </w:rPr>
            </w:pPr>
            <w:r>
              <w:rPr>
                <w:sz w:val="24"/>
              </w:rPr>
              <w:t>传真</w:t>
            </w:r>
          </w:p>
        </w:tc>
        <w:tc>
          <w:tcPr>
            <w:tcW w:w="2894" w:type="dxa"/>
            <w:gridSpan w:val="2"/>
          </w:tcPr>
          <w:p w14:paraId="55CD9FB9">
            <w:pPr>
              <w:pStyle w:val="39"/>
              <w:rPr>
                <w:rFonts w:hint="eastAsia" w:ascii="Times New Roman"/>
              </w:rPr>
            </w:pPr>
          </w:p>
        </w:tc>
        <w:tc>
          <w:tcPr>
            <w:tcW w:w="1356" w:type="dxa"/>
          </w:tcPr>
          <w:p w14:paraId="4C7571C5">
            <w:pPr>
              <w:pStyle w:val="39"/>
              <w:spacing w:before="127"/>
              <w:ind w:right="126"/>
              <w:jc w:val="right"/>
              <w:rPr>
                <w:rFonts w:hint="eastAsia"/>
                <w:sz w:val="24"/>
              </w:rPr>
            </w:pPr>
            <w:r>
              <w:rPr>
                <w:sz w:val="24"/>
              </w:rPr>
              <w:t>网址/邮箱</w:t>
            </w:r>
          </w:p>
        </w:tc>
        <w:tc>
          <w:tcPr>
            <w:tcW w:w="2200" w:type="dxa"/>
            <w:gridSpan w:val="2"/>
          </w:tcPr>
          <w:p w14:paraId="509A6C2E">
            <w:pPr>
              <w:pStyle w:val="39"/>
              <w:rPr>
                <w:rFonts w:hint="eastAsia" w:ascii="Times New Roman"/>
              </w:rPr>
            </w:pPr>
          </w:p>
        </w:tc>
      </w:tr>
      <w:tr w14:paraId="7D222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235" w:type="dxa"/>
          </w:tcPr>
          <w:p w14:paraId="3FE134DC">
            <w:pPr>
              <w:pStyle w:val="39"/>
              <w:spacing w:before="128"/>
              <w:ind w:left="377" w:right="367"/>
              <w:jc w:val="center"/>
              <w:rPr>
                <w:rFonts w:hint="eastAsia"/>
                <w:sz w:val="24"/>
              </w:rPr>
            </w:pPr>
            <w:r>
              <w:rPr>
                <w:sz w:val="24"/>
              </w:rPr>
              <w:t>企业性质</w:t>
            </w:r>
          </w:p>
        </w:tc>
        <w:tc>
          <w:tcPr>
            <w:tcW w:w="7485" w:type="dxa"/>
            <w:gridSpan w:val="6"/>
          </w:tcPr>
          <w:p w14:paraId="3DB5A906">
            <w:pPr>
              <w:pStyle w:val="39"/>
              <w:rPr>
                <w:rFonts w:hint="eastAsia" w:ascii="Times New Roman"/>
              </w:rPr>
            </w:pPr>
          </w:p>
        </w:tc>
      </w:tr>
      <w:tr w14:paraId="6B86B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35" w:type="dxa"/>
          </w:tcPr>
          <w:p w14:paraId="216BE892">
            <w:pPr>
              <w:pStyle w:val="39"/>
              <w:spacing w:before="127"/>
              <w:ind w:left="377" w:right="367"/>
              <w:jc w:val="center"/>
              <w:rPr>
                <w:rFonts w:hint="eastAsia"/>
                <w:sz w:val="24"/>
              </w:rPr>
            </w:pPr>
            <w:r>
              <w:rPr>
                <w:sz w:val="24"/>
              </w:rPr>
              <w:t>法定代表人</w:t>
            </w:r>
          </w:p>
        </w:tc>
        <w:tc>
          <w:tcPr>
            <w:tcW w:w="1035" w:type="dxa"/>
          </w:tcPr>
          <w:p w14:paraId="43C5DE03">
            <w:pPr>
              <w:pStyle w:val="39"/>
              <w:spacing w:before="127"/>
              <w:ind w:left="136" w:right="128"/>
              <w:jc w:val="center"/>
              <w:rPr>
                <w:rFonts w:hint="eastAsia"/>
                <w:sz w:val="24"/>
              </w:rPr>
            </w:pPr>
            <w:r>
              <w:rPr>
                <w:sz w:val="24"/>
              </w:rPr>
              <w:t>姓名</w:t>
            </w:r>
          </w:p>
        </w:tc>
        <w:tc>
          <w:tcPr>
            <w:tcW w:w="1696" w:type="dxa"/>
          </w:tcPr>
          <w:p w14:paraId="18E3030B">
            <w:pPr>
              <w:pStyle w:val="39"/>
              <w:rPr>
                <w:rFonts w:hint="eastAsia" w:ascii="Times New Roman"/>
              </w:rPr>
            </w:pPr>
          </w:p>
        </w:tc>
        <w:tc>
          <w:tcPr>
            <w:tcW w:w="1198" w:type="dxa"/>
          </w:tcPr>
          <w:p w14:paraId="57F86A54">
            <w:pPr>
              <w:pStyle w:val="39"/>
              <w:spacing w:before="127"/>
              <w:ind w:left="118"/>
              <w:rPr>
                <w:rFonts w:hint="eastAsia"/>
                <w:sz w:val="24"/>
              </w:rPr>
            </w:pPr>
            <w:r>
              <w:rPr>
                <w:sz w:val="24"/>
              </w:rPr>
              <w:t>技术职称</w:t>
            </w:r>
          </w:p>
        </w:tc>
        <w:tc>
          <w:tcPr>
            <w:tcW w:w="1356" w:type="dxa"/>
          </w:tcPr>
          <w:p w14:paraId="7013EE3B">
            <w:pPr>
              <w:pStyle w:val="39"/>
              <w:rPr>
                <w:rFonts w:hint="eastAsia" w:ascii="Times New Roman"/>
              </w:rPr>
            </w:pPr>
          </w:p>
        </w:tc>
        <w:tc>
          <w:tcPr>
            <w:tcW w:w="876" w:type="dxa"/>
          </w:tcPr>
          <w:p w14:paraId="47A745D8">
            <w:pPr>
              <w:pStyle w:val="39"/>
              <w:spacing w:before="127"/>
              <w:ind w:left="197"/>
              <w:rPr>
                <w:rFonts w:hint="eastAsia"/>
                <w:sz w:val="24"/>
              </w:rPr>
            </w:pPr>
            <w:r>
              <w:rPr>
                <w:sz w:val="24"/>
              </w:rPr>
              <w:t>电话</w:t>
            </w:r>
          </w:p>
        </w:tc>
        <w:tc>
          <w:tcPr>
            <w:tcW w:w="1324" w:type="dxa"/>
          </w:tcPr>
          <w:p w14:paraId="772F4569">
            <w:pPr>
              <w:pStyle w:val="39"/>
              <w:rPr>
                <w:rFonts w:hint="eastAsia" w:ascii="Times New Roman"/>
              </w:rPr>
            </w:pPr>
          </w:p>
        </w:tc>
      </w:tr>
      <w:tr w14:paraId="74EF9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35" w:type="dxa"/>
          </w:tcPr>
          <w:p w14:paraId="29B7ECBD">
            <w:pPr>
              <w:pStyle w:val="39"/>
              <w:spacing w:before="129"/>
              <w:ind w:left="377" w:right="367"/>
              <w:jc w:val="center"/>
              <w:rPr>
                <w:rFonts w:hint="eastAsia"/>
                <w:sz w:val="24"/>
              </w:rPr>
            </w:pPr>
            <w:r>
              <w:rPr>
                <w:sz w:val="24"/>
              </w:rPr>
              <w:t>技术负责人</w:t>
            </w:r>
          </w:p>
        </w:tc>
        <w:tc>
          <w:tcPr>
            <w:tcW w:w="1035" w:type="dxa"/>
          </w:tcPr>
          <w:p w14:paraId="1001D76B">
            <w:pPr>
              <w:pStyle w:val="39"/>
              <w:spacing w:before="129"/>
              <w:ind w:left="136" w:right="128"/>
              <w:jc w:val="center"/>
              <w:rPr>
                <w:rFonts w:hint="eastAsia"/>
                <w:sz w:val="24"/>
              </w:rPr>
            </w:pPr>
            <w:r>
              <w:rPr>
                <w:sz w:val="24"/>
              </w:rPr>
              <w:t>姓名</w:t>
            </w:r>
          </w:p>
        </w:tc>
        <w:tc>
          <w:tcPr>
            <w:tcW w:w="1696" w:type="dxa"/>
          </w:tcPr>
          <w:p w14:paraId="31B1E5A9">
            <w:pPr>
              <w:pStyle w:val="39"/>
              <w:rPr>
                <w:rFonts w:hint="eastAsia" w:ascii="Times New Roman"/>
              </w:rPr>
            </w:pPr>
          </w:p>
        </w:tc>
        <w:tc>
          <w:tcPr>
            <w:tcW w:w="1198" w:type="dxa"/>
          </w:tcPr>
          <w:p w14:paraId="10C44A4E">
            <w:pPr>
              <w:pStyle w:val="39"/>
              <w:spacing w:before="129"/>
              <w:ind w:left="118"/>
              <w:rPr>
                <w:rFonts w:hint="eastAsia"/>
                <w:sz w:val="24"/>
              </w:rPr>
            </w:pPr>
            <w:r>
              <w:rPr>
                <w:sz w:val="24"/>
              </w:rPr>
              <w:t>技术职称</w:t>
            </w:r>
          </w:p>
        </w:tc>
        <w:tc>
          <w:tcPr>
            <w:tcW w:w="1356" w:type="dxa"/>
          </w:tcPr>
          <w:p w14:paraId="556357DE">
            <w:pPr>
              <w:pStyle w:val="39"/>
              <w:rPr>
                <w:rFonts w:hint="eastAsia" w:ascii="Times New Roman"/>
              </w:rPr>
            </w:pPr>
          </w:p>
        </w:tc>
        <w:tc>
          <w:tcPr>
            <w:tcW w:w="876" w:type="dxa"/>
          </w:tcPr>
          <w:p w14:paraId="5F2ECF11">
            <w:pPr>
              <w:pStyle w:val="39"/>
              <w:spacing w:before="129"/>
              <w:ind w:left="197"/>
              <w:rPr>
                <w:rFonts w:hint="eastAsia"/>
                <w:sz w:val="24"/>
              </w:rPr>
            </w:pPr>
            <w:r>
              <w:rPr>
                <w:sz w:val="24"/>
              </w:rPr>
              <w:t>电话</w:t>
            </w:r>
          </w:p>
        </w:tc>
        <w:tc>
          <w:tcPr>
            <w:tcW w:w="1324" w:type="dxa"/>
          </w:tcPr>
          <w:p w14:paraId="21CA9CD7">
            <w:pPr>
              <w:pStyle w:val="39"/>
              <w:rPr>
                <w:rFonts w:hint="eastAsia" w:ascii="Times New Roman"/>
              </w:rPr>
            </w:pPr>
          </w:p>
        </w:tc>
      </w:tr>
      <w:tr w14:paraId="5F61E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235" w:type="dxa"/>
          </w:tcPr>
          <w:p w14:paraId="26E1BD71">
            <w:pPr>
              <w:pStyle w:val="39"/>
              <w:spacing w:before="128"/>
              <w:ind w:left="377" w:right="367"/>
              <w:jc w:val="center"/>
              <w:rPr>
                <w:rFonts w:hint="eastAsia"/>
                <w:sz w:val="24"/>
              </w:rPr>
            </w:pPr>
            <w:r>
              <w:rPr>
                <w:sz w:val="24"/>
              </w:rPr>
              <w:t>成立时间</w:t>
            </w:r>
          </w:p>
        </w:tc>
        <w:tc>
          <w:tcPr>
            <w:tcW w:w="2731" w:type="dxa"/>
            <w:gridSpan w:val="2"/>
          </w:tcPr>
          <w:p w14:paraId="3D2D5305">
            <w:pPr>
              <w:pStyle w:val="39"/>
              <w:rPr>
                <w:rFonts w:hint="eastAsia" w:ascii="Times New Roman"/>
              </w:rPr>
            </w:pPr>
          </w:p>
        </w:tc>
        <w:tc>
          <w:tcPr>
            <w:tcW w:w="4754" w:type="dxa"/>
            <w:gridSpan w:val="4"/>
          </w:tcPr>
          <w:p w14:paraId="0ED6BEC9">
            <w:pPr>
              <w:pStyle w:val="39"/>
              <w:spacing w:before="128"/>
              <w:ind w:left="106"/>
              <w:rPr>
                <w:rFonts w:hint="eastAsia"/>
                <w:sz w:val="24"/>
              </w:rPr>
            </w:pPr>
            <w:r>
              <w:rPr>
                <w:sz w:val="24"/>
              </w:rPr>
              <w:t>员工总人数：</w:t>
            </w:r>
          </w:p>
        </w:tc>
      </w:tr>
      <w:tr w14:paraId="2876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2235" w:type="dxa"/>
          </w:tcPr>
          <w:p w14:paraId="49258183">
            <w:pPr>
              <w:pStyle w:val="39"/>
              <w:spacing w:before="194"/>
              <w:ind w:left="377" w:right="367"/>
              <w:jc w:val="center"/>
              <w:rPr>
                <w:rFonts w:hint="eastAsia"/>
                <w:sz w:val="24"/>
              </w:rPr>
            </w:pPr>
            <w:r>
              <w:rPr>
                <w:sz w:val="24"/>
              </w:rPr>
              <w:t>营业执照号</w:t>
            </w:r>
          </w:p>
        </w:tc>
        <w:tc>
          <w:tcPr>
            <w:tcW w:w="7485" w:type="dxa"/>
            <w:gridSpan w:val="6"/>
          </w:tcPr>
          <w:p w14:paraId="3EE669D0">
            <w:pPr>
              <w:pStyle w:val="39"/>
              <w:rPr>
                <w:rFonts w:hint="eastAsia" w:ascii="Times New Roman"/>
              </w:rPr>
            </w:pPr>
          </w:p>
        </w:tc>
      </w:tr>
      <w:tr w14:paraId="3E79F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atLeast"/>
          <w:jc w:val="center"/>
        </w:trPr>
        <w:tc>
          <w:tcPr>
            <w:tcW w:w="2235" w:type="dxa"/>
          </w:tcPr>
          <w:p w14:paraId="57DB27E0">
            <w:pPr>
              <w:pStyle w:val="39"/>
              <w:spacing w:before="194"/>
              <w:ind w:left="377" w:right="367"/>
              <w:jc w:val="center"/>
              <w:rPr>
                <w:rFonts w:hint="eastAsia"/>
                <w:sz w:val="24"/>
              </w:rPr>
            </w:pPr>
            <w:r>
              <w:rPr>
                <w:sz w:val="24"/>
              </w:rPr>
              <w:t>注册资金</w:t>
            </w:r>
          </w:p>
        </w:tc>
        <w:tc>
          <w:tcPr>
            <w:tcW w:w="7485" w:type="dxa"/>
            <w:gridSpan w:val="6"/>
          </w:tcPr>
          <w:p w14:paraId="0D9594CB">
            <w:pPr>
              <w:pStyle w:val="39"/>
              <w:rPr>
                <w:rFonts w:hint="eastAsia" w:ascii="Times New Roman"/>
              </w:rPr>
            </w:pPr>
          </w:p>
        </w:tc>
      </w:tr>
      <w:tr w14:paraId="73541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2235" w:type="dxa"/>
          </w:tcPr>
          <w:p w14:paraId="66FD3D22">
            <w:pPr>
              <w:pStyle w:val="39"/>
              <w:spacing w:before="195"/>
              <w:ind w:left="377" w:right="367"/>
              <w:jc w:val="center"/>
              <w:rPr>
                <w:rFonts w:hint="eastAsia"/>
                <w:sz w:val="24"/>
              </w:rPr>
            </w:pPr>
            <w:r>
              <w:rPr>
                <w:sz w:val="24"/>
              </w:rPr>
              <w:t>开户银行</w:t>
            </w:r>
          </w:p>
        </w:tc>
        <w:tc>
          <w:tcPr>
            <w:tcW w:w="7485" w:type="dxa"/>
            <w:gridSpan w:val="6"/>
          </w:tcPr>
          <w:p w14:paraId="1C1F2ED3">
            <w:pPr>
              <w:pStyle w:val="39"/>
              <w:rPr>
                <w:rFonts w:hint="eastAsia" w:ascii="Times New Roman"/>
              </w:rPr>
            </w:pPr>
          </w:p>
        </w:tc>
      </w:tr>
      <w:tr w14:paraId="78E9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atLeast"/>
          <w:jc w:val="center"/>
        </w:trPr>
        <w:tc>
          <w:tcPr>
            <w:tcW w:w="2235" w:type="dxa"/>
          </w:tcPr>
          <w:p w14:paraId="7BF372B2">
            <w:pPr>
              <w:pStyle w:val="39"/>
              <w:spacing w:before="195"/>
              <w:ind w:left="377" w:right="367"/>
              <w:jc w:val="center"/>
              <w:rPr>
                <w:rFonts w:hint="eastAsia"/>
                <w:sz w:val="24"/>
              </w:rPr>
            </w:pPr>
            <w:r>
              <w:rPr>
                <w:sz w:val="24"/>
              </w:rPr>
              <w:t>银行账号</w:t>
            </w:r>
          </w:p>
        </w:tc>
        <w:tc>
          <w:tcPr>
            <w:tcW w:w="7485" w:type="dxa"/>
            <w:gridSpan w:val="6"/>
          </w:tcPr>
          <w:p w14:paraId="458420C2">
            <w:pPr>
              <w:pStyle w:val="39"/>
              <w:rPr>
                <w:rFonts w:hint="eastAsia" w:ascii="Times New Roman"/>
              </w:rPr>
            </w:pPr>
          </w:p>
        </w:tc>
      </w:tr>
      <w:tr w14:paraId="0A40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2" w:hRule="atLeast"/>
          <w:jc w:val="center"/>
        </w:trPr>
        <w:tc>
          <w:tcPr>
            <w:tcW w:w="2235" w:type="dxa"/>
          </w:tcPr>
          <w:p w14:paraId="315FE09E">
            <w:pPr>
              <w:pStyle w:val="39"/>
              <w:rPr>
                <w:rFonts w:hint="eastAsia"/>
                <w:b/>
                <w:sz w:val="24"/>
              </w:rPr>
            </w:pPr>
          </w:p>
          <w:p w14:paraId="4638E2BE">
            <w:pPr>
              <w:pStyle w:val="39"/>
              <w:rPr>
                <w:rFonts w:hint="eastAsia"/>
                <w:b/>
                <w:sz w:val="24"/>
              </w:rPr>
            </w:pPr>
          </w:p>
          <w:p w14:paraId="0F5F6898">
            <w:pPr>
              <w:pStyle w:val="39"/>
              <w:spacing w:before="1"/>
              <w:rPr>
                <w:rFonts w:hint="eastAsia"/>
                <w:b/>
                <w:sz w:val="32"/>
              </w:rPr>
            </w:pPr>
          </w:p>
          <w:p w14:paraId="5A3C5354">
            <w:pPr>
              <w:pStyle w:val="39"/>
              <w:ind w:left="377" w:right="367"/>
              <w:jc w:val="center"/>
              <w:rPr>
                <w:rFonts w:hint="eastAsia"/>
                <w:sz w:val="24"/>
              </w:rPr>
            </w:pPr>
            <w:r>
              <w:rPr>
                <w:sz w:val="24"/>
              </w:rPr>
              <w:t>经营范围备注</w:t>
            </w:r>
          </w:p>
        </w:tc>
        <w:tc>
          <w:tcPr>
            <w:tcW w:w="7485" w:type="dxa"/>
            <w:gridSpan w:val="6"/>
          </w:tcPr>
          <w:p w14:paraId="57559BA0">
            <w:pPr>
              <w:pStyle w:val="39"/>
              <w:rPr>
                <w:rFonts w:hint="eastAsia" w:ascii="Times New Roman"/>
              </w:rPr>
            </w:pPr>
          </w:p>
        </w:tc>
      </w:tr>
    </w:tbl>
    <w:p w14:paraId="5A592617">
      <w:pPr>
        <w:pStyle w:val="8"/>
        <w:rPr>
          <w:rFonts w:hint="eastAsia"/>
          <w:b/>
          <w:sz w:val="20"/>
        </w:rPr>
      </w:pPr>
    </w:p>
    <w:p w14:paraId="291723F0">
      <w:pPr>
        <w:pStyle w:val="8"/>
        <w:spacing w:before="4"/>
        <w:rPr>
          <w:rFonts w:hint="eastAsia"/>
          <w:b/>
          <w:sz w:val="27"/>
        </w:rPr>
      </w:pPr>
    </w:p>
    <w:p w14:paraId="77CA7105">
      <w:pPr>
        <w:pStyle w:val="8"/>
        <w:spacing w:before="66"/>
        <w:ind w:left="524"/>
        <w:rPr>
          <w:rFonts w:hint="eastAsia"/>
        </w:rPr>
      </w:pPr>
      <w:r>
        <w:t>投标人盖章：</w:t>
      </w:r>
    </w:p>
    <w:p w14:paraId="2C5ECDEB">
      <w:pPr>
        <w:pStyle w:val="8"/>
        <w:spacing w:before="8"/>
        <w:rPr>
          <w:rFonts w:hint="eastAsia"/>
          <w:sz w:val="25"/>
        </w:rPr>
      </w:pPr>
    </w:p>
    <w:p w14:paraId="4C0E8903">
      <w:pPr>
        <w:rPr>
          <w:rFonts w:hint="eastAsia"/>
        </w:rPr>
      </w:pPr>
      <w:bookmarkStart w:id="209" w:name="第五章_服务要求及商务条款"/>
      <w:bookmarkEnd w:id="209"/>
      <w:bookmarkStart w:id="210" w:name="格式10-2_与技术、商务等评审计分有关的资料"/>
      <w:bookmarkEnd w:id="210"/>
      <w:bookmarkStart w:id="211" w:name="_bookmark67"/>
      <w:bookmarkEnd w:id="211"/>
      <w:r>
        <w:br w:type="page"/>
      </w:r>
    </w:p>
    <w:p w14:paraId="64AB0D5B">
      <w:pPr>
        <w:pStyle w:val="7"/>
        <w:spacing w:before="67"/>
        <w:ind w:left="2833"/>
        <w:rPr>
          <w:rFonts w:hint="eastAsia"/>
          <w:lang w:eastAsia="zh-CN"/>
        </w:rPr>
      </w:pPr>
      <w:r>
        <w:rPr>
          <w:lang w:eastAsia="zh-CN"/>
        </w:rPr>
        <w:t xml:space="preserve">格式 </w:t>
      </w:r>
      <w:r>
        <w:rPr>
          <w:rFonts w:hint="eastAsia"/>
          <w:lang w:eastAsia="zh-CN"/>
        </w:rPr>
        <w:t>9</w:t>
      </w:r>
      <w:r>
        <w:rPr>
          <w:lang w:eastAsia="zh-CN"/>
        </w:rPr>
        <w:t>-2 与技术、商务等评审计分有关的资料</w:t>
      </w:r>
    </w:p>
    <w:p w14:paraId="244C1922">
      <w:pPr>
        <w:rPr>
          <w:rFonts w:hint="eastAsia"/>
          <w:lang w:eastAsia="zh-CN"/>
        </w:rPr>
        <w:sectPr>
          <w:pgSz w:w="11910" w:h="16840"/>
          <w:pgMar w:top="1440" w:right="1080" w:bottom="1440" w:left="1080" w:header="0" w:footer="962" w:gutter="0"/>
          <w:cols w:space="720" w:num="1"/>
        </w:sectPr>
      </w:pPr>
    </w:p>
    <w:p w14:paraId="6C2D1B68">
      <w:pPr>
        <w:pStyle w:val="5"/>
        <w:tabs>
          <w:tab w:val="left" w:pos="1283"/>
        </w:tabs>
        <w:spacing w:before="35" w:line="360" w:lineRule="auto"/>
        <w:jc w:val="center"/>
        <w:rPr>
          <w:rFonts w:hint="eastAsia"/>
          <w:lang w:eastAsia="zh-CN"/>
        </w:rPr>
      </w:pPr>
      <w:bookmarkStart w:id="212" w:name="_bookmark68"/>
      <w:bookmarkEnd w:id="212"/>
      <w:bookmarkStart w:id="213" w:name="_Toc17730"/>
      <w:r>
        <w:rPr>
          <w:lang w:eastAsia="zh-CN"/>
        </w:rPr>
        <w:t>第五章</w:t>
      </w:r>
      <w:r>
        <w:rPr>
          <w:lang w:eastAsia="zh-CN"/>
        </w:rPr>
        <w:tab/>
      </w:r>
      <w:bookmarkEnd w:id="213"/>
      <w:r>
        <w:rPr>
          <w:rFonts w:hint="eastAsia"/>
          <w:lang w:eastAsia="zh-CN"/>
        </w:rPr>
        <w:t>招标需求</w:t>
      </w:r>
    </w:p>
    <w:p w14:paraId="198168E2">
      <w:pPr>
        <w:spacing w:line="360" w:lineRule="auto"/>
        <w:rPr>
          <w:rFonts w:hint="eastAsia" w:asciiTheme="minorEastAsia" w:hAnsiTheme="minorEastAsia" w:eastAsiaTheme="minorEastAsia" w:cstheme="minorEastAsia"/>
          <w:b/>
          <w:bCs/>
          <w:sz w:val="28"/>
          <w:szCs w:val="24"/>
          <w:lang w:eastAsia="zh-CN"/>
        </w:rPr>
      </w:pPr>
      <w:bookmarkStart w:id="214" w:name="一_、服务要求"/>
      <w:bookmarkEnd w:id="214"/>
      <w:bookmarkStart w:id="215" w:name="_bookmark69"/>
      <w:bookmarkEnd w:id="215"/>
      <w:r>
        <w:rPr>
          <w:rFonts w:hint="eastAsia" w:asciiTheme="minorEastAsia" w:hAnsiTheme="minorEastAsia" w:eastAsiaTheme="minorEastAsia" w:cstheme="minorEastAsia"/>
          <w:b/>
          <w:bCs/>
          <w:sz w:val="28"/>
          <w:szCs w:val="24"/>
          <w:lang w:eastAsia="zh-CN"/>
        </w:rPr>
        <w:t>（一）招标需求</w:t>
      </w:r>
    </w:p>
    <w:p w14:paraId="14A16292">
      <w:pPr>
        <w:spacing w:line="360" w:lineRule="auto"/>
        <w:ind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1.招标内容：</w:t>
      </w:r>
      <w:r>
        <w:rPr>
          <w:rFonts w:hint="eastAsia" w:asciiTheme="minorEastAsia" w:hAnsiTheme="minorEastAsia" w:eastAsiaTheme="minorEastAsia" w:cstheme="minorEastAsia"/>
          <w:sz w:val="24"/>
          <w:szCs w:val="24"/>
          <w:lang w:eastAsia="zh-CN"/>
        </w:rPr>
        <w:t>主城区市政管网：武夷山大道（三清山西大道至湖州加油站）、吉阳西路（武夷山大道至兴园大道）、兴园大道（吉阳西路至绿色大道）、七六路（武夷山大道至经开大道）、爱国大道（武夷山大道至G60高速桥下）、惟义西路（武夷山大道至经开大道）、绿色大道（经开大道至滨江西路）、经开大道（世纪大道至前山红绿灯）、世纪大道、光学路、友善路、工业五路、园区二路（凤凰光学后门支路）、双创巷、规划路（市民公园旁支路）、科技巷、幸福巷、美地巷、诚信路（新悦府旁支路）；</w:t>
      </w:r>
    </w:p>
    <w:p w14:paraId="0E4F44EC">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滨成和笔架山片区市政管网：滨江西路、经开大道（前山红绿灯至新320国道路口）、龙门大道、兴业大道（经开大道至新320国道）、潭林路、兴园西大道、拓展路、太山源路、董团大道、鹭栖大道、仙姑山路（原瑞华北路）、岭上路（原瑞华南路）、迎宾大道(原新320国道)、创谷一、二、三路、和谐路（原合口北路）、夜珠垄路（原圆北路）、共享大道（原合口中路）、洪源路（原光学三基地志强路）、学府大道、创新大道、金融大道、科技大道、共享大道、开放大道、金融大道、协调大道、科创路、合口北路（原合赢光电支路）；</w:t>
      </w:r>
    </w:p>
    <w:p w14:paraId="1213C8F6">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马鞍山片区市政管网：铜业大道（原一舟大道）、吉祥大道（原吉利东路）、吴洲大道（原耐普大道）、老屋底路（原吉利北路）、老山底路（吉利西路）、团结路（光伏路）、友谊路、园七路、江家大道（原福斯特大道）、经开大道（新320国道至老山底路口）、兴业大道（新国道至吉祥大道）等。</w:t>
      </w:r>
    </w:p>
    <w:p w14:paraId="1C1133D3">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以上雨污水管网待检测长约</w:t>
      </w:r>
      <w:r>
        <w:rPr>
          <w:rFonts w:hint="eastAsia" w:asciiTheme="minorEastAsia" w:hAnsiTheme="minorEastAsia" w:eastAsiaTheme="minorEastAsia" w:cstheme="minorEastAsia"/>
          <w:color w:val="auto"/>
          <w:sz w:val="24"/>
          <w:szCs w:val="24"/>
          <w:lang w:eastAsia="zh-CN"/>
        </w:rPr>
        <w:t>280</w:t>
      </w:r>
      <w:r>
        <w:rPr>
          <w:rFonts w:hint="eastAsia" w:asciiTheme="minorEastAsia" w:hAnsiTheme="minorEastAsia" w:eastAsiaTheme="minorEastAsia" w:cstheme="minorEastAsia"/>
          <w:sz w:val="24"/>
          <w:szCs w:val="24"/>
          <w:lang w:eastAsia="zh-CN"/>
        </w:rPr>
        <w:t>千米。为本次招标所需检测和清淤的管道范围，中标人应在招标预算300万元及以内按招标人服务要求完成包含但不限于【（1）绘制雨污管网走向和检查井坐标示意图；（2）排查雨污管网老化、破损、堵塞、错接、漏接、混接现象统计工程量；（3）对错接、漏接、混接的雨污管网进行溯源；（4）针对检测发现问题并提供具体改造方案和改造图；】。</w:t>
      </w:r>
    </w:p>
    <w:p w14:paraId="5AFDF0CE">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具体数据以实际检测及清淤的量为准。</w:t>
      </w:r>
    </w:p>
    <w:p w14:paraId="5B0BEFCB">
      <w:pPr>
        <w:spacing w:line="360" w:lineRule="auto"/>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2.招标金额：</w:t>
      </w:r>
    </w:p>
    <w:tbl>
      <w:tblPr>
        <w:tblStyle w:val="23"/>
        <w:tblpPr w:leftFromText="180" w:rightFromText="180" w:vertAnchor="text" w:horzAnchor="page" w:tblpX="1651" w:tblpY="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408"/>
        <w:gridCol w:w="2101"/>
        <w:gridCol w:w="1982"/>
        <w:gridCol w:w="2271"/>
      </w:tblGrid>
      <w:tr w14:paraId="56CA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tcPr>
          <w:p w14:paraId="73FB1A3B">
            <w:pPr>
              <w:spacing w:line="56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项目名称</w:t>
            </w:r>
          </w:p>
        </w:tc>
        <w:tc>
          <w:tcPr>
            <w:tcW w:w="3509" w:type="dxa"/>
            <w:gridSpan w:val="2"/>
          </w:tcPr>
          <w:p w14:paraId="032A4153">
            <w:pPr>
              <w:spacing w:line="56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服务内容</w:t>
            </w:r>
          </w:p>
        </w:tc>
        <w:tc>
          <w:tcPr>
            <w:tcW w:w="1982" w:type="dxa"/>
          </w:tcPr>
          <w:p w14:paraId="0718B23F">
            <w:pPr>
              <w:spacing w:line="56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控制单价</w:t>
            </w:r>
          </w:p>
        </w:tc>
        <w:tc>
          <w:tcPr>
            <w:tcW w:w="2271" w:type="dxa"/>
          </w:tcPr>
          <w:p w14:paraId="597ACAFE">
            <w:pPr>
              <w:spacing w:line="56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备注</w:t>
            </w:r>
          </w:p>
        </w:tc>
      </w:tr>
      <w:tr w14:paraId="6741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Merge w:val="restart"/>
            <w:vAlign w:val="center"/>
          </w:tcPr>
          <w:p w14:paraId="2B0FBC1A">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上饶经开区雨污水管网检测服务工程</w:t>
            </w:r>
          </w:p>
        </w:tc>
        <w:tc>
          <w:tcPr>
            <w:tcW w:w="3509" w:type="dxa"/>
            <w:gridSpan w:val="2"/>
            <w:vAlign w:val="center"/>
          </w:tcPr>
          <w:p w14:paraId="15AFED8A">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CCTV检测</w:t>
            </w:r>
          </w:p>
        </w:tc>
        <w:tc>
          <w:tcPr>
            <w:tcW w:w="1982" w:type="dxa"/>
            <w:vAlign w:val="center"/>
          </w:tcPr>
          <w:p w14:paraId="19389489">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8.25元/米</w:t>
            </w:r>
          </w:p>
        </w:tc>
        <w:tc>
          <w:tcPr>
            <w:tcW w:w="2271" w:type="dxa"/>
            <w:vMerge w:val="restart"/>
            <w:vAlign w:val="center"/>
          </w:tcPr>
          <w:p w14:paraId="2AA71799">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具体招标数量以实际发生数为准</w:t>
            </w:r>
          </w:p>
        </w:tc>
      </w:tr>
      <w:tr w14:paraId="1698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Merge w:val="continue"/>
            <w:vAlign w:val="center"/>
          </w:tcPr>
          <w:p w14:paraId="47C9E6CE">
            <w:pPr>
              <w:spacing w:line="560" w:lineRule="exact"/>
              <w:jc w:val="center"/>
              <w:rPr>
                <w:rFonts w:hint="eastAsia" w:asciiTheme="minorEastAsia" w:hAnsiTheme="minorEastAsia" w:eastAsiaTheme="minorEastAsia" w:cstheme="minorEastAsia"/>
                <w:sz w:val="24"/>
                <w:szCs w:val="24"/>
                <w:lang w:eastAsia="zh-CN"/>
              </w:rPr>
            </w:pPr>
          </w:p>
        </w:tc>
        <w:tc>
          <w:tcPr>
            <w:tcW w:w="3509" w:type="dxa"/>
            <w:gridSpan w:val="2"/>
            <w:vAlign w:val="center"/>
          </w:tcPr>
          <w:p w14:paraId="27A841BB">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QV检测</w:t>
            </w:r>
          </w:p>
        </w:tc>
        <w:tc>
          <w:tcPr>
            <w:tcW w:w="1982" w:type="dxa"/>
            <w:vAlign w:val="center"/>
          </w:tcPr>
          <w:p w14:paraId="7CEE750D">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6.6元/米</w:t>
            </w:r>
          </w:p>
        </w:tc>
        <w:tc>
          <w:tcPr>
            <w:tcW w:w="2271" w:type="dxa"/>
            <w:vMerge w:val="continue"/>
            <w:vAlign w:val="center"/>
          </w:tcPr>
          <w:p w14:paraId="630D76EC">
            <w:pPr>
              <w:spacing w:line="560" w:lineRule="exact"/>
              <w:jc w:val="center"/>
              <w:rPr>
                <w:rFonts w:hint="eastAsia" w:asciiTheme="minorEastAsia" w:hAnsiTheme="minorEastAsia" w:eastAsiaTheme="minorEastAsia" w:cstheme="minorEastAsia"/>
                <w:sz w:val="24"/>
                <w:szCs w:val="24"/>
                <w:lang w:eastAsia="zh-CN"/>
              </w:rPr>
            </w:pPr>
          </w:p>
        </w:tc>
      </w:tr>
      <w:tr w14:paraId="41D8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Merge w:val="continue"/>
            <w:vAlign w:val="center"/>
          </w:tcPr>
          <w:p w14:paraId="63D0F674">
            <w:pPr>
              <w:spacing w:line="560" w:lineRule="exact"/>
              <w:jc w:val="center"/>
              <w:rPr>
                <w:rFonts w:hint="eastAsia" w:asciiTheme="minorEastAsia" w:hAnsiTheme="minorEastAsia" w:eastAsiaTheme="minorEastAsia" w:cstheme="minorEastAsia"/>
                <w:sz w:val="24"/>
                <w:szCs w:val="24"/>
                <w:lang w:eastAsia="zh-CN"/>
              </w:rPr>
            </w:pPr>
          </w:p>
        </w:tc>
        <w:tc>
          <w:tcPr>
            <w:tcW w:w="1408" w:type="dxa"/>
            <w:vMerge w:val="restart"/>
            <w:vAlign w:val="center"/>
          </w:tcPr>
          <w:p w14:paraId="628B993B">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管道清淤根据管径大小</w:t>
            </w:r>
          </w:p>
        </w:tc>
        <w:tc>
          <w:tcPr>
            <w:tcW w:w="2101" w:type="dxa"/>
            <w:vAlign w:val="center"/>
          </w:tcPr>
          <w:p w14:paraId="20824527">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300MM以内</w:t>
            </w:r>
          </w:p>
        </w:tc>
        <w:tc>
          <w:tcPr>
            <w:tcW w:w="1982" w:type="dxa"/>
            <w:vAlign w:val="center"/>
          </w:tcPr>
          <w:p w14:paraId="40A39F0B">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22元/米</w:t>
            </w:r>
          </w:p>
        </w:tc>
        <w:tc>
          <w:tcPr>
            <w:tcW w:w="2271" w:type="dxa"/>
            <w:vMerge w:val="continue"/>
            <w:vAlign w:val="center"/>
          </w:tcPr>
          <w:p w14:paraId="60193379">
            <w:pPr>
              <w:spacing w:line="560" w:lineRule="exact"/>
              <w:jc w:val="center"/>
              <w:rPr>
                <w:rFonts w:hint="eastAsia" w:asciiTheme="minorEastAsia" w:hAnsiTheme="minorEastAsia" w:eastAsiaTheme="minorEastAsia" w:cstheme="minorEastAsia"/>
                <w:sz w:val="24"/>
                <w:szCs w:val="24"/>
                <w:lang w:eastAsia="zh-CN"/>
              </w:rPr>
            </w:pPr>
          </w:p>
        </w:tc>
      </w:tr>
      <w:tr w14:paraId="79A2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Merge w:val="continue"/>
            <w:vAlign w:val="center"/>
          </w:tcPr>
          <w:p w14:paraId="2D493950">
            <w:pPr>
              <w:spacing w:line="560" w:lineRule="exact"/>
              <w:jc w:val="center"/>
              <w:rPr>
                <w:rFonts w:hint="eastAsia" w:asciiTheme="minorEastAsia" w:hAnsiTheme="minorEastAsia" w:eastAsiaTheme="minorEastAsia" w:cstheme="minorEastAsia"/>
                <w:sz w:val="24"/>
                <w:szCs w:val="24"/>
                <w:lang w:eastAsia="zh-CN"/>
              </w:rPr>
            </w:pPr>
          </w:p>
        </w:tc>
        <w:tc>
          <w:tcPr>
            <w:tcW w:w="1408" w:type="dxa"/>
            <w:vMerge w:val="continue"/>
            <w:vAlign w:val="center"/>
          </w:tcPr>
          <w:p w14:paraId="6D288036">
            <w:pPr>
              <w:spacing w:line="560" w:lineRule="exact"/>
              <w:jc w:val="center"/>
              <w:rPr>
                <w:rFonts w:hint="eastAsia" w:asciiTheme="minorEastAsia" w:hAnsiTheme="minorEastAsia" w:eastAsiaTheme="minorEastAsia" w:cstheme="minorEastAsia"/>
                <w:sz w:val="24"/>
                <w:szCs w:val="24"/>
                <w:lang w:eastAsia="zh-CN"/>
              </w:rPr>
            </w:pPr>
          </w:p>
        </w:tc>
        <w:tc>
          <w:tcPr>
            <w:tcW w:w="2101" w:type="dxa"/>
            <w:shd w:val="clear" w:color="auto" w:fill="auto"/>
            <w:vAlign w:val="center"/>
          </w:tcPr>
          <w:p w14:paraId="45CB82C4">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600MM以内</w:t>
            </w:r>
          </w:p>
        </w:tc>
        <w:tc>
          <w:tcPr>
            <w:tcW w:w="1982" w:type="dxa"/>
            <w:vAlign w:val="center"/>
          </w:tcPr>
          <w:p w14:paraId="2B646974">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30.25元/米</w:t>
            </w:r>
          </w:p>
        </w:tc>
        <w:tc>
          <w:tcPr>
            <w:tcW w:w="2271" w:type="dxa"/>
            <w:vMerge w:val="continue"/>
            <w:vAlign w:val="center"/>
          </w:tcPr>
          <w:p w14:paraId="462E4F39">
            <w:pPr>
              <w:spacing w:line="560" w:lineRule="exact"/>
              <w:jc w:val="center"/>
              <w:rPr>
                <w:rFonts w:hint="eastAsia" w:asciiTheme="minorEastAsia" w:hAnsiTheme="minorEastAsia" w:eastAsiaTheme="minorEastAsia" w:cstheme="minorEastAsia"/>
                <w:sz w:val="24"/>
                <w:szCs w:val="24"/>
                <w:lang w:eastAsia="zh-CN"/>
              </w:rPr>
            </w:pPr>
          </w:p>
        </w:tc>
      </w:tr>
      <w:tr w14:paraId="1EA8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Merge w:val="continue"/>
            <w:vAlign w:val="center"/>
          </w:tcPr>
          <w:p w14:paraId="58ECF8DC">
            <w:pPr>
              <w:spacing w:line="560" w:lineRule="exact"/>
              <w:jc w:val="center"/>
              <w:rPr>
                <w:rFonts w:hint="eastAsia" w:asciiTheme="minorEastAsia" w:hAnsiTheme="minorEastAsia" w:eastAsiaTheme="minorEastAsia" w:cstheme="minorEastAsia"/>
                <w:sz w:val="24"/>
                <w:szCs w:val="24"/>
                <w:lang w:eastAsia="zh-CN"/>
              </w:rPr>
            </w:pPr>
          </w:p>
        </w:tc>
        <w:tc>
          <w:tcPr>
            <w:tcW w:w="1408" w:type="dxa"/>
            <w:vMerge w:val="continue"/>
            <w:vAlign w:val="center"/>
          </w:tcPr>
          <w:p w14:paraId="1613F873">
            <w:pPr>
              <w:spacing w:line="560" w:lineRule="exact"/>
              <w:jc w:val="center"/>
              <w:rPr>
                <w:rFonts w:hint="eastAsia" w:asciiTheme="minorEastAsia" w:hAnsiTheme="minorEastAsia" w:eastAsiaTheme="minorEastAsia" w:cstheme="minorEastAsia"/>
                <w:sz w:val="24"/>
                <w:szCs w:val="24"/>
                <w:lang w:eastAsia="zh-CN"/>
              </w:rPr>
            </w:pPr>
          </w:p>
        </w:tc>
        <w:tc>
          <w:tcPr>
            <w:tcW w:w="2101" w:type="dxa"/>
            <w:shd w:val="clear" w:color="auto" w:fill="auto"/>
            <w:vAlign w:val="center"/>
          </w:tcPr>
          <w:p w14:paraId="172F162B">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900MM以内</w:t>
            </w:r>
          </w:p>
        </w:tc>
        <w:tc>
          <w:tcPr>
            <w:tcW w:w="1982" w:type="dxa"/>
            <w:vAlign w:val="center"/>
          </w:tcPr>
          <w:p w14:paraId="0472208E">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44元/米</w:t>
            </w:r>
          </w:p>
        </w:tc>
        <w:tc>
          <w:tcPr>
            <w:tcW w:w="2271" w:type="dxa"/>
            <w:vMerge w:val="continue"/>
            <w:vAlign w:val="center"/>
          </w:tcPr>
          <w:p w14:paraId="29578C27">
            <w:pPr>
              <w:spacing w:line="560" w:lineRule="exact"/>
              <w:jc w:val="center"/>
              <w:rPr>
                <w:rFonts w:hint="eastAsia" w:asciiTheme="minorEastAsia" w:hAnsiTheme="minorEastAsia" w:eastAsiaTheme="minorEastAsia" w:cstheme="minorEastAsia"/>
                <w:sz w:val="24"/>
                <w:szCs w:val="24"/>
                <w:lang w:eastAsia="zh-CN"/>
              </w:rPr>
            </w:pPr>
          </w:p>
        </w:tc>
      </w:tr>
      <w:tr w14:paraId="05CA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Merge w:val="continue"/>
            <w:vAlign w:val="center"/>
          </w:tcPr>
          <w:p w14:paraId="414BCC32">
            <w:pPr>
              <w:spacing w:line="560" w:lineRule="exact"/>
              <w:jc w:val="center"/>
              <w:rPr>
                <w:rFonts w:hint="eastAsia" w:asciiTheme="minorEastAsia" w:hAnsiTheme="minorEastAsia" w:eastAsiaTheme="minorEastAsia" w:cstheme="minorEastAsia"/>
                <w:sz w:val="24"/>
                <w:szCs w:val="24"/>
                <w:lang w:eastAsia="zh-CN"/>
              </w:rPr>
            </w:pPr>
          </w:p>
        </w:tc>
        <w:tc>
          <w:tcPr>
            <w:tcW w:w="1408" w:type="dxa"/>
            <w:vMerge w:val="continue"/>
            <w:vAlign w:val="center"/>
          </w:tcPr>
          <w:p w14:paraId="13E56A91">
            <w:pPr>
              <w:spacing w:line="560" w:lineRule="exact"/>
              <w:jc w:val="center"/>
              <w:rPr>
                <w:rFonts w:hint="eastAsia" w:asciiTheme="minorEastAsia" w:hAnsiTheme="minorEastAsia" w:eastAsiaTheme="minorEastAsia" w:cstheme="minorEastAsia"/>
                <w:sz w:val="24"/>
                <w:szCs w:val="24"/>
                <w:lang w:eastAsia="zh-CN"/>
              </w:rPr>
            </w:pPr>
          </w:p>
        </w:tc>
        <w:tc>
          <w:tcPr>
            <w:tcW w:w="2101" w:type="dxa"/>
            <w:shd w:val="clear" w:color="auto" w:fill="auto"/>
            <w:vAlign w:val="center"/>
          </w:tcPr>
          <w:p w14:paraId="6335EC54">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1200MM以内</w:t>
            </w:r>
          </w:p>
        </w:tc>
        <w:tc>
          <w:tcPr>
            <w:tcW w:w="1982" w:type="dxa"/>
            <w:vAlign w:val="center"/>
          </w:tcPr>
          <w:p w14:paraId="26B84070">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52.25元/米</w:t>
            </w:r>
          </w:p>
        </w:tc>
        <w:tc>
          <w:tcPr>
            <w:tcW w:w="2271" w:type="dxa"/>
            <w:vMerge w:val="continue"/>
            <w:vAlign w:val="center"/>
          </w:tcPr>
          <w:p w14:paraId="058CCE13">
            <w:pPr>
              <w:spacing w:line="560" w:lineRule="exact"/>
              <w:jc w:val="center"/>
              <w:rPr>
                <w:rFonts w:hint="eastAsia" w:asciiTheme="minorEastAsia" w:hAnsiTheme="minorEastAsia" w:eastAsiaTheme="minorEastAsia" w:cstheme="minorEastAsia"/>
                <w:sz w:val="24"/>
                <w:szCs w:val="24"/>
                <w:lang w:eastAsia="zh-CN"/>
              </w:rPr>
            </w:pPr>
          </w:p>
        </w:tc>
      </w:tr>
      <w:tr w14:paraId="31A4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Merge w:val="continue"/>
            <w:vAlign w:val="center"/>
          </w:tcPr>
          <w:p w14:paraId="415227B8">
            <w:pPr>
              <w:spacing w:line="560" w:lineRule="exact"/>
              <w:jc w:val="center"/>
              <w:rPr>
                <w:rFonts w:hint="eastAsia" w:asciiTheme="minorEastAsia" w:hAnsiTheme="minorEastAsia" w:eastAsiaTheme="minorEastAsia" w:cstheme="minorEastAsia"/>
                <w:sz w:val="24"/>
                <w:szCs w:val="24"/>
                <w:lang w:eastAsia="zh-CN"/>
              </w:rPr>
            </w:pPr>
          </w:p>
        </w:tc>
        <w:tc>
          <w:tcPr>
            <w:tcW w:w="3509" w:type="dxa"/>
            <w:gridSpan w:val="2"/>
            <w:vAlign w:val="center"/>
          </w:tcPr>
          <w:p w14:paraId="07CA98E3">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管线测绘</w:t>
            </w:r>
          </w:p>
        </w:tc>
        <w:tc>
          <w:tcPr>
            <w:tcW w:w="1982" w:type="dxa"/>
            <w:vAlign w:val="center"/>
          </w:tcPr>
          <w:p w14:paraId="0257E42E">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3.96元/米</w:t>
            </w:r>
          </w:p>
        </w:tc>
        <w:tc>
          <w:tcPr>
            <w:tcW w:w="2271" w:type="dxa"/>
            <w:vMerge w:val="continue"/>
            <w:vAlign w:val="center"/>
          </w:tcPr>
          <w:p w14:paraId="00D97688">
            <w:pPr>
              <w:spacing w:line="560" w:lineRule="exact"/>
              <w:jc w:val="center"/>
              <w:rPr>
                <w:rFonts w:hint="eastAsia" w:asciiTheme="minorEastAsia" w:hAnsiTheme="minorEastAsia" w:eastAsiaTheme="minorEastAsia" w:cstheme="minorEastAsia"/>
                <w:sz w:val="24"/>
                <w:szCs w:val="24"/>
                <w:lang w:eastAsia="zh-CN"/>
              </w:rPr>
            </w:pPr>
          </w:p>
        </w:tc>
      </w:tr>
      <w:tr w14:paraId="32E3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9498" w:type="dxa"/>
            <w:gridSpan w:val="5"/>
            <w:vAlign w:val="center"/>
          </w:tcPr>
          <w:p w14:paraId="1F2F1A79">
            <w:pPr>
              <w:spacing w:line="560" w:lineRule="exac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备注：1.本次采用单价招标，投标人报价单价不得高于上述各个单价及单价汇总价。价格评审时以单价汇总的价格作为投标价评审价格分。</w:t>
            </w:r>
          </w:p>
          <w:p w14:paraId="6D17534E">
            <w:pPr>
              <w:spacing w:line="560" w:lineRule="exac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2.本次招标合同价为以中标单价乘以实际检测服务量。最终结算价不得超过300万元（即最终结算价不足300万元按实际工作量结算，高于300万元则按300万元结算）。</w:t>
            </w:r>
          </w:p>
        </w:tc>
      </w:tr>
    </w:tbl>
    <w:p w14:paraId="6A4225CE">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p>
    <w:p w14:paraId="06B150B7">
      <w:pPr>
        <w:pStyle w:val="6"/>
        <w:keepNext/>
        <w:keepLines/>
        <w:tabs>
          <w:tab w:val="left" w:pos="425"/>
          <w:tab w:val="left" w:pos="5852"/>
        </w:tabs>
        <w:autoSpaceDE/>
        <w:autoSpaceDN/>
        <w:spacing w:line="360" w:lineRule="auto"/>
        <w:ind w:left="0"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lang w:eastAsia="zh-Hans"/>
        </w:rPr>
        <w:t>要求</w:t>
      </w:r>
      <w:r>
        <w:rPr>
          <w:rFonts w:hint="eastAsia" w:asciiTheme="minorEastAsia" w:hAnsiTheme="minorEastAsia" w:eastAsiaTheme="minorEastAsia" w:cstheme="minorEastAsia"/>
          <w:sz w:val="24"/>
          <w:szCs w:val="24"/>
          <w:lang w:eastAsia="zh-CN"/>
        </w:rPr>
        <w:t>：</w:t>
      </w:r>
    </w:p>
    <w:p w14:paraId="5B724024">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拟派本项目工作人员（最低要求）：</w:t>
      </w:r>
    </w:p>
    <w:p w14:paraId="49137FBE">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组长：1名，应具备给排水高级工程师证。</w:t>
      </w:r>
    </w:p>
    <w:p w14:paraId="0C186DA0">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组员：配备3名专业技术员，</w:t>
      </w:r>
      <w:r>
        <w:rPr>
          <w:rFonts w:hint="eastAsia" w:asciiTheme="minorEastAsia" w:hAnsiTheme="minorEastAsia" w:eastAsia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lang w:eastAsia="zh-CN"/>
        </w:rPr>
        <w:t>具有</w:t>
      </w:r>
      <w:r>
        <w:rPr>
          <w:rFonts w:hint="eastAsia" w:asciiTheme="minorEastAsia" w:hAnsiTheme="minorEastAsia" w:eastAsiaTheme="minorEastAsia" w:cstheme="minorEastAsia"/>
          <w:color w:val="auto"/>
          <w:sz w:val="24"/>
          <w:szCs w:val="24"/>
          <w:highlight w:val="none"/>
          <w:lang w:val="en-US" w:eastAsia="zh-CN"/>
        </w:rPr>
        <w:t>和项目有关的</w:t>
      </w:r>
      <w:r>
        <w:rPr>
          <w:rFonts w:hint="eastAsia" w:asciiTheme="minorEastAsia" w:hAnsiTheme="minorEastAsia" w:eastAsiaTheme="minorEastAsia" w:cstheme="minorEastAsia"/>
          <w:color w:val="auto"/>
          <w:sz w:val="24"/>
          <w:szCs w:val="24"/>
          <w:lang w:eastAsia="zh-CN"/>
        </w:rPr>
        <w:t>检测相关专业初级及以上技术职称。</w:t>
      </w:r>
    </w:p>
    <w:p w14:paraId="20323F2F">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应提供拟派人员相关证书原件原色扫描件以及投标人开标前连续六个月为其缴纳社保证明材料。注:社保证明材料可以采用以下任一种方式:1)社保局官方网站查询的拟配备人员的个人缴费记录截图打印件;2)社保局的书面证明材料;3)经投标人委托的第三方人力资源服务机构或与投标人有直接隶属关系的机构可以代缴社保，并提供有关证明材料(人员不允许兼职兼任，同一人员具有多项岗位证书的，不累计得分，以得分较高项计分)。</w:t>
      </w:r>
    </w:p>
    <w:p w14:paraId="42AEC06C">
      <w:pPr>
        <w:pStyle w:val="2"/>
        <w:numPr>
          <w:ilvl w:val="4"/>
          <w:numId w:val="0"/>
        </w:numPr>
        <w:spacing w:before="0" w:after="0" w:line="360" w:lineRule="auto"/>
        <w:ind w:firstLine="482" w:firstLineChars="200"/>
        <w:rPr>
          <w:rFonts w:hint="eastAsia"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备注：如果不满足以上人员最低要求，视为不响应招标文件的技术条款，则投标无效。</w:t>
      </w:r>
    </w:p>
    <w:p w14:paraId="4518BA9D">
      <w:pPr>
        <w:rPr>
          <w:rFonts w:hint="eastAsia" w:asciiTheme="minorEastAsia" w:hAnsiTheme="minorEastAsia" w:eastAsiaTheme="minorEastAsia" w:cstheme="minorEastAsia"/>
          <w:b/>
          <w:bCs/>
          <w:sz w:val="28"/>
          <w:szCs w:val="24"/>
          <w:lang w:eastAsia="zh-CN"/>
        </w:rPr>
      </w:pPr>
      <w:bookmarkStart w:id="216" w:name="_Toc97028267"/>
      <w:bookmarkStart w:id="217" w:name="_Toc96963051"/>
    </w:p>
    <w:p w14:paraId="60BBE888">
      <w:pPr>
        <w:rPr>
          <w:rFonts w:hint="eastAsia" w:asciiTheme="minorEastAsia" w:hAnsiTheme="minorEastAsia" w:eastAsiaTheme="minorEastAsia" w:cstheme="minorEastAsia"/>
          <w:b/>
          <w:bCs/>
          <w:sz w:val="28"/>
          <w:szCs w:val="24"/>
          <w:lang w:eastAsia="zh-CN"/>
        </w:rPr>
      </w:pPr>
      <w:r>
        <w:rPr>
          <w:rFonts w:hint="eastAsia" w:asciiTheme="minorEastAsia" w:hAnsiTheme="minorEastAsia" w:eastAsiaTheme="minorEastAsia" w:cstheme="minorEastAsia"/>
          <w:b/>
          <w:bCs/>
          <w:sz w:val="28"/>
          <w:szCs w:val="24"/>
          <w:lang w:eastAsia="zh-CN"/>
        </w:rPr>
        <w:t>（二）商务条件</w:t>
      </w:r>
      <w:bookmarkEnd w:id="216"/>
      <w:bookmarkEnd w:id="217"/>
    </w:p>
    <w:p w14:paraId="23D49EE5">
      <w:pPr>
        <w:widowControl/>
        <w:adjustRightInd w:val="0"/>
        <w:snapToGrid w:val="0"/>
        <w:spacing w:line="360" w:lineRule="auto"/>
        <w:ind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1、交货地点</w:t>
      </w:r>
      <w:r>
        <w:rPr>
          <w:rFonts w:hint="eastAsia" w:asciiTheme="minorEastAsia" w:hAnsiTheme="minorEastAsia" w:eastAsiaTheme="minorEastAsia" w:cstheme="minorEastAsia"/>
          <w:sz w:val="24"/>
          <w:szCs w:val="24"/>
          <w:lang w:eastAsia="zh-CN"/>
        </w:rPr>
        <w:t>：招标人指定地点。</w:t>
      </w:r>
    </w:p>
    <w:p w14:paraId="2EE089D7">
      <w:pPr>
        <w:widowControl/>
        <w:adjustRightInd w:val="0"/>
        <w:snapToGrid w:val="0"/>
        <w:spacing w:line="360" w:lineRule="auto"/>
        <w:ind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2、服务期限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auto"/>
          <w:sz w:val="24"/>
          <w:szCs w:val="24"/>
          <w:lang w:val="en-US" w:eastAsia="zh-CN"/>
        </w:rPr>
        <w:t>90</w:t>
      </w:r>
      <w:r>
        <w:rPr>
          <w:rFonts w:hint="eastAsia" w:asciiTheme="minorEastAsia" w:hAnsiTheme="minorEastAsia" w:eastAsiaTheme="minorEastAsia" w:cstheme="minorEastAsia"/>
          <w:sz w:val="24"/>
          <w:szCs w:val="24"/>
          <w:lang w:eastAsia="zh-CN"/>
        </w:rPr>
        <w:t>天，以合同签订时间为准。</w:t>
      </w:r>
    </w:p>
    <w:p w14:paraId="7714BDFE">
      <w:pPr>
        <w:widowControl/>
        <w:adjustRightInd w:val="0"/>
        <w:snapToGrid w:val="0"/>
        <w:spacing w:line="360" w:lineRule="auto"/>
        <w:ind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w:t>
      </w:r>
      <w:r>
        <w:rPr>
          <w:rFonts w:hint="eastAsia" w:asciiTheme="minorEastAsia" w:hAnsiTheme="minorEastAsia" w:eastAsiaTheme="minorEastAsia" w:cstheme="minorEastAsia"/>
          <w:b/>
          <w:bCs/>
          <w:sz w:val="24"/>
          <w:szCs w:val="24"/>
          <w:lang w:eastAsia="zh-Hans"/>
        </w:rPr>
        <w:t>、</w:t>
      </w:r>
      <w:r>
        <w:rPr>
          <w:rFonts w:hint="eastAsia" w:asciiTheme="minorEastAsia" w:hAnsiTheme="minorEastAsia" w:eastAsiaTheme="minorEastAsia" w:cstheme="minorEastAsia"/>
          <w:b/>
          <w:bCs/>
          <w:sz w:val="24"/>
          <w:szCs w:val="24"/>
          <w:lang w:eastAsia="zh-CN"/>
        </w:rPr>
        <w:t>付款方式</w:t>
      </w:r>
      <w:r>
        <w:rPr>
          <w:rFonts w:hint="eastAsia" w:asciiTheme="minorEastAsia" w:hAnsiTheme="minorEastAsia" w:eastAsiaTheme="minorEastAsia" w:cstheme="minorEastAsia"/>
          <w:sz w:val="24"/>
          <w:szCs w:val="24"/>
          <w:lang w:eastAsia="zh-CN"/>
        </w:rPr>
        <w:t>：由服务单位出具具体改造方案和改造图，待项目完成后最终按照《上饶经济技术开发区属国有企业结算管理办法》据实结算，但最终结算价不得超过300万元（即最终结算价不足300万元按实际工作量结算，高于300万元则按300万元结算）。</w:t>
      </w:r>
    </w:p>
    <w:p w14:paraId="71C99EA6">
      <w:pPr>
        <w:pStyle w:val="8"/>
        <w:widowControl/>
        <w:wordWrap w:val="0"/>
        <w:topLinePunct/>
        <w:autoSpaceDN/>
        <w:snapToGrid w:val="0"/>
        <w:spacing w:line="360" w:lineRule="auto"/>
        <w:ind w:firstLine="482"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lang w:eastAsia="zh-CN"/>
        </w:rPr>
        <w:t>4、成果报告要求：</w:t>
      </w:r>
      <w:r>
        <w:rPr>
          <w:rFonts w:hint="eastAsia" w:asciiTheme="minorEastAsia" w:hAnsiTheme="minorEastAsia" w:eastAsiaTheme="minorEastAsia" w:cstheme="minorEastAsia"/>
          <w:lang w:eastAsia="zh-CN"/>
        </w:rPr>
        <w:t>按照相关标准出具成果报告。成果报告需招标人确认。</w:t>
      </w:r>
    </w:p>
    <w:p w14:paraId="5ED83D5D">
      <w:pPr>
        <w:widowControl/>
        <w:wordWrap w:val="0"/>
        <w:topLinePunct/>
        <w:spacing w:line="360" w:lineRule="auto"/>
        <w:ind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5、售后服务：</w:t>
      </w:r>
      <w:r>
        <w:rPr>
          <w:rFonts w:hint="eastAsia" w:asciiTheme="minorEastAsia" w:hAnsiTheme="minorEastAsia" w:eastAsiaTheme="minorEastAsia" w:cstheme="minorEastAsia"/>
          <w:sz w:val="24"/>
          <w:szCs w:val="24"/>
          <w:lang w:eastAsia="zh-CN"/>
        </w:rPr>
        <w:t>中标人应对其出具的成果报告负责并提供后续服务，如成果报告数据与实际偏差太大，中标人应在3天内提供有效解决方案并在5天内重新提供有效数据。</w:t>
      </w:r>
    </w:p>
    <w:p w14:paraId="28B70AC1">
      <w:pPr>
        <w:widowControl/>
        <w:wordWrap w:val="0"/>
        <w:topLinePunct/>
        <w:spacing w:line="360" w:lineRule="auto"/>
        <w:ind w:firstLine="482" w:firstLineChars="200"/>
        <w:rPr>
          <w:rFonts w:hint="eastAsia" w:asciiTheme="minorEastAsia" w:hAnsiTheme="minorEastAsia" w:eastAsiaTheme="minorEastAsia" w:cstheme="minorEastAsia"/>
          <w:b/>
          <w:bCs/>
          <w:sz w:val="24"/>
          <w:szCs w:val="24"/>
          <w:highlight w:val="white"/>
          <w:lang w:eastAsia="zh-CN"/>
        </w:rPr>
      </w:pPr>
      <w:r>
        <w:rPr>
          <w:rFonts w:hint="eastAsia" w:asciiTheme="minorEastAsia" w:hAnsiTheme="minorEastAsia" w:eastAsiaTheme="minorEastAsia" w:cstheme="minorEastAsia"/>
          <w:b/>
          <w:bCs/>
          <w:sz w:val="24"/>
          <w:szCs w:val="24"/>
          <w:lang w:eastAsia="zh-CN"/>
        </w:rPr>
        <w:t>6、其他要求：</w:t>
      </w:r>
      <w:r>
        <w:rPr>
          <w:rFonts w:hint="eastAsia" w:asciiTheme="minorEastAsia" w:hAnsiTheme="minorEastAsia" w:eastAsiaTheme="minorEastAsia" w:cstheme="minorEastAsia"/>
          <w:sz w:val="24"/>
          <w:szCs w:val="24"/>
          <w:lang w:eastAsia="zh-CN"/>
        </w:rPr>
        <w:t>中标人应在结果公示发布之日起5个工作日内将资格审查（符合性评审）、商务技术评分等涉及的扫描件佐证的原件材料交招标人复核，如中标投标人未在规定时间内未递交相应原件或原件有弄虚作假的，招标人将取消其中标资格并按相关法律法规提请监管部门进行处罚。</w:t>
      </w:r>
    </w:p>
    <w:p w14:paraId="11244C28">
      <w:pPr>
        <w:rPr>
          <w:rFonts w:hint="eastAsia" w:ascii="宋体" w:hAnsi="宋体" w:eastAsia="宋体" w:cs="宋体"/>
          <w:lang w:eastAsia="zh-CN"/>
        </w:rPr>
      </w:pPr>
      <w:bookmarkStart w:id="218" w:name="_Toc5676"/>
      <w:r>
        <w:rPr>
          <w:rFonts w:hint="eastAsia" w:ascii="宋体" w:hAnsi="宋体" w:eastAsia="宋体" w:cs="宋体"/>
          <w:lang w:eastAsia="zh-CN"/>
        </w:rPr>
        <w:br w:type="page"/>
      </w:r>
    </w:p>
    <w:p w14:paraId="388A5D4B">
      <w:pPr>
        <w:pStyle w:val="5"/>
        <w:tabs>
          <w:tab w:val="left" w:pos="1283"/>
        </w:tabs>
        <w:spacing w:before="35" w:line="360" w:lineRule="auto"/>
        <w:jc w:val="center"/>
        <w:rPr>
          <w:rFonts w:hint="eastAsia" w:ascii="宋体" w:hAnsi="宋体" w:eastAsia="宋体" w:cs="宋体"/>
          <w:lang w:eastAsia="zh-CN"/>
        </w:rPr>
      </w:pPr>
      <w:r>
        <w:rPr>
          <w:rFonts w:hint="eastAsia" w:ascii="宋体" w:hAnsi="宋体" w:eastAsia="宋体" w:cs="宋体"/>
          <w:lang w:eastAsia="zh-CN"/>
        </w:rPr>
        <w:t>第六章评标标准</w:t>
      </w:r>
      <w:bookmarkEnd w:id="218"/>
    </w:p>
    <w:p w14:paraId="2F29DA04">
      <w:pPr>
        <w:ind w:left="524"/>
        <w:outlineLvl w:val="1"/>
        <w:rPr>
          <w:rFonts w:hint="eastAsia" w:ascii="宋体" w:hAnsi="宋体" w:eastAsia="宋体" w:cs="宋体"/>
          <w:b/>
          <w:sz w:val="24"/>
          <w:lang w:eastAsia="zh-CN"/>
        </w:rPr>
      </w:pPr>
      <w:bookmarkStart w:id="219" w:name="_Toc16037"/>
      <w:r>
        <w:rPr>
          <w:rFonts w:hint="eastAsia" w:ascii="宋体" w:hAnsi="宋体" w:eastAsia="宋体" w:cs="宋体"/>
          <w:b/>
          <w:sz w:val="24"/>
          <w:lang w:eastAsia="zh-CN"/>
        </w:rPr>
        <w:t>一、符合性审查</w:t>
      </w:r>
      <w:bookmarkEnd w:id="219"/>
    </w:p>
    <w:p w14:paraId="739DA823">
      <w:pPr>
        <w:spacing w:before="91"/>
        <w:ind w:left="764"/>
        <w:rPr>
          <w:rFonts w:hint="eastAsia" w:ascii="宋体" w:hAnsi="宋体" w:eastAsia="宋体" w:cs="宋体"/>
          <w:b/>
          <w:sz w:val="24"/>
          <w:lang w:eastAsia="zh-CN"/>
        </w:rPr>
      </w:pPr>
      <w:r>
        <w:rPr>
          <w:rFonts w:hint="eastAsia" w:ascii="宋体" w:hAnsi="宋体" w:eastAsia="宋体" w:cs="宋体"/>
          <w:b/>
          <w:sz w:val="24"/>
          <w:lang w:eastAsia="zh-CN"/>
        </w:rPr>
        <w:t>不符合下列情况之一的，其投标将作无效投标处理：</w:t>
      </w:r>
    </w:p>
    <w:p w14:paraId="02483B02">
      <w:pPr>
        <w:pStyle w:val="38"/>
        <w:numPr>
          <w:ilvl w:val="0"/>
          <w:numId w:val="26"/>
        </w:numPr>
        <w:tabs>
          <w:tab w:val="left" w:pos="885"/>
        </w:tabs>
        <w:spacing w:before="94"/>
        <w:rPr>
          <w:rFonts w:hint="eastAsia" w:ascii="宋体" w:hAnsi="宋体" w:eastAsia="宋体" w:cs="宋体"/>
          <w:sz w:val="24"/>
          <w:lang w:eastAsia="zh-CN"/>
        </w:rPr>
      </w:pPr>
      <w:r>
        <w:rPr>
          <w:rFonts w:hint="eastAsia" w:ascii="宋体" w:hAnsi="宋体" w:eastAsia="宋体" w:cs="宋体"/>
          <w:sz w:val="24"/>
          <w:lang w:eastAsia="zh-CN"/>
        </w:rPr>
        <w:t>通过电子化政府招标系统提交的投标文件须正常打开；</w:t>
      </w:r>
    </w:p>
    <w:p w14:paraId="280C6B9C">
      <w:pPr>
        <w:pStyle w:val="38"/>
        <w:numPr>
          <w:ilvl w:val="0"/>
          <w:numId w:val="26"/>
        </w:numPr>
        <w:tabs>
          <w:tab w:val="left" w:pos="885"/>
        </w:tabs>
        <w:spacing w:before="93"/>
        <w:rPr>
          <w:rFonts w:hint="eastAsia" w:ascii="宋体" w:hAnsi="宋体" w:eastAsia="宋体" w:cs="宋体"/>
          <w:sz w:val="24"/>
          <w:lang w:eastAsia="zh-CN"/>
        </w:rPr>
      </w:pPr>
      <w:r>
        <w:rPr>
          <w:rFonts w:hint="eastAsia" w:ascii="宋体" w:hAnsi="宋体" w:eastAsia="宋体" w:cs="宋体"/>
          <w:sz w:val="24"/>
          <w:lang w:eastAsia="zh-CN"/>
        </w:rPr>
        <w:t>须提交开标一览表、分项报价表、开标一览明细表，开标一览明细表中应列出分项报价；</w:t>
      </w:r>
    </w:p>
    <w:p w14:paraId="7F88F5C5">
      <w:pPr>
        <w:pStyle w:val="38"/>
        <w:numPr>
          <w:ilvl w:val="0"/>
          <w:numId w:val="26"/>
        </w:numPr>
        <w:tabs>
          <w:tab w:val="left" w:pos="885"/>
        </w:tabs>
        <w:spacing w:before="91"/>
        <w:rPr>
          <w:rFonts w:hint="eastAsia" w:ascii="宋体" w:hAnsi="宋体" w:eastAsia="宋体" w:cs="宋体"/>
          <w:sz w:val="24"/>
        </w:rPr>
      </w:pPr>
      <w:r>
        <w:rPr>
          <w:rFonts w:hint="eastAsia" w:ascii="宋体" w:hAnsi="宋体" w:eastAsia="宋体" w:cs="宋体"/>
          <w:sz w:val="24"/>
        </w:rPr>
        <w:t>须提交唯一固定报价；</w:t>
      </w:r>
    </w:p>
    <w:p w14:paraId="44497CF4">
      <w:pPr>
        <w:pStyle w:val="38"/>
        <w:numPr>
          <w:ilvl w:val="0"/>
          <w:numId w:val="26"/>
        </w:numPr>
        <w:tabs>
          <w:tab w:val="left" w:pos="885"/>
        </w:tabs>
        <w:spacing w:before="93"/>
        <w:rPr>
          <w:rFonts w:hint="eastAsia" w:ascii="宋体" w:hAnsi="宋体" w:eastAsia="宋体" w:cs="宋体"/>
          <w:sz w:val="24"/>
          <w:lang w:eastAsia="zh-CN"/>
        </w:rPr>
      </w:pPr>
      <w:r>
        <w:rPr>
          <w:rFonts w:hint="eastAsia" w:ascii="宋体" w:hAnsi="宋体" w:eastAsia="宋体" w:cs="宋体"/>
          <w:sz w:val="24"/>
          <w:lang w:eastAsia="zh-CN"/>
        </w:rPr>
        <w:t>投标报价不得超过政府招标项目预算；</w:t>
      </w:r>
    </w:p>
    <w:p w14:paraId="524B762E">
      <w:pPr>
        <w:pStyle w:val="38"/>
        <w:numPr>
          <w:ilvl w:val="0"/>
          <w:numId w:val="26"/>
        </w:numPr>
        <w:tabs>
          <w:tab w:val="left" w:pos="885"/>
        </w:tabs>
        <w:spacing w:before="93"/>
        <w:rPr>
          <w:rFonts w:hint="eastAsia" w:ascii="宋体" w:hAnsi="宋体" w:eastAsia="宋体" w:cs="宋体"/>
          <w:sz w:val="24"/>
          <w:lang w:eastAsia="zh-CN"/>
        </w:rPr>
      </w:pPr>
      <w:r>
        <w:rPr>
          <w:rFonts w:hint="eastAsia" w:ascii="宋体" w:hAnsi="宋体" w:eastAsia="宋体" w:cs="宋体"/>
          <w:sz w:val="24"/>
          <w:lang w:eastAsia="zh-CN"/>
        </w:rPr>
        <w:t>投标有效期应满足招标文件要求；</w:t>
      </w:r>
    </w:p>
    <w:p w14:paraId="34019EE0">
      <w:pPr>
        <w:pStyle w:val="38"/>
        <w:numPr>
          <w:ilvl w:val="0"/>
          <w:numId w:val="26"/>
        </w:numPr>
        <w:tabs>
          <w:tab w:val="left" w:pos="885"/>
        </w:tabs>
        <w:spacing w:before="91"/>
        <w:rPr>
          <w:rFonts w:hint="eastAsia" w:ascii="宋体" w:hAnsi="宋体" w:eastAsia="宋体" w:cs="宋体"/>
          <w:sz w:val="24"/>
          <w:lang w:eastAsia="zh-CN"/>
        </w:rPr>
      </w:pPr>
      <w:r>
        <w:rPr>
          <w:rFonts w:hint="eastAsia" w:ascii="宋体" w:hAnsi="宋体" w:eastAsia="宋体" w:cs="宋体"/>
          <w:spacing w:val="-5"/>
          <w:sz w:val="24"/>
          <w:lang w:eastAsia="zh-CN"/>
        </w:rPr>
        <w:t xml:space="preserve">应按招标文件“第四章格式 </w:t>
      </w:r>
      <w:r>
        <w:rPr>
          <w:rFonts w:hint="eastAsia" w:ascii="宋体" w:hAnsi="宋体" w:eastAsia="宋体" w:cs="宋体"/>
          <w:sz w:val="24"/>
          <w:lang w:eastAsia="zh-CN"/>
        </w:rPr>
        <w:t>7”的规定提供资格证明文件；</w:t>
      </w:r>
    </w:p>
    <w:p w14:paraId="3D38BAE3">
      <w:pPr>
        <w:pStyle w:val="38"/>
        <w:numPr>
          <w:ilvl w:val="0"/>
          <w:numId w:val="26"/>
        </w:numPr>
        <w:tabs>
          <w:tab w:val="left" w:pos="885"/>
        </w:tabs>
        <w:spacing w:before="94"/>
        <w:rPr>
          <w:rFonts w:hint="eastAsia" w:ascii="宋体" w:hAnsi="宋体" w:eastAsia="宋体" w:cs="宋体"/>
          <w:sz w:val="24"/>
          <w:lang w:eastAsia="zh-CN"/>
        </w:rPr>
      </w:pPr>
      <w:r>
        <w:rPr>
          <w:rFonts w:hint="eastAsia" w:ascii="宋体" w:hAnsi="宋体" w:eastAsia="宋体" w:cs="宋体"/>
          <w:sz w:val="24"/>
          <w:lang w:eastAsia="zh-CN"/>
        </w:rPr>
        <w:t>应按招标文件要求签字、签章，签字（签章）人应有法定代表人的有效委托；</w:t>
      </w:r>
    </w:p>
    <w:p w14:paraId="44666331">
      <w:pPr>
        <w:pStyle w:val="38"/>
        <w:numPr>
          <w:ilvl w:val="0"/>
          <w:numId w:val="26"/>
        </w:numPr>
        <w:tabs>
          <w:tab w:val="left" w:pos="885"/>
        </w:tabs>
        <w:spacing w:before="93"/>
        <w:rPr>
          <w:rFonts w:hint="eastAsia" w:ascii="宋体" w:hAnsi="宋体" w:eastAsia="宋体" w:cs="宋体"/>
          <w:sz w:val="24"/>
          <w:lang w:eastAsia="zh-CN"/>
        </w:rPr>
      </w:pPr>
      <w:r>
        <w:rPr>
          <w:rFonts w:hint="eastAsia" w:ascii="宋体" w:hAnsi="宋体" w:eastAsia="宋体" w:cs="宋体"/>
          <w:sz w:val="24"/>
          <w:lang w:eastAsia="zh-CN"/>
        </w:rPr>
        <w:t>响应内容不得与事实不符或虚假投标；</w:t>
      </w:r>
    </w:p>
    <w:p w14:paraId="26F828A4">
      <w:pPr>
        <w:pStyle w:val="38"/>
        <w:numPr>
          <w:ilvl w:val="0"/>
          <w:numId w:val="26"/>
        </w:numPr>
        <w:tabs>
          <w:tab w:val="left" w:pos="885"/>
        </w:tabs>
        <w:spacing w:before="91"/>
        <w:rPr>
          <w:rFonts w:hint="eastAsia" w:ascii="宋体" w:hAnsi="宋体" w:eastAsia="宋体" w:cs="宋体"/>
          <w:sz w:val="24"/>
          <w:lang w:eastAsia="zh-CN"/>
        </w:rPr>
      </w:pPr>
      <w:r>
        <w:rPr>
          <w:rFonts w:hint="eastAsia" w:ascii="宋体" w:hAnsi="宋体" w:eastAsia="宋体" w:cs="宋体"/>
          <w:sz w:val="24"/>
          <w:lang w:eastAsia="zh-CN"/>
        </w:rPr>
        <w:t>没有招标文件规定的其它无效投标情形。</w:t>
      </w:r>
    </w:p>
    <w:p w14:paraId="193BED41">
      <w:pPr>
        <w:pStyle w:val="8"/>
        <w:rPr>
          <w:rFonts w:hint="eastAsia" w:ascii="宋体" w:hAnsi="宋体" w:eastAsia="宋体" w:cs="宋体"/>
          <w:lang w:eastAsia="zh-CN"/>
        </w:rPr>
      </w:pPr>
    </w:p>
    <w:p w14:paraId="2B0989A4">
      <w:pPr>
        <w:pStyle w:val="7"/>
        <w:rPr>
          <w:rFonts w:hint="eastAsia" w:ascii="宋体" w:hAnsi="宋体" w:eastAsia="宋体" w:cs="宋体"/>
          <w:lang w:eastAsia="zh-CN"/>
        </w:rPr>
      </w:pPr>
      <w:r>
        <w:rPr>
          <w:rFonts w:hint="eastAsia" w:ascii="宋体" w:hAnsi="宋体" w:eastAsia="宋体" w:cs="宋体"/>
          <w:lang w:eastAsia="zh-CN"/>
        </w:rPr>
        <w:t>废标情形</w:t>
      </w:r>
    </w:p>
    <w:p w14:paraId="27F226CE">
      <w:pPr>
        <w:pStyle w:val="8"/>
        <w:spacing w:before="125"/>
        <w:ind w:left="524"/>
        <w:rPr>
          <w:rFonts w:hint="eastAsia" w:ascii="宋体" w:hAnsi="宋体" w:eastAsia="宋体" w:cs="宋体"/>
          <w:lang w:eastAsia="zh-CN"/>
        </w:rPr>
      </w:pPr>
      <w:r>
        <w:rPr>
          <w:rFonts w:hint="eastAsia" w:ascii="宋体" w:hAnsi="宋体" w:eastAsia="宋体" w:cs="宋体"/>
          <w:lang w:eastAsia="zh-CN"/>
        </w:rPr>
        <w:t>在招标招标中，出现下列情形之一的，应予废标：</w:t>
      </w:r>
    </w:p>
    <w:p w14:paraId="0FC77897">
      <w:pPr>
        <w:pStyle w:val="8"/>
        <w:spacing w:before="131"/>
        <w:ind w:left="764"/>
        <w:rPr>
          <w:rFonts w:hint="eastAsia" w:ascii="宋体" w:hAnsi="宋体" w:eastAsia="宋体" w:cs="宋体"/>
          <w:lang w:eastAsia="zh-CN"/>
        </w:rPr>
      </w:pPr>
      <w:r>
        <w:rPr>
          <w:rFonts w:hint="eastAsia" w:ascii="宋体" w:hAnsi="宋体" w:eastAsia="宋体" w:cs="宋体"/>
          <w:lang w:eastAsia="zh-CN"/>
        </w:rPr>
        <w:t>1）符合专业条件的供应商或者对招标文件作实质响应的供应商不足三家的；</w:t>
      </w:r>
    </w:p>
    <w:p w14:paraId="726A04D4">
      <w:pPr>
        <w:pStyle w:val="8"/>
        <w:spacing w:before="132"/>
        <w:ind w:left="764"/>
        <w:rPr>
          <w:rFonts w:hint="eastAsia" w:ascii="宋体" w:hAnsi="宋体" w:eastAsia="宋体" w:cs="宋体"/>
          <w:lang w:eastAsia="zh-CN"/>
        </w:rPr>
      </w:pPr>
      <w:r>
        <w:rPr>
          <w:rFonts w:hint="eastAsia" w:ascii="宋体" w:hAnsi="宋体" w:eastAsia="宋体" w:cs="宋体"/>
          <w:lang w:eastAsia="zh-CN"/>
        </w:rPr>
        <w:t>2）出现影响招标公正的违法、违规行为的；</w:t>
      </w:r>
    </w:p>
    <w:p w14:paraId="68484042">
      <w:pPr>
        <w:pStyle w:val="8"/>
        <w:spacing w:before="134"/>
        <w:ind w:left="764"/>
        <w:rPr>
          <w:rFonts w:hint="eastAsia" w:ascii="宋体" w:hAnsi="宋体" w:eastAsia="宋体" w:cs="宋体"/>
          <w:lang w:eastAsia="zh-CN"/>
        </w:rPr>
      </w:pPr>
      <w:r>
        <w:rPr>
          <w:rFonts w:hint="eastAsia" w:ascii="宋体" w:hAnsi="宋体" w:eastAsia="宋体" w:cs="宋体"/>
          <w:lang w:eastAsia="zh-CN"/>
        </w:rPr>
        <w:t>3）投标人的报价均超过了招标预算，招标人不能支付的；</w:t>
      </w:r>
    </w:p>
    <w:p w14:paraId="36D61EEF">
      <w:pPr>
        <w:pStyle w:val="8"/>
        <w:spacing w:before="132"/>
        <w:ind w:left="764"/>
        <w:rPr>
          <w:rFonts w:hint="eastAsia" w:ascii="宋体" w:hAnsi="宋体" w:eastAsia="宋体" w:cs="宋体"/>
          <w:lang w:eastAsia="zh-CN"/>
        </w:rPr>
      </w:pPr>
      <w:r>
        <w:rPr>
          <w:rFonts w:hint="eastAsia" w:ascii="宋体" w:hAnsi="宋体" w:eastAsia="宋体" w:cs="宋体"/>
          <w:lang w:eastAsia="zh-CN"/>
        </w:rPr>
        <w:t>4）因重大变故，招标任务取消。</w:t>
      </w:r>
    </w:p>
    <w:p w14:paraId="4F6D936F">
      <w:pPr>
        <w:pStyle w:val="8"/>
        <w:rPr>
          <w:rFonts w:hint="eastAsia" w:ascii="宋体" w:hAnsi="宋体" w:eastAsia="宋体" w:cs="宋体"/>
          <w:lang w:eastAsia="zh-CN"/>
        </w:rPr>
      </w:pPr>
    </w:p>
    <w:p w14:paraId="39BDF6A5">
      <w:pPr>
        <w:pStyle w:val="8"/>
        <w:spacing w:before="180" w:line="379" w:lineRule="auto"/>
        <w:ind w:left="524" w:right="1137" w:firstLine="480"/>
        <w:jc w:val="both"/>
        <w:rPr>
          <w:rFonts w:hint="eastAsia"/>
          <w:lang w:eastAsia="zh-CN"/>
        </w:rPr>
      </w:pPr>
      <w:bookmarkStart w:id="220" w:name="一、价格评议（10分）"/>
      <w:bookmarkEnd w:id="220"/>
    </w:p>
    <w:p w14:paraId="60982D9F">
      <w:pPr>
        <w:spacing w:line="379" w:lineRule="auto"/>
        <w:jc w:val="both"/>
        <w:rPr>
          <w:rFonts w:hint="eastAsia"/>
          <w:lang w:eastAsia="zh-CN"/>
        </w:rPr>
        <w:sectPr>
          <w:footerReference r:id="rId9" w:type="default"/>
          <w:pgSz w:w="11910" w:h="16840"/>
          <w:pgMar w:top="1440" w:right="1080" w:bottom="1440" w:left="1080" w:header="0" w:footer="944" w:gutter="0"/>
          <w:cols w:space="720" w:num="1"/>
        </w:sectPr>
      </w:pPr>
    </w:p>
    <w:p w14:paraId="2A7B766D">
      <w:pPr>
        <w:pStyle w:val="5"/>
        <w:spacing w:before="32"/>
        <w:ind w:left="1039" w:right="0"/>
        <w:jc w:val="center"/>
        <w:rPr>
          <w:rFonts w:hint="eastAsia"/>
          <w:lang w:eastAsia="zh-CN"/>
        </w:rPr>
      </w:pPr>
      <w:r>
        <w:rPr>
          <w:lang w:eastAsia="zh-CN"/>
        </w:rPr>
        <w:t>二、评分标准</w:t>
      </w:r>
    </w:p>
    <w:p w14:paraId="5D7AF023">
      <w:pPr>
        <w:spacing w:line="360" w:lineRule="auto"/>
        <w:rPr>
          <w:rFonts w:hint="eastAsia"/>
          <w:sz w:val="24"/>
          <w:szCs w:val="24"/>
          <w:lang w:eastAsia="zh-CN"/>
        </w:rPr>
      </w:pPr>
      <w:r>
        <w:rPr>
          <w:rFonts w:hint="eastAsia"/>
          <w:bCs/>
          <w:sz w:val="24"/>
          <w:szCs w:val="24"/>
          <w:lang w:eastAsia="zh-CN"/>
        </w:rPr>
        <w:t>评审办法:</w:t>
      </w:r>
      <w:r>
        <w:rPr>
          <w:rFonts w:hint="eastAsia"/>
          <w:b/>
          <w:sz w:val="24"/>
          <w:szCs w:val="24"/>
          <w:lang w:eastAsia="zh-CN"/>
        </w:rPr>
        <w:t>综合评分法</w:t>
      </w:r>
    </w:p>
    <w:tbl>
      <w:tblPr>
        <w:tblStyle w:val="22"/>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7389"/>
        <w:gridCol w:w="668"/>
      </w:tblGrid>
      <w:tr w14:paraId="3A89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81" w:type="dxa"/>
            <w:vAlign w:val="center"/>
          </w:tcPr>
          <w:p w14:paraId="505B65ED">
            <w:pPr>
              <w:autoSpaceDE/>
              <w:autoSpaceDN/>
              <w:jc w:val="center"/>
              <w:rPr>
                <w:rFonts w:hint="eastAsia" w:asciiTheme="minorEastAsia" w:hAnsiTheme="minorEastAsia" w:eastAsiaTheme="minorEastAsia" w:cstheme="minorEastAsia"/>
                <w:b/>
                <w:bCs/>
                <w:color w:val="auto"/>
                <w:sz w:val="21"/>
                <w:szCs w:val="21"/>
              </w:rPr>
            </w:pPr>
            <w:bookmarkStart w:id="221" w:name="_Toc2482"/>
            <w:r>
              <w:rPr>
                <w:rFonts w:hint="eastAsia" w:asciiTheme="minorEastAsia" w:hAnsiTheme="minorEastAsia" w:eastAsiaTheme="minorEastAsia" w:cstheme="minorEastAsia"/>
                <w:b/>
                <w:bCs/>
                <w:color w:val="auto"/>
                <w:sz w:val="21"/>
                <w:szCs w:val="21"/>
              </w:rPr>
              <w:t>评标指标</w:t>
            </w:r>
          </w:p>
        </w:tc>
        <w:tc>
          <w:tcPr>
            <w:tcW w:w="7389" w:type="dxa"/>
            <w:vAlign w:val="center"/>
          </w:tcPr>
          <w:p w14:paraId="5D620E90">
            <w:pPr>
              <w:autoSpaceDE/>
              <w:autoSpaceDN/>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评议内容</w:t>
            </w:r>
          </w:p>
        </w:tc>
        <w:tc>
          <w:tcPr>
            <w:tcW w:w="668" w:type="dxa"/>
            <w:vAlign w:val="center"/>
          </w:tcPr>
          <w:p w14:paraId="15D57F82">
            <w:pPr>
              <w:autoSpaceDE/>
              <w:autoSpaceDN/>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分值</w:t>
            </w:r>
          </w:p>
        </w:tc>
      </w:tr>
      <w:tr w14:paraId="0640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38" w:type="dxa"/>
            <w:gridSpan w:val="3"/>
            <w:vAlign w:val="center"/>
          </w:tcPr>
          <w:p w14:paraId="44157546">
            <w:pPr>
              <w:autoSpaceDE/>
              <w:autoSpaceDN/>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（一）价格部分（</w:t>
            </w: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lang w:eastAsia="zh-CN"/>
              </w:rPr>
              <w:t>0</w:t>
            </w:r>
            <w:r>
              <w:rPr>
                <w:rFonts w:hint="eastAsia" w:asciiTheme="minorEastAsia" w:hAnsiTheme="minorEastAsia" w:eastAsiaTheme="minorEastAsia" w:cstheme="minorEastAsia"/>
                <w:b/>
                <w:bCs/>
                <w:color w:val="auto"/>
                <w:sz w:val="21"/>
                <w:szCs w:val="21"/>
              </w:rPr>
              <w:t>分）</w:t>
            </w:r>
          </w:p>
        </w:tc>
      </w:tr>
      <w:tr w14:paraId="07BF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1281" w:type="dxa"/>
            <w:vAlign w:val="center"/>
          </w:tcPr>
          <w:p w14:paraId="013CBAAA">
            <w:pPr>
              <w:pStyle w:val="5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投标报价</w:t>
            </w:r>
          </w:p>
        </w:tc>
        <w:tc>
          <w:tcPr>
            <w:tcW w:w="7389" w:type="dxa"/>
            <w:vAlign w:val="center"/>
          </w:tcPr>
          <w:p w14:paraId="11D1BCEA">
            <w:pPr>
              <w:adjustRightInd w:val="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价格分采用低价优先法计算，即满足招标文件要求且投标价格最低的投标报价为评标基准价，其价格分为满分。其他投标人的价格分统一按下列公式计算：</w:t>
            </w:r>
          </w:p>
          <w:p w14:paraId="3649167B">
            <w:pPr>
              <w:adjustRightInd w:val="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投标报价得分=（评标基准价/投标报价）×</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0分；计算分数时四舍五入取小数点后两位。</w:t>
            </w:r>
          </w:p>
          <w:p w14:paraId="2CF037E0">
            <w:pPr>
              <w:adjustRightInd w:val="0"/>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按投标无效处理。</w:t>
            </w:r>
          </w:p>
        </w:tc>
        <w:tc>
          <w:tcPr>
            <w:tcW w:w="668" w:type="dxa"/>
            <w:vAlign w:val="center"/>
          </w:tcPr>
          <w:p w14:paraId="169C5D9A">
            <w:pPr>
              <w:pStyle w:val="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0</w:t>
            </w:r>
            <w:r>
              <w:rPr>
                <w:rFonts w:hint="eastAsia" w:asciiTheme="minorEastAsia" w:hAnsiTheme="minorEastAsia" w:eastAsiaTheme="minorEastAsia" w:cstheme="minorEastAsia"/>
                <w:color w:val="auto"/>
                <w:sz w:val="21"/>
                <w:szCs w:val="21"/>
              </w:rPr>
              <w:t>分</w:t>
            </w:r>
          </w:p>
        </w:tc>
      </w:tr>
      <w:tr w14:paraId="4F23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38" w:type="dxa"/>
            <w:gridSpan w:val="3"/>
            <w:vAlign w:val="center"/>
          </w:tcPr>
          <w:p w14:paraId="5A7ED7A1">
            <w:pPr>
              <w:widowControl/>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color w:val="auto"/>
                <w:sz w:val="21"/>
                <w:szCs w:val="21"/>
                <w:lang w:eastAsia="zh-CN"/>
              </w:rPr>
              <w:t>（二）技术部分（</w:t>
            </w:r>
            <w:r>
              <w:rPr>
                <w:rFonts w:hint="eastAsia" w:asciiTheme="minorEastAsia" w:hAnsiTheme="minorEastAsia" w:eastAsiaTheme="minorEastAsia" w:cstheme="minorEastAsia"/>
                <w:b/>
                <w:color w:val="auto"/>
                <w:sz w:val="21"/>
                <w:szCs w:val="21"/>
                <w:lang w:val="en-US" w:eastAsia="zh-CN"/>
              </w:rPr>
              <w:t>6</w:t>
            </w:r>
            <w:r>
              <w:rPr>
                <w:rFonts w:hint="eastAsia" w:asciiTheme="minorEastAsia" w:hAnsiTheme="minorEastAsia" w:eastAsiaTheme="minorEastAsia" w:cstheme="minorEastAsia"/>
                <w:b/>
                <w:color w:val="auto"/>
                <w:sz w:val="21"/>
                <w:szCs w:val="21"/>
                <w:lang w:eastAsia="zh-CN"/>
              </w:rPr>
              <w:t>0分）</w:t>
            </w:r>
          </w:p>
        </w:tc>
      </w:tr>
      <w:tr w14:paraId="5D09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281" w:type="dxa"/>
            <w:vAlign w:val="center"/>
          </w:tcPr>
          <w:p w14:paraId="1343232B">
            <w:pPr>
              <w:widowControl/>
              <w:adjustRightInd w:val="0"/>
              <w:snapToGrid w:val="0"/>
              <w:spacing w:line="360" w:lineRule="auto"/>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bCs/>
                <w:color w:val="auto"/>
                <w:sz w:val="21"/>
                <w:szCs w:val="21"/>
              </w:rPr>
              <w:t>技术</w:t>
            </w:r>
            <w:r>
              <w:rPr>
                <w:rFonts w:hint="eastAsia" w:asciiTheme="minorEastAsia" w:hAnsiTheme="minorEastAsia" w:eastAsiaTheme="minorEastAsia" w:cstheme="minorEastAsia"/>
                <w:b/>
                <w:bCs/>
                <w:color w:val="auto"/>
                <w:sz w:val="21"/>
                <w:szCs w:val="21"/>
                <w:lang w:eastAsia="zh-CN"/>
              </w:rPr>
              <w:t>基本要求</w:t>
            </w:r>
          </w:p>
        </w:tc>
        <w:tc>
          <w:tcPr>
            <w:tcW w:w="7389" w:type="dxa"/>
            <w:vAlign w:val="center"/>
          </w:tcPr>
          <w:p w14:paraId="11A8EBAF">
            <w:pPr>
              <w:widowControl/>
              <w:adjustRightInd w:val="0"/>
              <w:snapToGrid w:val="0"/>
              <w:spacing w:line="36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投标人全部响应招标文件中“第五章招标需求”中“（一）招标需求”内容的。否则作无效投标处理。</w:t>
            </w:r>
          </w:p>
          <w:p w14:paraId="186661DB">
            <w:pPr>
              <w:pStyle w:val="52"/>
              <w:widowControl/>
              <w:adjustRightInd w:val="0"/>
              <w:snapToGrid w:val="0"/>
              <w:spacing w:line="360" w:lineRule="atLeast"/>
              <w:ind w:left="0" w:leftChars="0" w:firstLine="0" w:firstLineChars="0"/>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bCs/>
                <w:color w:val="auto"/>
                <w:sz w:val="21"/>
                <w:szCs w:val="21"/>
                <w:lang w:eastAsia="zh-CN"/>
              </w:rPr>
              <w:t>评审依据：投标文件中“技术响应/偏离表”及投标人必须提供的相应佐证材料</w:t>
            </w:r>
            <w:r>
              <w:rPr>
                <w:rFonts w:hint="eastAsia" w:asciiTheme="minorEastAsia" w:hAnsiTheme="minorEastAsia" w:eastAsiaTheme="minorEastAsia" w:cstheme="minorEastAsia"/>
                <w:b/>
                <w:bCs/>
                <w:color w:val="auto"/>
                <w:kern w:val="2"/>
                <w:sz w:val="21"/>
                <w:szCs w:val="21"/>
                <w:lang w:eastAsia="zh-CN"/>
              </w:rPr>
              <w:t>并加盖投标人公章</w:t>
            </w:r>
            <w:r>
              <w:rPr>
                <w:rFonts w:hint="eastAsia" w:asciiTheme="minorEastAsia" w:hAnsiTheme="minorEastAsia" w:eastAsiaTheme="minorEastAsia" w:cstheme="minorEastAsia"/>
                <w:b/>
                <w:bCs/>
                <w:color w:val="auto"/>
                <w:sz w:val="21"/>
                <w:szCs w:val="21"/>
                <w:lang w:eastAsia="zh-CN"/>
              </w:rPr>
              <w:t>为依据，未提供视为不响应文件要求。</w:t>
            </w:r>
          </w:p>
        </w:tc>
        <w:tc>
          <w:tcPr>
            <w:tcW w:w="668" w:type="dxa"/>
            <w:vAlign w:val="center"/>
          </w:tcPr>
          <w:p w14:paraId="2AC4DAC3">
            <w:pPr>
              <w:widowControl/>
              <w:tabs>
                <w:tab w:val="left" w:pos="945"/>
                <w:tab w:val="left" w:pos="1050"/>
              </w:tabs>
              <w:adjustRightInd w:val="0"/>
              <w:snapToGrid w:val="0"/>
              <w:spacing w:line="360" w:lineRule="auto"/>
              <w:jc w:val="center"/>
              <w:rPr>
                <w:rFonts w:hint="eastAsia" w:asciiTheme="minorEastAsia" w:hAnsiTheme="minorEastAsia" w:eastAsiaTheme="minorEastAsia" w:cstheme="minorEastAsia"/>
                <w:b/>
                <w:color w:val="auto"/>
                <w:sz w:val="21"/>
                <w:szCs w:val="21"/>
                <w:lang w:eastAsia="zh-CN"/>
              </w:rPr>
            </w:pPr>
          </w:p>
        </w:tc>
      </w:tr>
      <w:tr w14:paraId="4EAD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281" w:type="dxa"/>
            <w:vAlign w:val="center"/>
          </w:tcPr>
          <w:p w14:paraId="460D0ADC">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2"/>
                <w:sz w:val="21"/>
                <w:szCs w:val="21"/>
                <w:lang w:eastAsia="zh-CN"/>
              </w:rPr>
              <w:t>项目理解</w:t>
            </w:r>
          </w:p>
        </w:tc>
        <w:tc>
          <w:tcPr>
            <w:tcW w:w="7389" w:type="dxa"/>
            <w:vAlign w:val="center"/>
          </w:tcPr>
          <w:p w14:paraId="7D6670AF">
            <w:pPr>
              <w:pStyle w:val="52"/>
              <w:widowControl/>
              <w:numPr>
                <w:ilvl w:val="0"/>
                <w:numId w:val="27"/>
              </w:numPr>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投标人根据本项目要求及特征，对项目实施现场的客观条件以及环境进行的现场调查，对本项目现有情况和影响服务或报价的因素以及困难条件进行踏勘和研究，做出判断结论和估价,对招标人和项目的需求能深入分析,踏勘全面，了解充分，依据完善，分析透彻的得2.5分；踏勘较全面，了解较充分，依据较完善，分析较透彻的得1.5分；一般的得0.5分。</w:t>
            </w:r>
          </w:p>
          <w:p w14:paraId="5DFDF6D0">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评审依据:提供项目分析解读文案并配项目现场情况照片(包括但不限于道路状况、雨污水井、泵站状况并备注道路区域)，未提供不得分。</w:t>
            </w:r>
          </w:p>
          <w:p w14:paraId="72F27289">
            <w:pPr>
              <w:pStyle w:val="52"/>
              <w:widowControl/>
              <w:numPr>
                <w:ilvl w:val="0"/>
                <w:numId w:val="27"/>
              </w:numPr>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项目分析解读文案对项目的整体情况把握清楚，对项目实施的重点难点、要点的阐述准确图文并茂，提出的解决方案实用、高效的，得2.5分；提出解决方案可行，得1.5分;提出解决方案不可行或未提出解决方案不得分。</w:t>
            </w:r>
          </w:p>
          <w:p w14:paraId="5A20DDF7">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评审依据:提供阐述文案并加盖投标人公章，未提供不得分。</w:t>
            </w:r>
          </w:p>
        </w:tc>
        <w:tc>
          <w:tcPr>
            <w:tcW w:w="668" w:type="dxa"/>
            <w:vAlign w:val="center"/>
          </w:tcPr>
          <w:p w14:paraId="39F031A9">
            <w:pPr>
              <w:tabs>
                <w:tab w:val="left" w:pos="945"/>
                <w:tab w:val="left" w:pos="1050"/>
              </w:tabs>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5分</w:t>
            </w:r>
          </w:p>
        </w:tc>
      </w:tr>
      <w:tr w14:paraId="79EF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281" w:type="dxa"/>
            <w:vAlign w:val="center"/>
          </w:tcPr>
          <w:p w14:paraId="017FD754">
            <w:pPr>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项目总体实施方案</w:t>
            </w:r>
          </w:p>
        </w:tc>
        <w:tc>
          <w:tcPr>
            <w:tcW w:w="7389" w:type="dxa"/>
            <w:vAlign w:val="center"/>
          </w:tcPr>
          <w:p w14:paraId="20746A77">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排水管道检测、清淤技术方案:投标人根据本项目要求及现场踏勘实际情况，能提供合理的技术路线，对流程理解清晰、描述准确，能充分体现项目实施目标;提供的技术方案完整、合理、明确，最优得1分，良得0.5分，一般得0.25分；</w:t>
            </w:r>
          </w:p>
          <w:p w14:paraId="2D250C82">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2、项目实施方案：投标人根据本项目要求及现场踏勘实际情况，提供分步分项实施方案，方案详细、设计合理、可操作性强、针对性强的得1分，方案较详细、设计较合理、可操作性较强、针对性较强的得0.5分，一般得0.25分；</w:t>
            </w:r>
          </w:p>
          <w:p w14:paraId="015D9BD4">
            <w:pPr>
              <w:pStyle w:val="52"/>
              <w:widowControl/>
              <w:autoSpaceDE/>
              <w:autoSpaceDN/>
              <w:adjustRightInd w:val="0"/>
              <w:snapToGrid w:val="0"/>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3、工期计划及质量保证措施:投标人根据本项目要求及现场踏勘实际情况，拟定的工期计划及质量保证措施，方案详细科学合理、针对性强的得1分，较科学合理、针对性较强的得0.5分，一般的得0.25 分；</w:t>
            </w:r>
          </w:p>
          <w:p w14:paraId="7F2FBF82">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4、安全施工方案及措施:投标人根据本项目要求及现场踏勘实际情况，拟定针对本项目安全施工方案及措施，安全人员设置、安全防护措施、安全台账记录、交通维护措施、安全责任承诺。方案全面，科学规范的得1分，较全面、较科学规范的得0.5分，一般的得0.25 分；</w:t>
            </w:r>
          </w:p>
          <w:p w14:paraId="65D2DC38">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5、工程质量违约责任承诺:投标人根据本项目情况及招标人需求,拟定的工程质量违约责任,完整详细科学合理的得 1分，较完整、较合理的得0.5分，-般的得 0.25 分。</w:t>
            </w:r>
          </w:p>
          <w:p w14:paraId="65573306">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评审依据:提供项目总体实施方案并加盖投标人公章，方案不可行或未提供的，不得分。</w:t>
            </w:r>
          </w:p>
        </w:tc>
        <w:tc>
          <w:tcPr>
            <w:tcW w:w="668" w:type="dxa"/>
            <w:vAlign w:val="center"/>
          </w:tcPr>
          <w:p w14:paraId="5D4D4F7C">
            <w:pPr>
              <w:tabs>
                <w:tab w:val="left" w:pos="945"/>
                <w:tab w:val="left" w:pos="1050"/>
              </w:tabs>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5分</w:t>
            </w:r>
          </w:p>
        </w:tc>
      </w:tr>
      <w:tr w14:paraId="6543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281" w:type="dxa"/>
            <w:vAlign w:val="center"/>
          </w:tcPr>
          <w:p w14:paraId="67BFBE71">
            <w:pPr>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拟派本项目技术团队</w:t>
            </w:r>
          </w:p>
        </w:tc>
        <w:tc>
          <w:tcPr>
            <w:tcW w:w="7389" w:type="dxa"/>
            <w:vAlign w:val="center"/>
          </w:tcPr>
          <w:p w14:paraId="41F9EDC3">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1、拟派本项目技术团队(检测组)8分:</w:t>
            </w:r>
          </w:p>
          <w:p w14:paraId="2C231D38">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(1)拟派检测组组长具有市政管道养护高级及以上工程师证书、有毒有害有限空间作业证、城镇排水管道检测与评估，每提供一个证件得2分，本项最高得6分;</w:t>
            </w:r>
          </w:p>
          <w:p w14:paraId="5A24BCD7">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(2)拟派检测组成员中具有地下管线检测评估中级及以上工程师证书，每提供1名得2分，本项最高得2分。</w:t>
            </w:r>
          </w:p>
          <w:p w14:paraId="4E6D7998">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2、拟派本项目技术团队(清淤组)</w:t>
            </w:r>
            <w:r>
              <w:rPr>
                <w:rFonts w:hint="eastAsia" w:asciiTheme="minorEastAsia" w:hAnsiTheme="minorEastAsia" w:eastAsiaTheme="minorEastAsia" w:cstheme="minorEastAsia"/>
                <w:color w:val="auto"/>
                <w:kern w:val="2"/>
                <w:sz w:val="21"/>
                <w:szCs w:val="21"/>
                <w:lang w:val="en-US" w:eastAsia="zh-CN"/>
              </w:rPr>
              <w:t>9</w:t>
            </w:r>
            <w:r>
              <w:rPr>
                <w:rFonts w:hint="eastAsia" w:asciiTheme="minorEastAsia" w:hAnsiTheme="minorEastAsia" w:eastAsiaTheme="minorEastAsia" w:cstheme="minorEastAsia"/>
                <w:color w:val="auto"/>
                <w:kern w:val="2"/>
                <w:sz w:val="21"/>
                <w:szCs w:val="21"/>
                <w:lang w:eastAsia="zh-CN"/>
              </w:rPr>
              <w:t>分:</w:t>
            </w:r>
          </w:p>
          <w:p w14:paraId="58DE8EDD">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(1)拟派清淤组组长同时具有有毒有害有限空间作业证、市政管道施工高级及以上工程师证书的得</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分，本项最高得</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分;</w:t>
            </w:r>
          </w:p>
          <w:p w14:paraId="6D1B9B89">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(2)拟派清淤组成员中</w:t>
            </w:r>
            <w:r>
              <w:rPr>
                <w:rFonts w:hint="eastAsia" w:asciiTheme="minorEastAsia" w:hAnsiTheme="minorEastAsia" w:eastAsiaTheme="minorEastAsia" w:cstheme="minorEastAsia"/>
                <w:color w:val="auto"/>
                <w:kern w:val="2"/>
                <w:sz w:val="21"/>
                <w:szCs w:val="21"/>
                <w:highlight w:val="none"/>
                <w:lang w:eastAsia="zh-CN"/>
              </w:rPr>
              <w:t>具有市政管道养护</w:t>
            </w:r>
            <w:r>
              <w:rPr>
                <w:rFonts w:hint="eastAsia" w:asciiTheme="minorEastAsia" w:hAnsiTheme="minorEastAsia" w:eastAsiaTheme="minorEastAsia" w:cstheme="minorEastAsia"/>
                <w:color w:val="auto"/>
                <w:kern w:val="2"/>
                <w:sz w:val="21"/>
                <w:szCs w:val="21"/>
                <w:highlight w:val="none"/>
                <w:lang w:val="en-US" w:eastAsia="zh-CN"/>
              </w:rPr>
              <w:t>类</w:t>
            </w:r>
            <w:r>
              <w:rPr>
                <w:rFonts w:hint="eastAsia" w:asciiTheme="minorEastAsia" w:hAnsiTheme="minorEastAsia" w:eastAsiaTheme="minorEastAsia" w:cstheme="minorEastAsia"/>
                <w:color w:val="auto"/>
                <w:kern w:val="2"/>
                <w:sz w:val="21"/>
                <w:szCs w:val="21"/>
                <w:highlight w:val="none"/>
                <w:lang w:eastAsia="zh-CN"/>
              </w:rPr>
              <w:t>中级</w:t>
            </w:r>
            <w:r>
              <w:rPr>
                <w:rFonts w:hint="eastAsia" w:asciiTheme="minorEastAsia" w:hAnsiTheme="minorEastAsia" w:eastAsiaTheme="minorEastAsia" w:cstheme="minorEastAsia"/>
                <w:color w:val="auto"/>
                <w:kern w:val="2"/>
                <w:sz w:val="21"/>
                <w:szCs w:val="21"/>
                <w:highlight w:val="none"/>
                <w:lang w:val="en-US" w:eastAsia="zh-CN"/>
              </w:rPr>
              <w:t>及</w:t>
            </w:r>
            <w:r>
              <w:rPr>
                <w:rFonts w:hint="eastAsia" w:asciiTheme="minorEastAsia" w:hAnsiTheme="minorEastAsia" w:eastAsiaTheme="minorEastAsia" w:cstheme="minorEastAsia"/>
                <w:color w:val="auto"/>
                <w:kern w:val="2"/>
                <w:sz w:val="21"/>
                <w:szCs w:val="21"/>
                <w:highlight w:val="none"/>
                <w:lang w:eastAsia="zh-CN"/>
              </w:rPr>
              <w:t>以上工程师证书，</w:t>
            </w:r>
            <w:r>
              <w:rPr>
                <w:rFonts w:hint="eastAsia" w:asciiTheme="minorEastAsia" w:hAnsiTheme="minorEastAsia" w:eastAsiaTheme="minorEastAsia" w:cstheme="minorEastAsia"/>
                <w:color w:val="auto"/>
                <w:kern w:val="2"/>
                <w:sz w:val="21"/>
                <w:szCs w:val="21"/>
                <w:lang w:eastAsia="zh-CN"/>
              </w:rPr>
              <w:t>每提供1名得1分，本项最高得2分;</w:t>
            </w:r>
          </w:p>
          <w:p w14:paraId="572ABC25">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(3)拟派清淤组成员中具有安全员考核合格证书，每提供1名得1分，本项最高得1分;</w:t>
            </w:r>
          </w:p>
          <w:p w14:paraId="1D80CE81">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(4)拟派清淤组成员中同时具有有毒有害有限空间作业证、潜水员证的，每提供1名得1分，本项最高得</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分;</w:t>
            </w:r>
          </w:p>
          <w:p w14:paraId="717EF663">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(5)拟派清淤组成员中同时具有有毒有害有限空间作业证、司泵工合格证书的，每提供1名得1分，本项最高得</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分。</w:t>
            </w:r>
          </w:p>
          <w:p w14:paraId="2EBF37C4">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3、拟派本项目技术团队(测绘组)</w:t>
            </w:r>
            <w:r>
              <w:rPr>
                <w:rFonts w:hint="eastAsia" w:asciiTheme="minorEastAsia" w:hAnsiTheme="minorEastAsia" w:eastAsiaTheme="minorEastAsia" w:cstheme="minorEastAsia"/>
                <w:color w:val="auto"/>
                <w:kern w:val="2"/>
                <w:sz w:val="21"/>
                <w:szCs w:val="21"/>
                <w:lang w:val="en-US" w:eastAsia="zh-CN"/>
              </w:rPr>
              <w:t>3</w:t>
            </w:r>
            <w:r>
              <w:rPr>
                <w:rFonts w:hint="eastAsia" w:asciiTheme="minorEastAsia" w:hAnsiTheme="minorEastAsia" w:eastAsiaTheme="minorEastAsia" w:cstheme="minorEastAsia"/>
                <w:color w:val="auto"/>
                <w:kern w:val="2"/>
                <w:sz w:val="21"/>
                <w:szCs w:val="21"/>
                <w:lang w:eastAsia="zh-CN"/>
              </w:rPr>
              <w:t>分:</w:t>
            </w:r>
          </w:p>
          <w:p w14:paraId="78CB2128">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(1)拟派测绘组组长具备测绘类相关专业高级职称证或‌地理信息测绘工程师证，得</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分，本项最高得</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分;</w:t>
            </w:r>
          </w:p>
          <w:p w14:paraId="23C3FC43">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(2)拟派测绘组成员中</w:t>
            </w:r>
            <w:r>
              <w:rPr>
                <w:rFonts w:hint="eastAsia" w:asciiTheme="minorEastAsia" w:hAnsiTheme="minorEastAsia" w:eastAsiaTheme="minorEastAsia" w:cstheme="minorEastAsia"/>
                <w:color w:val="auto"/>
                <w:kern w:val="2"/>
                <w:sz w:val="21"/>
                <w:szCs w:val="21"/>
                <w:highlight w:val="none"/>
                <w:lang w:eastAsia="zh-CN"/>
              </w:rPr>
              <w:t>具有测绘类中级职称或地理信息测绘工程师证</w:t>
            </w:r>
            <w:r>
              <w:rPr>
                <w:rFonts w:hint="eastAsia" w:asciiTheme="minorEastAsia" w:hAnsiTheme="minorEastAsia" w:eastAsiaTheme="minorEastAsia" w:cstheme="minorEastAsia"/>
                <w:color w:val="auto"/>
                <w:kern w:val="2"/>
                <w:sz w:val="21"/>
                <w:szCs w:val="21"/>
                <w:lang w:eastAsia="zh-CN"/>
              </w:rPr>
              <w:t>的得</w:t>
            </w: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lang w:eastAsia="zh-CN"/>
              </w:rPr>
              <w:t>分，本项最高得</w:t>
            </w: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lang w:eastAsia="zh-CN"/>
              </w:rPr>
              <w:t>分。</w:t>
            </w:r>
          </w:p>
          <w:p w14:paraId="30B14C37">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评审依据:提供上述人员相关证书原件原色扫描件以及投标人开标前</w:t>
            </w:r>
            <w:r>
              <w:rPr>
                <w:rFonts w:hint="eastAsia" w:asciiTheme="minorEastAsia" w:hAnsiTheme="minorEastAsia" w:eastAsiaTheme="minorEastAsia" w:cstheme="minorEastAsia"/>
                <w:b/>
                <w:bCs/>
                <w:color w:val="auto"/>
                <w:kern w:val="2"/>
                <w:sz w:val="21"/>
                <w:szCs w:val="21"/>
                <w:highlight w:val="none"/>
                <w:lang w:eastAsia="zh-CN"/>
              </w:rPr>
              <w:t>（</w:t>
            </w:r>
            <w:r>
              <w:rPr>
                <w:rFonts w:hint="eastAsia" w:asciiTheme="minorEastAsia" w:hAnsiTheme="minorEastAsia" w:eastAsiaTheme="minorEastAsia" w:cstheme="minorEastAsia"/>
                <w:b/>
                <w:bCs/>
                <w:color w:val="auto"/>
                <w:kern w:val="2"/>
                <w:sz w:val="21"/>
                <w:szCs w:val="21"/>
                <w:highlight w:val="none"/>
                <w:lang w:val="en-US" w:eastAsia="zh-CN"/>
              </w:rPr>
              <w:t>不含开标当月</w:t>
            </w:r>
            <w:r>
              <w:rPr>
                <w:rFonts w:hint="eastAsia" w:asciiTheme="minorEastAsia" w:hAnsiTheme="minorEastAsia" w:eastAsiaTheme="minorEastAsia" w:cstheme="minorEastAsia"/>
                <w:b/>
                <w:bCs/>
                <w:color w:val="auto"/>
                <w:kern w:val="2"/>
                <w:sz w:val="21"/>
                <w:szCs w:val="21"/>
                <w:highlight w:val="none"/>
                <w:lang w:eastAsia="zh-CN"/>
              </w:rPr>
              <w:t>）连续六个月为其缴纳社保证明材料并</w:t>
            </w:r>
            <w:r>
              <w:rPr>
                <w:rFonts w:hint="eastAsia" w:asciiTheme="minorEastAsia" w:hAnsiTheme="minorEastAsia" w:eastAsiaTheme="minorEastAsia" w:cstheme="minorEastAsia"/>
                <w:b/>
                <w:bCs/>
                <w:color w:val="auto"/>
                <w:kern w:val="2"/>
                <w:sz w:val="21"/>
                <w:szCs w:val="21"/>
                <w:lang w:eastAsia="zh-CN"/>
              </w:rPr>
              <w:t>加盖投标人公章。注:社保证明材料可以采用以下任一种方式:1)社保局官方网站查询的拟配备人员的个人缴费记录截图打印件;2)社保局的书面证明材料;3)经投标人委托的第三方人力资源服务机构或与投标人有直接隶属关系的机构可以代缴社保，并提供有关证明材料(人员不允许兼职兼任，同一人员具有多项岗位证书的，不累计得分，以得分较高项计分)。</w:t>
            </w:r>
            <w:r>
              <w:rPr>
                <w:rFonts w:hint="eastAsia" w:asciiTheme="minorEastAsia" w:hAnsiTheme="minorEastAsia" w:eastAsiaTheme="minorEastAsia" w:cstheme="minorEastAsia"/>
                <w:b/>
                <w:bCs/>
                <w:color w:val="auto"/>
                <w:sz w:val="21"/>
                <w:szCs w:val="21"/>
              </w:rPr>
              <w:t>未提供</w:t>
            </w:r>
            <w:r>
              <w:rPr>
                <w:rFonts w:hint="eastAsia" w:asciiTheme="minorEastAsia" w:hAnsiTheme="minorEastAsia" w:eastAsiaTheme="minorEastAsia" w:cstheme="minorEastAsia"/>
                <w:b/>
                <w:bCs/>
                <w:color w:val="auto"/>
                <w:sz w:val="21"/>
                <w:szCs w:val="21"/>
                <w:lang w:eastAsia="zh-CN"/>
              </w:rPr>
              <w:t>或未按要求提供均</w:t>
            </w:r>
            <w:r>
              <w:rPr>
                <w:rFonts w:hint="eastAsia" w:asciiTheme="minorEastAsia" w:hAnsiTheme="minorEastAsia" w:eastAsiaTheme="minorEastAsia" w:cstheme="minorEastAsia"/>
                <w:b/>
                <w:bCs/>
                <w:color w:val="auto"/>
                <w:sz w:val="21"/>
                <w:szCs w:val="21"/>
              </w:rPr>
              <w:t>不得分。</w:t>
            </w:r>
          </w:p>
        </w:tc>
        <w:tc>
          <w:tcPr>
            <w:tcW w:w="668" w:type="dxa"/>
            <w:vAlign w:val="center"/>
          </w:tcPr>
          <w:p w14:paraId="1CC5A476">
            <w:pPr>
              <w:tabs>
                <w:tab w:val="left" w:pos="945"/>
                <w:tab w:val="left" w:pos="1050"/>
              </w:tabs>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lang w:eastAsia="zh-CN"/>
              </w:rPr>
              <w:t>分</w:t>
            </w:r>
          </w:p>
        </w:tc>
      </w:tr>
      <w:tr w14:paraId="02E4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81" w:type="dxa"/>
            <w:vAlign w:val="center"/>
          </w:tcPr>
          <w:p w14:paraId="581BFB2B">
            <w:pPr>
              <w:jc w:val="center"/>
              <w:rPr>
                <w:rFonts w:hint="eastAsia" w:asciiTheme="minorEastAsia" w:hAnsiTheme="minorEastAsia" w:eastAsiaTheme="minorEastAsia" w:cstheme="minorEastAsia"/>
                <w:b/>
                <w:bCs/>
                <w:color w:val="auto"/>
                <w:sz w:val="21"/>
                <w:szCs w:val="21"/>
              </w:rPr>
            </w:pPr>
          </w:p>
          <w:p w14:paraId="447F9522">
            <w:pPr>
              <w:jc w:val="center"/>
              <w:rPr>
                <w:rFonts w:hint="eastAsia" w:asciiTheme="minorEastAsia" w:hAnsiTheme="minorEastAsia" w:eastAsiaTheme="minorEastAsia" w:cstheme="minorEastAsia"/>
                <w:b/>
                <w:bCs/>
                <w:color w:val="auto"/>
                <w:sz w:val="21"/>
                <w:szCs w:val="21"/>
              </w:rPr>
            </w:pPr>
          </w:p>
          <w:p w14:paraId="6D89247F">
            <w:pPr>
              <w:jc w:val="center"/>
              <w:rPr>
                <w:rFonts w:hint="eastAsia" w:asciiTheme="minorEastAsia" w:hAnsiTheme="minorEastAsia" w:eastAsiaTheme="minorEastAsia" w:cstheme="minorEastAsia"/>
                <w:b/>
                <w:bCs/>
                <w:color w:val="auto"/>
                <w:sz w:val="21"/>
                <w:szCs w:val="21"/>
              </w:rPr>
            </w:pPr>
          </w:p>
          <w:p w14:paraId="414A1299">
            <w:pPr>
              <w:jc w:val="center"/>
              <w:rPr>
                <w:rFonts w:hint="eastAsia" w:asciiTheme="minorEastAsia" w:hAnsiTheme="minorEastAsia" w:eastAsiaTheme="minorEastAsia" w:cstheme="minorEastAsia"/>
                <w:b/>
                <w:bCs/>
                <w:color w:val="auto"/>
                <w:sz w:val="21"/>
                <w:szCs w:val="21"/>
              </w:rPr>
            </w:pPr>
          </w:p>
          <w:p w14:paraId="51B8582A">
            <w:pPr>
              <w:jc w:val="center"/>
              <w:rPr>
                <w:rFonts w:hint="eastAsia" w:asciiTheme="minorEastAsia" w:hAnsiTheme="minorEastAsia" w:eastAsiaTheme="minorEastAsia" w:cstheme="minorEastAsia"/>
                <w:b/>
                <w:bCs/>
                <w:color w:val="auto"/>
                <w:sz w:val="21"/>
                <w:szCs w:val="21"/>
              </w:rPr>
            </w:pPr>
          </w:p>
          <w:p w14:paraId="281B2245">
            <w:pPr>
              <w:jc w:val="center"/>
              <w:rPr>
                <w:rFonts w:hint="eastAsia" w:asciiTheme="minorEastAsia" w:hAnsiTheme="minorEastAsia" w:eastAsiaTheme="minorEastAsia" w:cstheme="minorEastAsia"/>
                <w:b/>
                <w:bCs/>
                <w:color w:val="auto"/>
                <w:sz w:val="21"/>
                <w:szCs w:val="21"/>
              </w:rPr>
            </w:pPr>
          </w:p>
          <w:p w14:paraId="33FE70D5">
            <w:pPr>
              <w:jc w:val="center"/>
              <w:rPr>
                <w:rFonts w:hint="eastAsia" w:asciiTheme="minorEastAsia" w:hAnsiTheme="minorEastAsia" w:eastAsiaTheme="minorEastAsia" w:cstheme="minorEastAsia"/>
                <w:b/>
                <w:bCs/>
                <w:color w:val="auto"/>
                <w:sz w:val="21"/>
                <w:szCs w:val="21"/>
              </w:rPr>
            </w:pPr>
          </w:p>
          <w:p w14:paraId="433B64F5">
            <w:pPr>
              <w:jc w:val="center"/>
              <w:rPr>
                <w:rFonts w:hint="eastAsia" w:asciiTheme="minorEastAsia" w:hAnsiTheme="minorEastAsia" w:eastAsiaTheme="minorEastAsia" w:cstheme="minorEastAsia"/>
                <w:b/>
                <w:bCs/>
                <w:color w:val="auto"/>
                <w:sz w:val="21"/>
                <w:szCs w:val="21"/>
              </w:rPr>
            </w:pPr>
          </w:p>
          <w:p w14:paraId="589CF314">
            <w:pPr>
              <w:jc w:val="center"/>
              <w:rPr>
                <w:rFonts w:hint="eastAsia" w:asciiTheme="minorEastAsia" w:hAnsiTheme="minorEastAsia" w:eastAsiaTheme="minorEastAsia" w:cstheme="minorEastAsia"/>
                <w:b/>
                <w:bCs/>
                <w:color w:val="auto"/>
                <w:sz w:val="21"/>
                <w:szCs w:val="21"/>
              </w:rPr>
            </w:pPr>
          </w:p>
          <w:p w14:paraId="18262B92">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kern w:val="2"/>
                <w:sz w:val="21"/>
                <w:szCs w:val="21"/>
                <w:lang w:eastAsia="zh-CN"/>
              </w:rPr>
              <w:t>拟投入本项目设备</w:t>
            </w:r>
          </w:p>
        </w:tc>
        <w:tc>
          <w:tcPr>
            <w:tcW w:w="7389" w:type="dxa"/>
            <w:vAlign w:val="center"/>
          </w:tcPr>
          <w:p w14:paraId="0B6249B2">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1、拟投入本项目的自有（租赁）车辆(1</w:t>
            </w:r>
            <w:r>
              <w:rPr>
                <w:rFonts w:hint="eastAsia" w:asciiTheme="minorEastAsia" w:hAnsiTheme="minorEastAsia" w:eastAsiaTheme="minorEastAsia" w:cstheme="minorEastAsia"/>
                <w:color w:val="auto"/>
                <w:kern w:val="2"/>
                <w:sz w:val="21"/>
                <w:szCs w:val="21"/>
                <w:lang w:val="en-US" w:eastAsia="zh-CN"/>
              </w:rPr>
              <w:t>3</w:t>
            </w:r>
            <w:r>
              <w:rPr>
                <w:rFonts w:hint="eastAsia" w:asciiTheme="minorEastAsia" w:hAnsiTheme="minorEastAsia" w:eastAsiaTheme="minorEastAsia" w:cstheme="minorEastAsia"/>
                <w:color w:val="auto"/>
                <w:kern w:val="2"/>
                <w:sz w:val="21"/>
                <w:szCs w:val="21"/>
                <w:lang w:eastAsia="zh-CN"/>
              </w:rPr>
              <w:t>分)：</w:t>
            </w:r>
          </w:p>
          <w:p w14:paraId="36393DC7">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(1)拟投入本项目吸污车(12立方及以上作业车)，每提供1台得</w:t>
            </w:r>
            <w:r>
              <w:rPr>
                <w:rFonts w:hint="eastAsia" w:asciiTheme="minorEastAsia" w:hAnsiTheme="minorEastAsia" w:eastAsiaTheme="minorEastAsia" w:cstheme="minorEastAsia"/>
                <w:color w:val="auto"/>
                <w:kern w:val="2"/>
                <w:sz w:val="21"/>
                <w:szCs w:val="21"/>
                <w:lang w:val="en-US" w:eastAsia="zh-CN"/>
              </w:rPr>
              <w:t>1.5</w:t>
            </w:r>
            <w:r>
              <w:rPr>
                <w:rFonts w:hint="eastAsia" w:asciiTheme="minorEastAsia" w:hAnsiTheme="minorEastAsia" w:eastAsiaTheme="minorEastAsia" w:cstheme="minorEastAsia"/>
                <w:color w:val="auto"/>
                <w:kern w:val="2"/>
                <w:sz w:val="21"/>
                <w:szCs w:val="21"/>
                <w:lang w:eastAsia="zh-CN"/>
              </w:rPr>
              <w:t>分（租赁车辆），自有车辆得</w:t>
            </w:r>
            <w:r>
              <w:rPr>
                <w:rFonts w:hint="eastAsia" w:asciiTheme="minorEastAsia" w:hAnsiTheme="minorEastAsia" w:eastAsiaTheme="minorEastAsia" w:cstheme="minorEastAsia"/>
                <w:color w:val="auto"/>
                <w:kern w:val="2"/>
                <w:sz w:val="21"/>
                <w:szCs w:val="21"/>
                <w:lang w:val="en-US" w:eastAsia="zh-CN"/>
              </w:rPr>
              <w:t>2分</w:t>
            </w:r>
            <w:r>
              <w:rPr>
                <w:rFonts w:hint="eastAsia" w:asciiTheme="minorEastAsia" w:hAnsiTheme="minorEastAsia" w:eastAsiaTheme="minorEastAsia" w:cstheme="minorEastAsia"/>
                <w:color w:val="auto"/>
                <w:kern w:val="2"/>
                <w:sz w:val="21"/>
                <w:szCs w:val="21"/>
                <w:lang w:eastAsia="zh-CN"/>
              </w:rPr>
              <w:t>，本项最高得4分；</w:t>
            </w:r>
          </w:p>
          <w:p w14:paraId="0D4C82B2">
            <w:pPr>
              <w:pStyle w:val="52"/>
              <w:widowControl/>
              <w:numPr>
                <w:ilvl w:val="0"/>
                <w:numId w:val="0"/>
              </w:numPr>
              <w:autoSpaceDE/>
              <w:autoSpaceDN/>
              <w:adjustRightInd w:val="0"/>
              <w:snapToGrid w:val="0"/>
              <w:spacing w:line="336" w:lineRule="auto"/>
              <w:ind w:left="0" w:leftChars="0" w:firstLine="0" w:firstLineChars="0"/>
              <w:rPr>
                <w:rFonts w:hint="default"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kern w:val="2"/>
                <w:sz w:val="21"/>
                <w:szCs w:val="21"/>
                <w:lang w:eastAsia="zh-CN"/>
              </w:rPr>
              <w:t>拟投入本项目清运运输车(作业车)，每提供1台得</w:t>
            </w:r>
            <w:r>
              <w:rPr>
                <w:rFonts w:hint="eastAsia" w:asciiTheme="minorEastAsia" w:hAnsiTheme="minorEastAsia" w:eastAsiaTheme="minorEastAsia" w:cstheme="minorEastAsia"/>
                <w:color w:val="auto"/>
                <w:kern w:val="2"/>
                <w:sz w:val="21"/>
                <w:szCs w:val="21"/>
                <w:lang w:val="en-US" w:eastAsia="zh-CN"/>
              </w:rPr>
              <w:t>0.5</w:t>
            </w:r>
            <w:r>
              <w:rPr>
                <w:rFonts w:hint="eastAsia" w:asciiTheme="minorEastAsia" w:hAnsiTheme="minorEastAsia" w:eastAsiaTheme="minorEastAsia" w:cstheme="minorEastAsia"/>
                <w:color w:val="auto"/>
                <w:kern w:val="2"/>
                <w:sz w:val="21"/>
                <w:szCs w:val="21"/>
                <w:lang w:eastAsia="zh-CN"/>
              </w:rPr>
              <w:t>分（租赁车辆），自有车辆得</w:t>
            </w:r>
            <w:r>
              <w:rPr>
                <w:rFonts w:hint="eastAsia" w:asciiTheme="minorEastAsia" w:hAnsiTheme="minorEastAsia" w:eastAsiaTheme="minorEastAsia" w:cstheme="minorEastAsia"/>
                <w:color w:val="auto"/>
                <w:kern w:val="2"/>
                <w:sz w:val="21"/>
                <w:szCs w:val="21"/>
                <w:lang w:val="en-US" w:eastAsia="zh-CN"/>
              </w:rPr>
              <w:t>1分</w:t>
            </w:r>
            <w:r>
              <w:rPr>
                <w:rFonts w:hint="eastAsia" w:asciiTheme="minorEastAsia" w:hAnsiTheme="minorEastAsia" w:eastAsiaTheme="minorEastAsia" w:cstheme="minorEastAsia"/>
                <w:color w:val="auto"/>
                <w:kern w:val="2"/>
                <w:sz w:val="21"/>
                <w:szCs w:val="21"/>
                <w:lang w:eastAsia="zh-CN"/>
              </w:rPr>
              <w:t>，本项最高得</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分；</w:t>
            </w:r>
          </w:p>
          <w:p w14:paraId="143B5D92">
            <w:pPr>
              <w:pStyle w:val="52"/>
              <w:widowControl/>
              <w:numPr>
                <w:ilvl w:val="0"/>
                <w:numId w:val="0"/>
              </w:numPr>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bidi="ar-SA"/>
              </w:rPr>
              <w:t>(3)</w:t>
            </w:r>
            <w:r>
              <w:rPr>
                <w:rFonts w:hint="eastAsia" w:asciiTheme="minorEastAsia" w:hAnsiTheme="minorEastAsia" w:eastAsiaTheme="minorEastAsia" w:cstheme="minorEastAsia"/>
                <w:color w:val="auto"/>
                <w:kern w:val="2"/>
                <w:sz w:val="21"/>
                <w:szCs w:val="21"/>
                <w:lang w:eastAsia="zh-CN"/>
              </w:rPr>
              <w:t>拟投入本高压疏通车或具有高压清洗设备的联合作业车(10立方及以上），每提供1台得</w:t>
            </w: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lang w:eastAsia="zh-CN"/>
              </w:rPr>
              <w:t>分（租赁车辆），自有车辆得</w:t>
            </w:r>
            <w:r>
              <w:rPr>
                <w:rFonts w:hint="eastAsia" w:asciiTheme="minorEastAsia" w:hAnsiTheme="minorEastAsia" w:eastAsiaTheme="minorEastAsia" w:cstheme="minorEastAsia"/>
                <w:color w:val="auto"/>
                <w:kern w:val="2"/>
                <w:sz w:val="21"/>
                <w:szCs w:val="21"/>
                <w:lang w:val="en-US" w:eastAsia="zh-CN"/>
              </w:rPr>
              <w:t>1.5分</w:t>
            </w:r>
            <w:r>
              <w:rPr>
                <w:rFonts w:hint="eastAsia" w:asciiTheme="minorEastAsia" w:hAnsiTheme="minorEastAsia" w:eastAsiaTheme="minorEastAsia" w:cstheme="minorEastAsia"/>
                <w:color w:val="auto"/>
                <w:kern w:val="2"/>
                <w:sz w:val="21"/>
                <w:szCs w:val="21"/>
                <w:lang w:eastAsia="zh-CN"/>
              </w:rPr>
              <w:t>，本项最高得</w:t>
            </w:r>
            <w:r>
              <w:rPr>
                <w:rFonts w:hint="eastAsia" w:asciiTheme="minorEastAsia" w:hAnsiTheme="minorEastAsia" w:eastAsiaTheme="minorEastAsia" w:cstheme="minorEastAsia"/>
                <w:color w:val="auto"/>
                <w:kern w:val="2"/>
                <w:sz w:val="21"/>
                <w:szCs w:val="21"/>
                <w:lang w:val="en-US" w:eastAsia="zh-CN"/>
              </w:rPr>
              <w:t>3</w:t>
            </w:r>
            <w:r>
              <w:rPr>
                <w:rFonts w:hint="eastAsia" w:asciiTheme="minorEastAsia" w:hAnsiTheme="minorEastAsia" w:eastAsiaTheme="minorEastAsia" w:cstheme="minorEastAsia"/>
                <w:color w:val="auto"/>
                <w:kern w:val="2"/>
                <w:sz w:val="21"/>
                <w:szCs w:val="21"/>
                <w:lang w:eastAsia="zh-CN"/>
              </w:rPr>
              <w:t>分；</w:t>
            </w:r>
          </w:p>
          <w:p w14:paraId="6CFD55F7">
            <w:pPr>
              <w:pStyle w:val="52"/>
              <w:widowControl/>
              <w:numPr>
                <w:ilvl w:val="0"/>
                <w:numId w:val="0"/>
              </w:numPr>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bidi="ar-SA"/>
              </w:rPr>
              <w:t>(4)</w:t>
            </w:r>
            <w:r>
              <w:rPr>
                <w:rFonts w:hint="eastAsia" w:asciiTheme="minorEastAsia" w:hAnsiTheme="minorEastAsia" w:eastAsiaTheme="minorEastAsia" w:cstheme="minorEastAsia"/>
                <w:color w:val="auto"/>
                <w:kern w:val="2"/>
                <w:sz w:val="21"/>
                <w:szCs w:val="21"/>
                <w:lang w:eastAsia="zh-CN"/>
              </w:rPr>
              <w:t>拟投入本高压疏通车或具有高压清洗设备的联合作业车(15立方及以上），每提供1台得</w:t>
            </w:r>
            <w:r>
              <w:rPr>
                <w:rFonts w:hint="eastAsia" w:asciiTheme="minorEastAsia" w:hAnsiTheme="minorEastAsia" w:eastAsiaTheme="minorEastAsia" w:cstheme="minorEastAsia"/>
                <w:color w:val="auto"/>
                <w:kern w:val="2"/>
                <w:sz w:val="21"/>
                <w:szCs w:val="21"/>
                <w:lang w:val="en-US" w:eastAsia="zh-CN"/>
              </w:rPr>
              <w:t>1.5</w:t>
            </w:r>
            <w:r>
              <w:rPr>
                <w:rFonts w:hint="eastAsia" w:asciiTheme="minorEastAsia" w:hAnsiTheme="minorEastAsia" w:eastAsiaTheme="minorEastAsia" w:cstheme="minorEastAsia"/>
                <w:color w:val="auto"/>
                <w:kern w:val="2"/>
                <w:sz w:val="21"/>
                <w:szCs w:val="21"/>
                <w:lang w:eastAsia="zh-CN"/>
              </w:rPr>
              <w:t>分（租赁车辆），自有车辆得</w:t>
            </w:r>
            <w:r>
              <w:rPr>
                <w:rFonts w:hint="eastAsia" w:asciiTheme="minorEastAsia" w:hAnsiTheme="minorEastAsia" w:eastAsiaTheme="minorEastAsia" w:cstheme="minorEastAsia"/>
                <w:color w:val="auto"/>
                <w:kern w:val="2"/>
                <w:sz w:val="21"/>
                <w:szCs w:val="21"/>
                <w:lang w:val="en-US" w:eastAsia="zh-CN"/>
              </w:rPr>
              <w:t>2分</w:t>
            </w:r>
            <w:r>
              <w:rPr>
                <w:rFonts w:hint="eastAsia" w:asciiTheme="minorEastAsia" w:hAnsiTheme="minorEastAsia" w:eastAsiaTheme="minorEastAsia" w:cstheme="minorEastAsia"/>
                <w:color w:val="auto"/>
                <w:kern w:val="2"/>
                <w:sz w:val="21"/>
                <w:szCs w:val="21"/>
                <w:lang w:eastAsia="zh-CN"/>
              </w:rPr>
              <w:t>，本项最高得4分。</w:t>
            </w:r>
          </w:p>
          <w:p w14:paraId="085E81ED">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kern w:val="2"/>
                <w:sz w:val="21"/>
                <w:szCs w:val="21"/>
                <w:lang w:eastAsia="zh-CN"/>
              </w:rPr>
              <w:t>评审依据:租赁车辆需提供租赁车辆照片、有效的租赁合同、行驶证原件原色扫描件（需为租赁公司名下）并全部加盖投标人公章；自有车辆需提供购置车辆照片、发票原件原色扫描件、行驶证原件原色扫描件并全部加盖投标人公章。</w:t>
            </w:r>
            <w:r>
              <w:rPr>
                <w:rFonts w:hint="eastAsia" w:asciiTheme="minorEastAsia" w:hAnsiTheme="minorEastAsia" w:eastAsiaTheme="minorEastAsia" w:cstheme="minorEastAsia"/>
                <w:b/>
                <w:bCs/>
                <w:color w:val="auto"/>
                <w:sz w:val="21"/>
                <w:szCs w:val="21"/>
                <w:lang w:eastAsia="zh-CN"/>
              </w:rPr>
              <w:t>未提供或未按要求提供均不得分。</w:t>
            </w:r>
          </w:p>
          <w:p w14:paraId="55D77DDB">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1、拟投入本项目的自有设备(</w:t>
            </w:r>
            <w:r>
              <w:rPr>
                <w:rFonts w:hint="eastAsia" w:asciiTheme="minorEastAsia" w:hAnsiTheme="minorEastAsia" w:eastAsiaTheme="minorEastAsia" w:cstheme="minorEastAsia"/>
                <w:color w:val="auto"/>
                <w:kern w:val="2"/>
                <w:sz w:val="21"/>
                <w:szCs w:val="21"/>
                <w:lang w:val="en-US" w:eastAsia="zh-CN"/>
              </w:rPr>
              <w:t>17</w:t>
            </w:r>
            <w:r>
              <w:rPr>
                <w:rFonts w:hint="eastAsia" w:asciiTheme="minorEastAsia" w:hAnsiTheme="minorEastAsia" w:eastAsiaTheme="minorEastAsia" w:cstheme="minorEastAsia"/>
                <w:color w:val="auto"/>
                <w:kern w:val="2"/>
                <w:sz w:val="21"/>
                <w:szCs w:val="21"/>
                <w:lang w:eastAsia="zh-CN"/>
              </w:rPr>
              <w:t>分)：</w:t>
            </w:r>
          </w:p>
          <w:p w14:paraId="7A02461E">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(1)拟投入本项目CCTV 管道机器人、管道潜望镜，每提供1套得</w:t>
            </w:r>
            <w:r>
              <w:rPr>
                <w:rFonts w:hint="eastAsia" w:asciiTheme="minorEastAsia" w:hAnsiTheme="minorEastAsia" w:eastAsiaTheme="minorEastAsia" w:cstheme="minorEastAsia"/>
                <w:color w:val="auto"/>
                <w:kern w:val="2"/>
                <w:sz w:val="21"/>
                <w:szCs w:val="21"/>
                <w:lang w:val="en-US" w:eastAsia="zh-CN"/>
              </w:rPr>
              <w:t>0</w:t>
            </w:r>
            <w:r>
              <w:rPr>
                <w:rFonts w:hint="eastAsia" w:asciiTheme="minorEastAsia" w:hAnsiTheme="minorEastAsia" w:eastAsiaTheme="minorEastAsia" w:cstheme="minorEastAsia"/>
                <w:color w:val="auto"/>
                <w:kern w:val="2"/>
                <w:sz w:val="21"/>
                <w:szCs w:val="21"/>
                <w:lang w:eastAsia="zh-CN"/>
              </w:rPr>
              <w:t>.5分（租赁设备），自有设备得</w:t>
            </w:r>
            <w:r>
              <w:rPr>
                <w:rFonts w:hint="eastAsia" w:asciiTheme="minorEastAsia" w:hAnsiTheme="minorEastAsia" w:eastAsiaTheme="minorEastAsia" w:cstheme="minorEastAsia"/>
                <w:color w:val="auto"/>
                <w:kern w:val="2"/>
                <w:sz w:val="21"/>
                <w:szCs w:val="21"/>
                <w:lang w:val="en-US" w:eastAsia="zh-CN"/>
              </w:rPr>
              <w:t>1分</w:t>
            </w:r>
            <w:r>
              <w:rPr>
                <w:rFonts w:hint="eastAsia" w:asciiTheme="minorEastAsia" w:hAnsiTheme="minorEastAsia" w:eastAsiaTheme="minorEastAsia" w:cstheme="minorEastAsia"/>
                <w:color w:val="auto"/>
                <w:kern w:val="2"/>
                <w:sz w:val="21"/>
                <w:szCs w:val="21"/>
                <w:lang w:eastAsia="zh-CN"/>
              </w:rPr>
              <w:t>，本项最高得</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分；</w:t>
            </w:r>
          </w:p>
          <w:p w14:paraId="6F278191">
            <w:pPr>
              <w:pStyle w:val="52"/>
              <w:widowControl/>
              <w:numPr>
                <w:ilvl w:val="0"/>
                <w:numId w:val="0"/>
              </w:numPr>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kern w:val="2"/>
                <w:sz w:val="21"/>
                <w:szCs w:val="21"/>
                <w:lang w:eastAsia="zh-CN"/>
              </w:rPr>
              <w:t>拟投入本项目声呐检测机器人，每提供1台租赁设备得</w:t>
            </w:r>
            <w:r>
              <w:rPr>
                <w:rFonts w:hint="eastAsia" w:asciiTheme="minorEastAsia" w:hAnsiTheme="minorEastAsia" w:eastAsiaTheme="minorEastAsia" w:cstheme="minorEastAsia"/>
                <w:color w:val="auto"/>
                <w:kern w:val="2"/>
                <w:sz w:val="21"/>
                <w:szCs w:val="21"/>
                <w:lang w:val="en-US" w:eastAsia="zh-CN"/>
              </w:rPr>
              <w:t>2分</w:t>
            </w:r>
            <w:r>
              <w:rPr>
                <w:rFonts w:hint="eastAsia" w:asciiTheme="minorEastAsia" w:hAnsiTheme="minorEastAsia" w:eastAsiaTheme="minorEastAsia" w:cstheme="minorEastAsia"/>
                <w:color w:val="auto"/>
                <w:kern w:val="2"/>
                <w:sz w:val="21"/>
                <w:szCs w:val="21"/>
                <w:lang w:eastAsia="zh-CN"/>
              </w:rPr>
              <w:t>（租赁设备）</w:t>
            </w:r>
            <w:r>
              <w:rPr>
                <w:rFonts w:hint="eastAsia" w:asciiTheme="minorEastAsia" w:hAnsiTheme="minorEastAsia" w:eastAsiaTheme="minorEastAsia" w:cstheme="minorEastAsia"/>
                <w:color w:val="auto"/>
                <w:kern w:val="2"/>
                <w:sz w:val="21"/>
                <w:szCs w:val="21"/>
                <w:lang w:val="en-US" w:eastAsia="zh-CN"/>
              </w:rPr>
              <w:t>，自有设备</w:t>
            </w:r>
            <w:r>
              <w:rPr>
                <w:rFonts w:hint="eastAsia" w:asciiTheme="minorEastAsia" w:hAnsiTheme="minorEastAsia" w:eastAsiaTheme="minorEastAsia" w:cstheme="minorEastAsia"/>
                <w:color w:val="auto"/>
                <w:kern w:val="2"/>
                <w:sz w:val="21"/>
                <w:szCs w:val="21"/>
                <w:lang w:eastAsia="zh-CN"/>
              </w:rPr>
              <w:t>得3分，本项最高得3分；</w:t>
            </w:r>
          </w:p>
          <w:p w14:paraId="4EE918AE">
            <w:pPr>
              <w:pStyle w:val="52"/>
              <w:widowControl/>
              <w:numPr>
                <w:ilvl w:val="0"/>
                <w:numId w:val="0"/>
              </w:numPr>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bidi="ar-SA"/>
              </w:rPr>
              <w:t>(3)</w:t>
            </w:r>
            <w:r>
              <w:rPr>
                <w:rFonts w:hint="eastAsia" w:asciiTheme="minorEastAsia" w:hAnsiTheme="minorEastAsia" w:eastAsiaTheme="minorEastAsia" w:cstheme="minorEastAsia"/>
                <w:color w:val="auto"/>
                <w:kern w:val="2"/>
                <w:sz w:val="21"/>
                <w:szCs w:val="21"/>
                <w:lang w:eastAsia="zh-CN"/>
              </w:rPr>
              <w:t>拟投入本项目发电机组，每提供1台得</w:t>
            </w:r>
            <w:r>
              <w:rPr>
                <w:rFonts w:hint="eastAsia" w:asciiTheme="minorEastAsia" w:hAnsiTheme="minorEastAsia" w:eastAsiaTheme="minorEastAsia" w:cstheme="minorEastAsia"/>
                <w:color w:val="auto"/>
                <w:kern w:val="2"/>
                <w:sz w:val="21"/>
                <w:szCs w:val="21"/>
                <w:lang w:val="en-US" w:eastAsia="zh-CN"/>
              </w:rPr>
              <w:t>1分</w:t>
            </w:r>
            <w:r>
              <w:rPr>
                <w:rFonts w:hint="eastAsia" w:asciiTheme="minorEastAsia" w:hAnsiTheme="minorEastAsia" w:eastAsiaTheme="minorEastAsia" w:cstheme="minorEastAsia"/>
                <w:color w:val="auto"/>
                <w:kern w:val="2"/>
                <w:sz w:val="21"/>
                <w:szCs w:val="21"/>
                <w:lang w:eastAsia="zh-CN"/>
              </w:rPr>
              <w:t>（租赁设备）</w:t>
            </w:r>
            <w:r>
              <w:rPr>
                <w:rFonts w:hint="eastAsia" w:asciiTheme="minorEastAsia" w:hAnsiTheme="minorEastAsia" w:eastAsiaTheme="minorEastAsia" w:cstheme="minorEastAsia"/>
                <w:color w:val="auto"/>
                <w:kern w:val="2"/>
                <w:sz w:val="21"/>
                <w:szCs w:val="21"/>
                <w:lang w:val="en-US" w:eastAsia="zh-CN"/>
              </w:rPr>
              <w:t>，自有设备</w:t>
            </w:r>
            <w:r>
              <w:rPr>
                <w:rFonts w:hint="eastAsia" w:asciiTheme="minorEastAsia" w:hAnsiTheme="minorEastAsia" w:eastAsiaTheme="minorEastAsia" w:cstheme="minorEastAsia"/>
                <w:color w:val="auto"/>
                <w:kern w:val="2"/>
                <w:sz w:val="21"/>
                <w:szCs w:val="21"/>
                <w:lang w:eastAsia="zh-CN"/>
              </w:rPr>
              <w:t>得</w:t>
            </w: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lang w:eastAsia="zh-CN"/>
              </w:rPr>
              <w:t>.5分，本项最高得</w:t>
            </w:r>
            <w:r>
              <w:rPr>
                <w:rFonts w:hint="eastAsia" w:asciiTheme="minorEastAsia" w:hAnsiTheme="minorEastAsia" w:eastAsiaTheme="minorEastAsia" w:cstheme="minorEastAsia"/>
                <w:color w:val="auto"/>
                <w:kern w:val="2"/>
                <w:sz w:val="21"/>
                <w:szCs w:val="21"/>
                <w:lang w:val="en-US" w:eastAsia="zh-CN"/>
              </w:rPr>
              <w:t>3</w:t>
            </w:r>
            <w:r>
              <w:rPr>
                <w:rFonts w:hint="eastAsia" w:asciiTheme="minorEastAsia" w:hAnsiTheme="minorEastAsia" w:eastAsiaTheme="minorEastAsia" w:cstheme="minorEastAsia"/>
                <w:color w:val="auto"/>
                <w:kern w:val="2"/>
                <w:sz w:val="21"/>
                <w:szCs w:val="21"/>
                <w:lang w:eastAsia="zh-CN"/>
              </w:rPr>
              <w:t>分；</w:t>
            </w:r>
          </w:p>
          <w:p w14:paraId="72F61E0B">
            <w:pPr>
              <w:pStyle w:val="52"/>
              <w:widowControl/>
              <w:numPr>
                <w:ilvl w:val="0"/>
                <w:numId w:val="0"/>
              </w:numPr>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bidi="ar-SA"/>
              </w:rPr>
              <w:t>(4)</w:t>
            </w:r>
            <w:r>
              <w:rPr>
                <w:rFonts w:hint="eastAsia" w:asciiTheme="minorEastAsia" w:hAnsiTheme="minorEastAsia" w:eastAsiaTheme="minorEastAsia" w:cstheme="minorEastAsia"/>
                <w:color w:val="auto"/>
                <w:kern w:val="2"/>
                <w:sz w:val="21"/>
                <w:szCs w:val="21"/>
                <w:lang w:eastAsia="zh-CN"/>
              </w:rPr>
              <w:t>拟投入本项目临排水泵组排水量大于1000立方每小时得</w:t>
            </w:r>
            <w:r>
              <w:rPr>
                <w:rFonts w:hint="eastAsia" w:asciiTheme="minorEastAsia" w:hAnsiTheme="minorEastAsia" w:eastAsiaTheme="minorEastAsia" w:cstheme="minorEastAsia"/>
                <w:color w:val="auto"/>
                <w:kern w:val="2"/>
                <w:sz w:val="21"/>
                <w:szCs w:val="21"/>
                <w:lang w:val="en-US" w:eastAsia="zh-CN"/>
              </w:rPr>
              <w:t>3分</w:t>
            </w:r>
            <w:r>
              <w:rPr>
                <w:rFonts w:hint="eastAsia" w:asciiTheme="minorEastAsia" w:hAnsiTheme="minorEastAsia" w:eastAsiaTheme="minorEastAsia" w:cstheme="minorEastAsia"/>
                <w:color w:val="auto"/>
                <w:kern w:val="2"/>
                <w:sz w:val="21"/>
                <w:szCs w:val="21"/>
                <w:lang w:eastAsia="zh-CN"/>
              </w:rPr>
              <w:t>（租赁设备）</w:t>
            </w:r>
            <w:r>
              <w:rPr>
                <w:rFonts w:hint="eastAsia" w:asciiTheme="minorEastAsia" w:hAnsiTheme="minorEastAsia" w:eastAsiaTheme="minorEastAsia" w:cstheme="minorEastAsia"/>
                <w:color w:val="auto"/>
                <w:kern w:val="2"/>
                <w:sz w:val="21"/>
                <w:szCs w:val="21"/>
                <w:lang w:val="en-US" w:eastAsia="zh-CN"/>
              </w:rPr>
              <w:t>，自有设备</w:t>
            </w:r>
            <w:r>
              <w:rPr>
                <w:rFonts w:hint="eastAsia" w:asciiTheme="minorEastAsia" w:hAnsiTheme="minorEastAsia" w:eastAsiaTheme="minorEastAsia" w:cstheme="minorEastAsia"/>
                <w:color w:val="auto"/>
                <w:kern w:val="2"/>
                <w:sz w:val="21"/>
                <w:szCs w:val="21"/>
                <w:lang w:eastAsia="zh-CN"/>
              </w:rPr>
              <w:t>得</w:t>
            </w:r>
            <w:r>
              <w:rPr>
                <w:rFonts w:hint="eastAsia" w:asciiTheme="minorEastAsia" w:hAnsiTheme="minorEastAsia" w:eastAsiaTheme="minorEastAsia" w:cstheme="minorEastAsia"/>
                <w:color w:val="auto"/>
                <w:kern w:val="2"/>
                <w:sz w:val="21"/>
                <w:szCs w:val="21"/>
                <w:lang w:val="en-US" w:eastAsia="zh-CN"/>
              </w:rPr>
              <w:t>4</w:t>
            </w:r>
            <w:r>
              <w:rPr>
                <w:rFonts w:hint="eastAsia" w:asciiTheme="minorEastAsia" w:hAnsiTheme="minorEastAsia" w:eastAsiaTheme="minorEastAsia" w:cstheme="minorEastAsia"/>
                <w:color w:val="auto"/>
                <w:kern w:val="2"/>
                <w:sz w:val="21"/>
                <w:szCs w:val="21"/>
                <w:lang w:eastAsia="zh-CN"/>
              </w:rPr>
              <w:t>分，800-1000立方每小时得</w:t>
            </w:r>
            <w:r>
              <w:rPr>
                <w:rFonts w:hint="eastAsia" w:asciiTheme="minorEastAsia" w:hAnsiTheme="minorEastAsia" w:eastAsiaTheme="minorEastAsia" w:cstheme="minorEastAsia"/>
                <w:color w:val="auto"/>
                <w:kern w:val="2"/>
                <w:sz w:val="21"/>
                <w:szCs w:val="21"/>
                <w:lang w:val="en-US" w:eastAsia="zh-CN"/>
              </w:rPr>
              <w:t>2分</w:t>
            </w:r>
            <w:r>
              <w:rPr>
                <w:rFonts w:hint="eastAsia" w:asciiTheme="minorEastAsia" w:hAnsiTheme="minorEastAsia" w:eastAsiaTheme="minorEastAsia" w:cstheme="minorEastAsia"/>
                <w:color w:val="auto"/>
                <w:kern w:val="2"/>
                <w:sz w:val="21"/>
                <w:szCs w:val="21"/>
                <w:lang w:eastAsia="zh-CN"/>
              </w:rPr>
              <w:t>（租赁设备）</w:t>
            </w:r>
            <w:r>
              <w:rPr>
                <w:rFonts w:hint="eastAsia" w:asciiTheme="minorEastAsia" w:hAnsiTheme="minorEastAsia" w:eastAsiaTheme="minorEastAsia" w:cstheme="minorEastAsia"/>
                <w:color w:val="auto"/>
                <w:kern w:val="2"/>
                <w:sz w:val="21"/>
                <w:szCs w:val="21"/>
                <w:lang w:val="en-US" w:eastAsia="zh-CN"/>
              </w:rPr>
              <w:t>，</w:t>
            </w:r>
            <w:r>
              <w:rPr>
                <w:rFonts w:hint="eastAsia" w:asciiTheme="minorEastAsia" w:hAnsiTheme="minorEastAsia" w:eastAsiaTheme="minorEastAsia" w:cstheme="minorEastAsia"/>
                <w:color w:val="auto"/>
                <w:kern w:val="2"/>
                <w:sz w:val="21"/>
                <w:szCs w:val="21"/>
                <w:lang w:eastAsia="zh-CN"/>
              </w:rPr>
              <w:t>自有设备得3分，600-800立方每小时得</w:t>
            </w:r>
            <w:r>
              <w:rPr>
                <w:rFonts w:hint="eastAsia" w:asciiTheme="minorEastAsia" w:hAnsiTheme="minorEastAsia" w:eastAsiaTheme="minorEastAsia" w:cstheme="minorEastAsia"/>
                <w:color w:val="auto"/>
                <w:kern w:val="2"/>
                <w:sz w:val="21"/>
                <w:szCs w:val="21"/>
                <w:lang w:val="en-US" w:eastAsia="zh-CN"/>
              </w:rPr>
              <w:t>1分</w:t>
            </w:r>
            <w:r>
              <w:rPr>
                <w:rFonts w:hint="eastAsia" w:asciiTheme="minorEastAsia" w:hAnsiTheme="minorEastAsia" w:eastAsiaTheme="minorEastAsia" w:cstheme="minorEastAsia"/>
                <w:color w:val="auto"/>
                <w:kern w:val="2"/>
                <w:sz w:val="21"/>
                <w:szCs w:val="21"/>
                <w:lang w:eastAsia="zh-CN"/>
              </w:rPr>
              <w:t>（租赁设备）</w:t>
            </w:r>
            <w:r>
              <w:rPr>
                <w:rFonts w:hint="eastAsia" w:asciiTheme="minorEastAsia" w:hAnsiTheme="minorEastAsia" w:eastAsiaTheme="minorEastAsia" w:cstheme="minorEastAsia"/>
                <w:color w:val="auto"/>
                <w:kern w:val="2"/>
                <w:sz w:val="21"/>
                <w:szCs w:val="21"/>
                <w:lang w:val="en-US" w:eastAsia="zh-CN"/>
              </w:rPr>
              <w:t>，</w:t>
            </w:r>
            <w:r>
              <w:rPr>
                <w:rFonts w:hint="eastAsia" w:asciiTheme="minorEastAsia" w:hAnsiTheme="minorEastAsia" w:eastAsiaTheme="minorEastAsia" w:cstheme="minorEastAsia"/>
                <w:color w:val="auto"/>
                <w:kern w:val="2"/>
                <w:sz w:val="21"/>
                <w:szCs w:val="21"/>
                <w:lang w:eastAsia="zh-CN"/>
              </w:rPr>
              <w:t>自有设备得2分，本项最高得</w:t>
            </w:r>
            <w:r>
              <w:rPr>
                <w:rFonts w:hint="eastAsia" w:asciiTheme="minorEastAsia" w:hAnsiTheme="minorEastAsia" w:eastAsiaTheme="minorEastAsia" w:cstheme="minorEastAsia"/>
                <w:color w:val="auto"/>
                <w:kern w:val="2"/>
                <w:sz w:val="21"/>
                <w:szCs w:val="21"/>
                <w:lang w:val="en-US" w:eastAsia="zh-CN"/>
              </w:rPr>
              <w:t>4</w:t>
            </w:r>
            <w:r>
              <w:rPr>
                <w:rFonts w:hint="eastAsia" w:asciiTheme="minorEastAsia" w:hAnsiTheme="minorEastAsia" w:eastAsiaTheme="minorEastAsia" w:cstheme="minorEastAsia"/>
                <w:color w:val="auto"/>
                <w:kern w:val="2"/>
                <w:sz w:val="21"/>
                <w:szCs w:val="21"/>
                <w:lang w:eastAsia="zh-CN"/>
              </w:rPr>
              <w:t>分；</w:t>
            </w:r>
          </w:p>
          <w:p w14:paraId="19879A9A">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(5)</w:t>
            </w:r>
            <w:r>
              <w:rPr>
                <w:rFonts w:hint="eastAsia" w:asciiTheme="minorEastAsia" w:hAnsiTheme="minorEastAsia" w:eastAsiaTheme="minorEastAsia" w:cstheme="minorEastAsia"/>
                <w:color w:val="auto"/>
                <w:kern w:val="2"/>
                <w:sz w:val="21"/>
                <w:szCs w:val="21"/>
                <w:lang w:eastAsia="zh-CN"/>
              </w:rPr>
              <w:t>拟投入本项目蛙人潜水设备、空气呼吸机，每提供1套得</w:t>
            </w:r>
            <w:r>
              <w:rPr>
                <w:rFonts w:hint="eastAsia" w:asciiTheme="minorEastAsia" w:hAnsiTheme="minorEastAsia" w:eastAsiaTheme="minorEastAsia" w:cstheme="minorEastAsia"/>
                <w:color w:val="auto"/>
                <w:kern w:val="2"/>
                <w:sz w:val="21"/>
                <w:szCs w:val="21"/>
                <w:lang w:val="en-US" w:eastAsia="zh-CN"/>
              </w:rPr>
              <w:t>0.5</w:t>
            </w:r>
            <w:r>
              <w:rPr>
                <w:rFonts w:hint="eastAsia" w:asciiTheme="minorEastAsia" w:hAnsiTheme="minorEastAsia" w:eastAsiaTheme="minorEastAsia" w:cstheme="minorEastAsia"/>
                <w:color w:val="auto"/>
                <w:kern w:val="2"/>
                <w:sz w:val="21"/>
                <w:szCs w:val="21"/>
                <w:lang w:eastAsia="zh-CN"/>
              </w:rPr>
              <w:t>分（租赁设备），自有设备得</w:t>
            </w:r>
            <w:r>
              <w:rPr>
                <w:rFonts w:hint="eastAsia" w:asciiTheme="minorEastAsia" w:hAnsiTheme="minorEastAsia" w:eastAsiaTheme="minorEastAsia" w:cstheme="minorEastAsia"/>
                <w:color w:val="auto"/>
                <w:kern w:val="2"/>
                <w:sz w:val="21"/>
                <w:szCs w:val="21"/>
                <w:lang w:val="en-US" w:eastAsia="zh-CN"/>
              </w:rPr>
              <w:t>1分</w:t>
            </w:r>
            <w:r>
              <w:rPr>
                <w:rFonts w:hint="eastAsia" w:asciiTheme="minorEastAsia" w:hAnsiTheme="minorEastAsia" w:eastAsiaTheme="minorEastAsia" w:cstheme="minorEastAsia"/>
                <w:color w:val="auto"/>
                <w:kern w:val="2"/>
                <w:sz w:val="21"/>
                <w:szCs w:val="21"/>
                <w:lang w:eastAsia="zh-CN"/>
              </w:rPr>
              <w:t>，本项最高得</w:t>
            </w:r>
            <w:r>
              <w:rPr>
                <w:rFonts w:hint="eastAsia" w:asciiTheme="minorEastAsia" w:hAnsiTheme="minorEastAsia" w:eastAsiaTheme="minorEastAsia" w:cstheme="minorEastAsia"/>
                <w:color w:val="auto"/>
                <w:kern w:val="2"/>
                <w:sz w:val="21"/>
                <w:szCs w:val="21"/>
                <w:lang w:val="en-US" w:eastAsia="zh-CN"/>
              </w:rPr>
              <w:t>3</w:t>
            </w:r>
            <w:r>
              <w:rPr>
                <w:rFonts w:hint="eastAsia" w:asciiTheme="minorEastAsia" w:hAnsiTheme="minorEastAsia" w:eastAsiaTheme="minorEastAsia" w:cstheme="minorEastAsia"/>
                <w:color w:val="auto"/>
                <w:kern w:val="2"/>
                <w:sz w:val="21"/>
                <w:szCs w:val="21"/>
                <w:lang w:eastAsia="zh-CN"/>
              </w:rPr>
              <w:t>分；</w:t>
            </w:r>
          </w:p>
          <w:p w14:paraId="61F75970">
            <w:pPr>
              <w:pStyle w:val="52"/>
              <w:widowControl/>
              <w:numPr>
                <w:ilvl w:val="0"/>
                <w:numId w:val="0"/>
              </w:numPr>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bidi="ar-SA"/>
              </w:rPr>
              <w:t>(6)</w:t>
            </w:r>
            <w:r>
              <w:rPr>
                <w:rFonts w:hint="eastAsia" w:asciiTheme="minorEastAsia" w:hAnsiTheme="minorEastAsia" w:eastAsiaTheme="minorEastAsia" w:cstheme="minorEastAsia"/>
                <w:color w:val="auto"/>
                <w:kern w:val="2"/>
                <w:sz w:val="21"/>
                <w:szCs w:val="21"/>
                <w:lang w:eastAsia="zh-CN"/>
              </w:rPr>
              <w:t>拟投入本项目封堵气囊(型号包括:DN300、400、500、600、800、1000、1200、1500)，每提供1套得</w:t>
            </w:r>
            <w:r>
              <w:rPr>
                <w:rFonts w:hint="eastAsia" w:asciiTheme="minorEastAsia" w:hAnsiTheme="minorEastAsia" w:eastAsiaTheme="minorEastAsia" w:cstheme="minorEastAsia"/>
                <w:color w:val="auto"/>
                <w:kern w:val="2"/>
                <w:sz w:val="21"/>
                <w:szCs w:val="21"/>
                <w:lang w:val="en-US" w:eastAsia="zh-CN"/>
              </w:rPr>
              <w:t>0.5分</w:t>
            </w:r>
            <w:r>
              <w:rPr>
                <w:rFonts w:hint="eastAsia" w:asciiTheme="minorEastAsia" w:hAnsiTheme="minorEastAsia" w:eastAsiaTheme="minorEastAsia" w:cstheme="minorEastAsia"/>
                <w:color w:val="auto"/>
                <w:kern w:val="2"/>
                <w:sz w:val="21"/>
                <w:szCs w:val="21"/>
                <w:lang w:eastAsia="zh-CN"/>
              </w:rPr>
              <w:t>（租赁设备）</w:t>
            </w:r>
            <w:r>
              <w:rPr>
                <w:rFonts w:hint="eastAsia" w:asciiTheme="minorEastAsia" w:hAnsiTheme="minorEastAsia" w:eastAsiaTheme="minorEastAsia" w:cstheme="minorEastAsia"/>
                <w:color w:val="auto"/>
                <w:kern w:val="2"/>
                <w:sz w:val="21"/>
                <w:szCs w:val="21"/>
                <w:lang w:val="en-US" w:eastAsia="zh-CN"/>
              </w:rPr>
              <w:t>，</w:t>
            </w:r>
            <w:r>
              <w:rPr>
                <w:rFonts w:hint="eastAsia" w:asciiTheme="minorEastAsia" w:hAnsiTheme="minorEastAsia" w:eastAsiaTheme="minorEastAsia" w:cstheme="minorEastAsia"/>
                <w:color w:val="auto"/>
                <w:kern w:val="2"/>
                <w:sz w:val="21"/>
                <w:szCs w:val="21"/>
                <w:lang w:eastAsia="zh-CN"/>
              </w:rPr>
              <w:t>自有设备得1分，本项最高得</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分。</w:t>
            </w:r>
          </w:p>
          <w:p w14:paraId="0FD3FD33">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kern w:val="2"/>
                <w:sz w:val="21"/>
                <w:szCs w:val="21"/>
                <w:lang w:eastAsia="zh-CN"/>
              </w:rPr>
              <w:t>评审依据:租赁设备需提供租赁设备照片、有效的租赁合同扫描件（需为租赁公司名下）并全部加盖投标人公章；自有设备需提供购置设备照片、发票原件原色扫描件并全部加盖投标人公章。</w:t>
            </w:r>
            <w:r>
              <w:rPr>
                <w:rFonts w:hint="eastAsia" w:asciiTheme="minorEastAsia" w:hAnsiTheme="minorEastAsia" w:eastAsiaTheme="minorEastAsia" w:cstheme="minorEastAsia"/>
                <w:b/>
                <w:bCs/>
                <w:color w:val="auto"/>
                <w:sz w:val="21"/>
                <w:szCs w:val="21"/>
                <w:lang w:eastAsia="zh-CN"/>
              </w:rPr>
              <w:t>未提供或未按要求提供均不得分。</w:t>
            </w:r>
          </w:p>
        </w:tc>
        <w:tc>
          <w:tcPr>
            <w:tcW w:w="668" w:type="dxa"/>
            <w:vAlign w:val="center"/>
          </w:tcPr>
          <w:p w14:paraId="24524319">
            <w:pPr>
              <w:tabs>
                <w:tab w:val="left" w:pos="945"/>
                <w:tab w:val="left" w:pos="1050"/>
              </w:tabs>
              <w:spacing w:line="360" w:lineRule="auto"/>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分</w:t>
            </w:r>
          </w:p>
        </w:tc>
      </w:tr>
      <w:tr w14:paraId="51A8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8" w:type="dxa"/>
            <w:gridSpan w:val="3"/>
            <w:vAlign w:val="center"/>
          </w:tcPr>
          <w:p w14:paraId="22C3EEB2">
            <w:pPr>
              <w:widowControl/>
              <w:tabs>
                <w:tab w:val="left" w:pos="945"/>
                <w:tab w:val="left" w:pos="1050"/>
              </w:tabs>
              <w:adjustRightInd w:val="0"/>
              <w:snapToGrid w:val="0"/>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auto"/>
                <w:sz w:val="21"/>
                <w:szCs w:val="21"/>
                <w:lang w:eastAsia="zh-CN"/>
              </w:rPr>
              <w:t>（三）商务部分（10分）</w:t>
            </w:r>
          </w:p>
        </w:tc>
      </w:tr>
      <w:tr w14:paraId="2FA9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281" w:type="dxa"/>
            <w:vAlign w:val="center"/>
          </w:tcPr>
          <w:p w14:paraId="56489EF3">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商务基本</w:t>
            </w:r>
          </w:p>
          <w:p w14:paraId="3B06AE9D">
            <w:pPr>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color w:val="auto"/>
                <w:sz w:val="21"/>
                <w:szCs w:val="21"/>
              </w:rPr>
              <w:t>要求</w:t>
            </w:r>
          </w:p>
        </w:tc>
        <w:tc>
          <w:tcPr>
            <w:tcW w:w="7389" w:type="dxa"/>
            <w:vAlign w:val="center"/>
          </w:tcPr>
          <w:p w14:paraId="0A658AD0">
            <w:pPr>
              <w:widowControl/>
              <w:adjustRightInd w:val="0"/>
              <w:snapToGrid w:val="0"/>
              <w:spacing w:line="36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投标人全部响应招标文件中“第五章招标需求”中“（二）商务条件”内容的。否则作无效投标处理。</w:t>
            </w:r>
          </w:p>
          <w:p w14:paraId="748B15DE">
            <w:pP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评审依据：以投标文件中“商务响应/偏离表”</w:t>
            </w:r>
            <w:r>
              <w:rPr>
                <w:rFonts w:hint="eastAsia" w:asciiTheme="minorEastAsia" w:hAnsiTheme="minorEastAsia" w:eastAsiaTheme="minorEastAsia" w:cstheme="minorEastAsia"/>
                <w:b/>
                <w:bCs/>
                <w:color w:val="auto"/>
                <w:kern w:val="2"/>
                <w:sz w:val="21"/>
                <w:szCs w:val="21"/>
                <w:lang w:eastAsia="zh-CN"/>
              </w:rPr>
              <w:t>并全部加盖投标人公章</w:t>
            </w:r>
            <w:r>
              <w:rPr>
                <w:rFonts w:hint="eastAsia" w:asciiTheme="minorEastAsia" w:hAnsiTheme="minorEastAsia" w:eastAsiaTheme="minorEastAsia" w:cstheme="minorEastAsia"/>
                <w:b/>
                <w:bCs/>
                <w:color w:val="auto"/>
                <w:sz w:val="21"/>
                <w:szCs w:val="21"/>
                <w:lang w:eastAsia="zh-CN"/>
              </w:rPr>
              <w:t>为依据，否则视为无效。</w:t>
            </w:r>
          </w:p>
        </w:tc>
        <w:tc>
          <w:tcPr>
            <w:tcW w:w="668" w:type="dxa"/>
            <w:vAlign w:val="center"/>
          </w:tcPr>
          <w:p w14:paraId="16D2CA5B">
            <w:pPr>
              <w:tabs>
                <w:tab w:val="left" w:pos="945"/>
                <w:tab w:val="left" w:pos="1050"/>
              </w:tabs>
              <w:spacing w:line="360" w:lineRule="auto"/>
              <w:jc w:val="center"/>
              <w:rPr>
                <w:rFonts w:hint="eastAsia" w:asciiTheme="minorEastAsia" w:hAnsiTheme="minorEastAsia" w:eastAsiaTheme="minorEastAsia" w:cstheme="minorEastAsia"/>
                <w:color w:val="auto"/>
                <w:sz w:val="21"/>
                <w:szCs w:val="21"/>
                <w:lang w:eastAsia="zh-CN"/>
              </w:rPr>
            </w:pPr>
          </w:p>
        </w:tc>
      </w:tr>
      <w:tr w14:paraId="70AF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281" w:type="dxa"/>
            <w:vAlign w:val="center"/>
          </w:tcPr>
          <w:p w14:paraId="1DD1292B">
            <w:pPr>
              <w:spacing w:line="320" w:lineRule="exact"/>
              <w:jc w:val="center"/>
              <w:textAlignment w:val="baseline"/>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color w:val="auto"/>
                <w:sz w:val="21"/>
                <w:szCs w:val="21"/>
              </w:rPr>
              <w:t>业绩</w:t>
            </w:r>
          </w:p>
        </w:tc>
        <w:tc>
          <w:tcPr>
            <w:tcW w:w="7389" w:type="dxa"/>
            <w:vAlign w:val="center"/>
          </w:tcPr>
          <w:p w14:paraId="7C250E70">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投标人2021年11月1日以来（以合同签订时间为准），承担过类似市政管网检测业务，每个业绩得2分，未提供不得分</w:t>
            </w:r>
            <w:r>
              <w:rPr>
                <w:rFonts w:hint="eastAsia" w:asciiTheme="minorEastAsia" w:hAnsiTheme="minorEastAsia" w:eastAsiaTheme="minorEastAsia" w:cstheme="minorEastAsia"/>
                <w:color w:val="auto"/>
                <w:kern w:val="2"/>
                <w:sz w:val="21"/>
                <w:szCs w:val="21"/>
                <w:lang w:eastAsia="zh-CN"/>
              </w:rPr>
              <w:t>，本项最高得</w:t>
            </w:r>
            <w:r>
              <w:rPr>
                <w:rFonts w:hint="eastAsia" w:asciiTheme="minorEastAsia" w:hAnsiTheme="minorEastAsia" w:eastAsiaTheme="minorEastAsia" w:cstheme="minorEastAsia"/>
                <w:color w:val="auto"/>
                <w:kern w:val="2"/>
                <w:sz w:val="21"/>
                <w:szCs w:val="21"/>
                <w:lang w:val="en-US" w:eastAsia="zh-CN"/>
              </w:rPr>
              <w:t>6</w:t>
            </w:r>
            <w:r>
              <w:rPr>
                <w:rFonts w:hint="eastAsia" w:asciiTheme="minorEastAsia" w:hAnsiTheme="minorEastAsia" w:eastAsiaTheme="minorEastAsia" w:cstheme="minorEastAsia"/>
                <w:color w:val="auto"/>
                <w:kern w:val="2"/>
                <w:sz w:val="21"/>
                <w:szCs w:val="21"/>
                <w:lang w:eastAsia="zh-CN"/>
              </w:rPr>
              <w:t>分</w:t>
            </w:r>
            <w:r>
              <w:rPr>
                <w:rFonts w:hint="eastAsia" w:asciiTheme="minorEastAsia" w:hAnsiTheme="minorEastAsia" w:eastAsiaTheme="minorEastAsia" w:cstheme="minorEastAsia"/>
                <w:color w:val="auto"/>
                <w:sz w:val="21"/>
                <w:szCs w:val="21"/>
                <w:lang w:eastAsia="zh-CN"/>
              </w:rPr>
              <w:t>。</w:t>
            </w:r>
          </w:p>
          <w:p w14:paraId="34A7EB41">
            <w:pPr>
              <w:widowControl/>
              <w:adjustRightInd w:val="0"/>
              <w:snapToGrid w:val="0"/>
              <w:spacing w:line="360" w:lineRule="atLeast"/>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color w:val="auto"/>
                <w:sz w:val="21"/>
                <w:szCs w:val="21"/>
                <w:lang w:eastAsia="zh-CN"/>
              </w:rPr>
              <w:t>评审依据：须提供招标合同、中标通知书及中标公示截图等材料原件</w:t>
            </w:r>
            <w:r>
              <w:rPr>
                <w:rFonts w:hint="eastAsia" w:asciiTheme="minorEastAsia" w:hAnsiTheme="minorEastAsia" w:eastAsiaTheme="minorEastAsia" w:cstheme="minorEastAsia"/>
                <w:b/>
                <w:bCs/>
                <w:color w:val="auto"/>
                <w:kern w:val="2"/>
                <w:sz w:val="21"/>
                <w:szCs w:val="21"/>
                <w:lang w:eastAsia="zh-CN"/>
              </w:rPr>
              <w:t>原色</w:t>
            </w:r>
            <w:r>
              <w:rPr>
                <w:rFonts w:hint="eastAsia" w:asciiTheme="minorEastAsia" w:hAnsiTheme="minorEastAsia" w:eastAsiaTheme="minorEastAsia" w:cstheme="minorEastAsia"/>
                <w:b/>
                <w:color w:val="auto"/>
                <w:sz w:val="21"/>
                <w:szCs w:val="21"/>
                <w:lang w:eastAsia="zh-CN"/>
              </w:rPr>
              <w:t>扫描件</w:t>
            </w:r>
            <w:r>
              <w:rPr>
                <w:rFonts w:hint="eastAsia" w:asciiTheme="minorEastAsia" w:hAnsiTheme="minorEastAsia" w:eastAsiaTheme="minorEastAsia" w:cstheme="minorEastAsia"/>
                <w:b/>
                <w:bCs/>
                <w:color w:val="auto"/>
                <w:kern w:val="2"/>
                <w:sz w:val="21"/>
                <w:szCs w:val="21"/>
                <w:lang w:eastAsia="zh-CN"/>
              </w:rPr>
              <w:t>并全部加盖投标人公章</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bCs/>
                <w:color w:val="auto"/>
                <w:sz w:val="21"/>
                <w:szCs w:val="21"/>
                <w:lang w:eastAsia="zh-CN"/>
              </w:rPr>
              <w:t>未提供或未按要求提供均不得分。</w:t>
            </w:r>
          </w:p>
        </w:tc>
        <w:tc>
          <w:tcPr>
            <w:tcW w:w="668" w:type="dxa"/>
            <w:vAlign w:val="center"/>
          </w:tcPr>
          <w:p w14:paraId="28F8ED2A">
            <w:pPr>
              <w:tabs>
                <w:tab w:val="left" w:pos="945"/>
                <w:tab w:val="left" w:pos="1050"/>
              </w:tabs>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分</w:t>
            </w:r>
          </w:p>
        </w:tc>
      </w:tr>
      <w:tr w14:paraId="53E4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281" w:type="dxa"/>
            <w:vAlign w:val="center"/>
          </w:tcPr>
          <w:p w14:paraId="09B26783">
            <w:pPr>
              <w:spacing w:line="320" w:lineRule="exact"/>
              <w:jc w:val="both"/>
              <w:textAlignment w:val="baseline"/>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履约能力</w:t>
            </w:r>
          </w:p>
        </w:tc>
        <w:tc>
          <w:tcPr>
            <w:tcW w:w="7389" w:type="dxa"/>
            <w:vAlign w:val="center"/>
          </w:tcPr>
          <w:p w14:paraId="1C39D2CD">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投标人应具备相应技术能力，投标人具有工程测量专业测绘乙级资质的加</w:t>
            </w: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lang w:eastAsia="zh-CN"/>
              </w:rPr>
              <w:t>分，具有工程测量专业测绘甲级资质的加</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分。</w:t>
            </w:r>
          </w:p>
          <w:p w14:paraId="7158BD83">
            <w:pPr>
              <w:pStyle w:val="52"/>
              <w:widowControl/>
              <w:autoSpaceDE/>
              <w:autoSpaceDN/>
              <w:adjustRightInd w:val="0"/>
              <w:snapToGrid w:val="0"/>
              <w:spacing w:line="336" w:lineRule="auto"/>
              <w:ind w:left="0" w:leftChars="0" w:firstLine="0" w:firstLineChars="0"/>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bCs/>
                <w:color w:val="auto"/>
                <w:kern w:val="2"/>
                <w:sz w:val="21"/>
                <w:szCs w:val="21"/>
                <w:lang w:eastAsia="zh-CN"/>
              </w:rPr>
              <w:t>评审依据：提供本单位得资质证书原件原色扫描件并全部加盖投标人公章计分，</w:t>
            </w:r>
            <w:r>
              <w:rPr>
                <w:rFonts w:hint="eastAsia" w:asciiTheme="minorEastAsia" w:hAnsiTheme="minorEastAsia" w:eastAsiaTheme="minorEastAsia" w:cstheme="minorEastAsia"/>
                <w:b/>
                <w:bCs/>
                <w:color w:val="auto"/>
                <w:sz w:val="21"/>
                <w:szCs w:val="21"/>
                <w:lang w:eastAsia="zh-CN"/>
              </w:rPr>
              <w:t>未提供或未按要求提供均不得分。</w:t>
            </w:r>
          </w:p>
        </w:tc>
        <w:tc>
          <w:tcPr>
            <w:tcW w:w="668" w:type="dxa"/>
            <w:vAlign w:val="center"/>
          </w:tcPr>
          <w:p w14:paraId="746B4FE2">
            <w:pPr>
              <w:tabs>
                <w:tab w:val="left" w:pos="945"/>
                <w:tab w:val="left" w:pos="1050"/>
              </w:tabs>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分</w:t>
            </w:r>
          </w:p>
        </w:tc>
      </w:tr>
      <w:tr w14:paraId="0104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281" w:type="dxa"/>
            <w:vAlign w:val="center"/>
          </w:tcPr>
          <w:p w14:paraId="037625C6">
            <w:pPr>
              <w:spacing w:line="320" w:lineRule="exact"/>
              <w:jc w:val="center"/>
              <w:textAlignment w:val="baseline"/>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服务承诺</w:t>
            </w:r>
          </w:p>
        </w:tc>
        <w:tc>
          <w:tcPr>
            <w:tcW w:w="7389" w:type="dxa"/>
            <w:vAlign w:val="center"/>
          </w:tcPr>
          <w:p w14:paraId="6693E11D">
            <w:pPr>
              <w:widowControl/>
              <w:adjustRightInd w:val="0"/>
              <w:snapToGrid w:val="0"/>
              <w:spacing w:line="36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投标人承诺如招标人在项目实施过程中有任务：</w:t>
            </w:r>
          </w:p>
          <w:p w14:paraId="522FFA9D">
            <w:pPr>
              <w:widowControl/>
              <w:adjustRightInd w:val="0"/>
              <w:snapToGrid w:val="0"/>
              <w:spacing w:line="36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投标人的技术人员1小时内达到并能提出解决方案，3小时内解决问题的得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分；</w:t>
            </w:r>
          </w:p>
          <w:p w14:paraId="15AE3427">
            <w:pPr>
              <w:widowControl/>
              <w:adjustRightInd w:val="0"/>
              <w:snapToGrid w:val="0"/>
              <w:spacing w:line="36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投标人的技术人员2小时内达到并能提出解决方案，5小时内解决问题的得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分。</w:t>
            </w:r>
          </w:p>
          <w:p w14:paraId="57136AD9">
            <w:pPr>
              <w:widowControl/>
              <w:adjustRightInd w:val="0"/>
              <w:snapToGrid w:val="0"/>
              <w:spacing w:line="360" w:lineRule="atLeast"/>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bCs/>
                <w:color w:val="auto"/>
                <w:sz w:val="21"/>
                <w:szCs w:val="21"/>
                <w:lang w:eastAsia="zh-CN"/>
              </w:rPr>
              <w:t>评审依据：提供售后服务承诺函加盖投标人公章，未提供或未按要求提供均不得分。</w:t>
            </w:r>
          </w:p>
        </w:tc>
        <w:tc>
          <w:tcPr>
            <w:tcW w:w="668" w:type="dxa"/>
            <w:vAlign w:val="center"/>
          </w:tcPr>
          <w:p w14:paraId="1EF6E6E4">
            <w:pPr>
              <w:tabs>
                <w:tab w:val="left" w:pos="945"/>
                <w:tab w:val="left" w:pos="1050"/>
              </w:tabs>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p>
        </w:tc>
      </w:tr>
    </w:tbl>
    <w:p w14:paraId="26B244D9">
      <w:pPr>
        <w:pStyle w:val="6"/>
        <w:spacing w:before="12"/>
        <w:ind w:left="0"/>
        <w:rPr>
          <w:rFonts w:hint="eastAsia" w:ascii="宋体" w:hAnsi="宋体" w:eastAsia="宋体" w:cs="宋体"/>
        </w:rPr>
      </w:pPr>
    </w:p>
    <w:p w14:paraId="2007FFCB">
      <w:pPr>
        <w:pStyle w:val="6"/>
        <w:spacing w:before="12"/>
        <w:ind w:left="0"/>
        <w:rPr>
          <w:rFonts w:ascii="宋体" w:hAnsi="宋体" w:eastAsia="宋体" w:cs="宋体"/>
          <w:lang w:eastAsia="zh-CN"/>
        </w:rPr>
      </w:pPr>
      <w:r>
        <w:rPr>
          <w:rFonts w:hint="eastAsia" w:ascii="宋体" w:hAnsi="宋体" w:eastAsia="宋体" w:cs="宋体"/>
          <w:lang w:eastAsia="zh-CN"/>
        </w:rPr>
        <w:t>注:投标人如提供虚假材料谋取中标，将按照相关法律法规严肃处理。</w:t>
      </w:r>
      <w:bookmarkEnd w:id="221"/>
    </w:p>
    <w:p w14:paraId="3AB39D24">
      <w:pPr>
        <w:rPr>
          <w:rFonts w:hint="eastAsia"/>
          <w:color w:val="auto"/>
          <w:highlight w:val="none"/>
          <w:lang w:eastAsia="zh-CN"/>
        </w:rPr>
      </w:pPr>
      <w:r>
        <w:rPr>
          <w:rFonts w:hint="eastAsia"/>
          <w:color w:val="auto"/>
          <w:highlight w:val="none"/>
          <w:lang w:eastAsia="zh-CN"/>
        </w:rPr>
        <w:t>1.投标人递交的所有资料、文件必须真实有效，若存在弄虚作假行为，提供虚假材料谋取中标，将按照相关法律法规严肃处理。</w:t>
      </w:r>
    </w:p>
    <w:p w14:paraId="6B7C199E">
      <w:pPr>
        <w:rPr>
          <w:rFonts w:hint="eastAsia"/>
          <w:color w:val="auto"/>
          <w:highlight w:val="none"/>
          <w:lang w:eastAsia="zh-CN"/>
        </w:rPr>
      </w:pPr>
      <w:r>
        <w:rPr>
          <w:rFonts w:hint="eastAsia"/>
          <w:color w:val="auto"/>
          <w:highlight w:val="none"/>
          <w:lang w:eastAsia="zh-CN"/>
        </w:rPr>
        <w:t>2.中标后签订合同前采购人有权查验供应商投标文件中的拟配人员证书及在职情况是否于实际情况相符。(查验资料，包括证书原件、人员社保情况、劳动合同原件、注册信息查询等。)</w:t>
      </w:r>
    </w:p>
    <w:p w14:paraId="6DECCE3F">
      <w:pPr>
        <w:rPr>
          <w:rFonts w:hint="eastAsia"/>
          <w:color w:val="auto"/>
          <w:highlight w:val="none"/>
          <w:lang w:eastAsia="zh-CN"/>
        </w:rPr>
      </w:pPr>
      <w:r>
        <w:rPr>
          <w:rFonts w:hint="eastAsia"/>
          <w:color w:val="auto"/>
          <w:highlight w:val="none"/>
          <w:lang w:eastAsia="zh-CN"/>
        </w:rPr>
        <w:t>3.中标后签订合同前采购人有权按供应商按投标文件中的响应情况进行设备</w:t>
      </w:r>
      <w:r>
        <w:rPr>
          <w:rFonts w:hint="eastAsia" w:asciiTheme="minorEastAsia" w:hAnsiTheme="minorEastAsia" w:eastAsiaTheme="minorEastAsia" w:cstheme="minorEastAsia"/>
          <w:b/>
          <w:bCs/>
          <w:color w:val="auto"/>
          <w:kern w:val="2"/>
          <w:sz w:val="21"/>
          <w:szCs w:val="21"/>
          <w:lang w:eastAsia="zh-CN"/>
        </w:rPr>
        <w:t>（租赁设备需为租赁公司名下）</w:t>
      </w:r>
      <w:r>
        <w:rPr>
          <w:rFonts w:hint="eastAsia"/>
          <w:color w:val="auto"/>
          <w:highlight w:val="none"/>
          <w:lang w:eastAsia="zh-CN"/>
        </w:rPr>
        <w:t xml:space="preserve">清点查验，无法按时提供设备的视为虚假响应，招标人可根据《中华人民共和国招标投标法》第五十四条规定，宣布中标无效。 </w:t>
      </w:r>
    </w:p>
    <w:sectPr>
      <w:footerReference r:id="rId10" w:type="default"/>
      <w:pgSz w:w="11906" w:h="16838"/>
      <w:pgMar w:top="1440" w:right="1080" w:bottom="1440" w:left="1080" w:header="0" w:footer="83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B565">
    <w:pPr>
      <w:pStyle w:val="8"/>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42F0">
    <w:pPr>
      <w:pStyle w:val="8"/>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AB6EE8">
                          <w:pPr>
                            <w:pStyle w:val="14"/>
                            <w:rPr>
                              <w:rFonts w:hint="eastAsia"/>
                            </w:rPr>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b1C3CAQAAjgMAAA4AAAAAAAAAAQAgAAAAHgEAAGRycy9lMm9Eb2MueG1sUEsF&#10;BgAAAAAGAAYAWQEAAFIFAAAAAA==&#10;">
              <v:fill on="f" focussize="0,0"/>
              <v:stroke on="f"/>
              <v:imagedata o:title=""/>
              <o:lock v:ext="edit" aspectratio="f"/>
              <v:textbox inset="0mm,0mm,0mm,0mm" style="mso-fit-shape-to-text:t;">
                <w:txbxContent>
                  <w:p w14:paraId="7AAB6EE8">
                    <w:pPr>
                      <w:pStyle w:val="14"/>
                      <w:rPr>
                        <w:rFonts w:hint="eastAsia"/>
                      </w:rP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CCCDD">
    <w:pPr>
      <w:pStyle w:val="8"/>
      <w:spacing w:line="14" w:lineRule="auto"/>
      <w:rPr>
        <w:rFonts w:hint="eastAsia"/>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A8AA0E">
                          <w:pPr>
                            <w:pStyle w:val="14"/>
                            <w:rPr>
                              <w:rFonts w:hint="eastAsia"/>
                            </w:rPr>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WhU8IBAACO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jN&#10;MuvTB6gx7T5gYhre+gG3ZvYDOjPtQUWbv0iIYBzVPV/VlUMiIj9ar9brCkMCY/MF8dnD8xAhvZPe&#10;kmw0NOL4iqr89AHSmDqn5GrO32ljygiN+8uBmNnDcu9jj9lKw36YCO19e0Y+PU6+oQ4XnRLz3qGw&#10;eUlmI87GfjJyDQhvjgkLl34y6gg1FcMxFUbTSuU9eHwvWQ+/0f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S1oVPCAQAAjgMAAA4AAAAAAAAAAQAgAAAAHgEAAGRycy9lMm9Eb2MueG1sUEsF&#10;BgAAAAAGAAYAWQEAAFIFAAAAAA==&#10;">
              <v:fill on="f" focussize="0,0"/>
              <v:stroke on="f"/>
              <v:imagedata o:title=""/>
              <o:lock v:ext="edit" aspectratio="f"/>
              <v:textbox inset="0mm,0mm,0mm,0mm" style="mso-fit-shape-to-text:t;">
                <w:txbxContent>
                  <w:p w14:paraId="06A8AA0E">
                    <w:pPr>
                      <w:pStyle w:val="14"/>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BA213">
    <w:pPr>
      <w:pStyle w:val="8"/>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9E107">
                          <w:pPr>
                            <w:pStyle w:val="14"/>
                            <w:rPr>
                              <w:rFonts w:hint="eastAsia"/>
                            </w:rPr>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0asMBAACOAwAADgAAAGRycy9lMm9Eb2MueG1srVPNjtMwEL4j8Q6W&#10;79TZrkB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1c&#10;X2d9+gA1pt0HTEzDWz/g1sx+QGemPaho8xcJEYyjuqeLunJIRORHq+VqVWFIYGy+ID57eB4ipHfS&#10;W5KNhkYcX1GVHz9AGlPnlFzN+TttTBmhcf84EDN7WO597DFbadgNE6Gdb0/Ip8fJN9TholNi3jsU&#10;Ni/JbMTZ2E1GrgHh9pCwcOkno45QUzEcU2E0rVTeg7/vJevhN9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L9PRqwwEAAI4DAAAOAAAAAAAAAAEAIAAAAB4BAABkcnMvZTJvRG9jLnhtbFBL&#10;BQYAAAAABgAGAFkBAABTBQAAAAA=&#10;">
              <v:fill on="f" focussize="0,0"/>
              <v:stroke on="f"/>
              <v:imagedata o:title=""/>
              <o:lock v:ext="edit" aspectratio="f"/>
              <v:textbox inset="0mm,0mm,0mm,0mm" style="mso-fit-shape-to-text:t;">
                <w:txbxContent>
                  <w:p w14:paraId="3749E107">
                    <w:pPr>
                      <w:pStyle w:val="14"/>
                      <w:rPr>
                        <w:rFonts w:hint="eastAsia"/>
                      </w:rPr>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8BF02">
    <w:pPr>
      <w:pStyle w:val="8"/>
      <w:spacing w:line="14" w:lineRule="auto"/>
      <w:rPr>
        <w:rFonts w:hint="eastAsia"/>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704C81">
                          <w:pPr>
                            <w:pStyle w:val="14"/>
                            <w:rPr>
                              <w:rFonts w:hint="eastAsia"/>
                            </w:rPr>
                          </w:pPr>
                          <w:r>
                            <w:fldChar w:fldCharType="begin"/>
                          </w:r>
                          <w:r>
                            <w:instrText xml:space="preserve"> PAGE  \* MERGEFORMAT </w:instrText>
                          </w:r>
                          <w:r>
                            <w:fldChar w:fldCharType="separate"/>
                          </w:r>
                          <w:r>
                            <w:t>31</w:t>
                          </w:r>
                          <w:r>
                            <w:fldChar w:fldCharType="end"/>
                          </w:r>
                        </w:p>
                      </w:txbxContent>
                    </wps:txbx>
                    <wps:bodyPr wrap="none" lIns="0" tIns="0" rIns="0" bIns="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ZxD8MBAACO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eUOG5x4Ocf388/f59/fSOv&#10;32R9+gA1pt0HTEzDWz/g1sx+QGemPaho8xcJEYyjuqeLunJIRORHq+VqVWFIYGy+ID57eB4ipHfS&#10;W5KNhkYcX1GVHz9AGlPnlFzN+TttTBmhcf84EDN7WO597DFbadgNE6Gdb0/Ip8fJN9TholNi3jsU&#10;Ni/JbMTZ2E1GrgHh9pCwcOkno45QUzEcU2E0rVTeg7/vJevhN9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iJnEPwwEAAI4DAAAOAAAAAAAAAAEAIAAAAB4BAABkcnMvZTJvRG9jLnhtbFBL&#10;BQYAAAAABgAGAFkBAABTBQAAAAA=&#10;">
              <v:fill on="f" focussize="0,0"/>
              <v:stroke on="f"/>
              <v:imagedata o:title=""/>
              <o:lock v:ext="edit" aspectratio="f"/>
              <v:textbox inset="0mm,0mm,0mm,0mm" style="mso-fit-shape-to-text:t;">
                <w:txbxContent>
                  <w:p w14:paraId="53704C81">
                    <w:pPr>
                      <w:pStyle w:val="14"/>
                      <w:rPr>
                        <w:rFonts w:hint="eastAsia"/>
                      </w:rPr>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8531">
    <w:pPr>
      <w:pStyle w:val="8"/>
      <w:spacing w:line="14" w:lineRule="auto"/>
      <w:rPr>
        <w:rFonts w:hint="eastAsia"/>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2D7EF7">
                          <w:pPr>
                            <w:pStyle w:val="14"/>
                            <w:rPr>
                              <w:rFonts w:hint="eastAsia"/>
                            </w:rPr>
                          </w:pPr>
                          <w:r>
                            <w:fldChar w:fldCharType="begin"/>
                          </w:r>
                          <w:r>
                            <w:instrText xml:space="preserve"> PAGE  \* MERGEFORMAT </w:instrText>
                          </w:r>
                          <w:r>
                            <w:fldChar w:fldCharType="separate"/>
                          </w:r>
                          <w:r>
                            <w:t>38</w:t>
                          </w:r>
                          <w:r>
                            <w:fldChar w:fldCharType="end"/>
                          </w:r>
                        </w:p>
                      </w:txbxContent>
                    </wps:txbx>
                    <wps:bodyPr wrap="none" lIns="0" tIns="0" rIns="0" bIns="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JrpMMBAACPAwAADgAAAGRycy9lMm9Eb2MueG1srVPNjtMwEL4j8Q6W&#10;79TZrkB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EtbsI1JY5bnPj5x/fzz9/nX9/I&#10;9essUB+gxrz7gJlpeOsHTJ79gM7Me1DR5i8yIhhHeU8XeeWQiMiPVsvVqsKQwNh8QXz28DxESO+k&#10;tyQbDY04vyIrP36ANKbOKbma83famDJD4/5xIGb2sNz72GO20rAbJkI7356QT4+jb6jDTafEvHeo&#10;bN6S2YizsZuMXAPC7SFh4dJPRh2hpmI4p8Jo2qm8CH/fS9bDf7T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omukwwEAAI8DAAAOAAAAAAAAAAEAIAAAAB4BAABkcnMvZTJvRG9jLnhtbFBL&#10;BQYAAAAABgAGAFkBAABTBQAAAAA=&#10;">
              <v:fill on="f" focussize="0,0"/>
              <v:stroke on="f"/>
              <v:imagedata o:title=""/>
              <o:lock v:ext="edit" aspectratio="f"/>
              <v:textbox inset="0mm,0mm,0mm,0mm" style="mso-fit-shape-to-text:t;">
                <w:txbxContent>
                  <w:p w14:paraId="5D2D7EF7">
                    <w:pPr>
                      <w:pStyle w:val="14"/>
                      <w:rPr>
                        <w:rFonts w:hint="eastAsia"/>
                      </w:rPr>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5A67F">
    <w:pPr>
      <w:pStyle w:val="8"/>
      <w:spacing w:line="14" w:lineRule="auto"/>
      <w:rPr>
        <w:rFonts w:hint="eastAsia"/>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66F738">
                          <w:pPr>
                            <w:pStyle w:val="14"/>
                            <w:rPr>
                              <w:rFonts w:hint="eastAsia"/>
                            </w:rPr>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CNFMcBAACdAwAADgAAAGRycy9lMm9Eb2MueG1srVPNjtMwEL6vxDtY&#10;vtNkK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GNuENZ05YevHzzx/nX4/nh++M&#10;YiRQ77GiujtPlXF4DwMVz3GkYOI9tMGmLzFilCd5Txd51RCZTJdWy9WqpJSk3OwQfvF03QeMHxRY&#10;loyaB3q/LKs4fsI4ls4lqZuDW21MfkPj/goQ5hhReQmm24nJOHGy4rAbJno7aE7ErqdFqLmjvefM&#10;fHSkc9qZ2QizsZuM1BH9u0OkMfJ0CXWEIlbJoVfL/KYNS2vxp5+rnv6q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hCNFMcBAACdAwAADgAAAAAAAAABACAAAAAeAQAAZHJzL2Uyb0RvYy54&#10;bWxQSwUGAAAAAAYABgBZAQAAVwUAAAAA&#10;">
              <v:fill on="f" focussize="0,0"/>
              <v:stroke on="f"/>
              <v:imagedata o:title=""/>
              <o:lock v:ext="edit" aspectratio="f"/>
              <v:textbox inset="0mm,0mm,0mm,0mm" style="mso-fit-shape-to-text:t;">
                <w:txbxContent>
                  <w:p w14:paraId="2566F738">
                    <w:pPr>
                      <w:pStyle w:val="14"/>
                      <w:rPr>
                        <w:rFonts w:hint="eastAsia"/>
                      </w:rPr>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05D73">
    <w:pPr>
      <w:pStyle w:val="8"/>
      <w:spacing w:line="14" w:lineRule="auto"/>
      <w:rPr>
        <w:rFonts w:hint="eastAsia"/>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D4A73">
                          <w:pPr>
                            <w:pStyle w:val="14"/>
                            <w:rPr>
                              <w:rFonts w:hint="eastAsia"/>
                            </w:rPr>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cMBAACPAwAADgAAAGRycy9lMm9Eb2MueG1srVPNjtMwEL4j8Q6W&#10;79TZI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3iJryixHGLEz///HH+9ef8+zt5&#10;+SYL1AeoMe82YGYa3vkBk2c/oDPzHlS0+YuMCMZR3tNFXjkkIvKj1XK1qjAkMDZfEJ/dPQ8R0nvp&#10;LclGQyPOr8jKjx8hjalzSq7m/I02pszQuP8ciJk9LPc+9pitNOyGidDOtyfk0+PoG+pw0ykxHxwq&#10;m7dkNuJs7CYj14Dw9pCwcOkno45QUzGcU2E07VRehH/vJevuP9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4z6dwwEAAI8DAAAOAAAAAAAAAAEAIAAAAB4BAABkcnMvZTJvRG9jLnhtbFBL&#10;BQYAAAAABgAGAFkBAABTBQAAAAA=&#10;">
              <v:fill on="f" focussize="0,0"/>
              <v:stroke on="f"/>
              <v:imagedata o:title=""/>
              <o:lock v:ext="edit" aspectratio="f"/>
              <v:textbox inset="0mm,0mm,0mm,0mm" style="mso-fit-shape-to-text:t;">
                <w:txbxContent>
                  <w:p w14:paraId="420D4A73">
                    <w:pPr>
                      <w:pStyle w:val="14"/>
                      <w:rPr>
                        <w:rFonts w:hint="eastAsia"/>
                      </w:rPr>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5"/>
      <w:numFmt w:val="decimal"/>
      <w:lvlText w:val="%1."/>
      <w:lvlJc w:val="left"/>
      <w:pPr>
        <w:ind w:left="600" w:hanging="363"/>
        <w:jc w:val="left"/>
      </w:pPr>
      <w:rPr>
        <w:rFonts w:hint="default" w:ascii="仿宋" w:hAnsi="仿宋" w:eastAsia="仿宋" w:cs="仿宋"/>
        <w:b/>
        <w:bCs/>
        <w:spacing w:val="0"/>
        <w:w w:val="99"/>
        <w:sz w:val="24"/>
        <w:szCs w:val="24"/>
      </w:rPr>
    </w:lvl>
    <w:lvl w:ilvl="1" w:tentative="0">
      <w:start w:val="1"/>
      <w:numFmt w:val="decimal"/>
      <w:lvlText w:val="%1.%2"/>
      <w:lvlJc w:val="left"/>
      <w:pPr>
        <w:ind w:left="824" w:hanging="480"/>
        <w:jc w:val="left"/>
      </w:pPr>
      <w:rPr>
        <w:rFonts w:hint="default" w:ascii="仿宋" w:hAnsi="仿宋" w:eastAsia="仿宋" w:cs="仿宋"/>
        <w:w w:val="100"/>
        <w:sz w:val="24"/>
        <w:szCs w:val="24"/>
      </w:rPr>
    </w:lvl>
    <w:lvl w:ilvl="2" w:tentative="0">
      <w:start w:val="0"/>
      <w:numFmt w:val="bullet"/>
      <w:lvlText w:val=""/>
      <w:lvlJc w:val="left"/>
      <w:pPr>
        <w:ind w:left="944" w:hanging="420"/>
      </w:pPr>
      <w:rPr>
        <w:rFonts w:hint="default" w:ascii="Wingdings" w:hAnsi="Wingdings" w:eastAsia="Wingdings" w:cs="Wingdings"/>
        <w:w w:val="99"/>
        <w:sz w:val="21"/>
        <w:szCs w:val="21"/>
      </w:rPr>
    </w:lvl>
    <w:lvl w:ilvl="3" w:tentative="0">
      <w:start w:val="0"/>
      <w:numFmt w:val="bullet"/>
      <w:lvlText w:val="•"/>
      <w:lvlJc w:val="left"/>
      <w:pPr>
        <w:ind w:left="800" w:hanging="420"/>
      </w:pPr>
      <w:rPr>
        <w:rFonts w:hint="default"/>
      </w:rPr>
    </w:lvl>
    <w:lvl w:ilvl="4" w:tentative="0">
      <w:start w:val="0"/>
      <w:numFmt w:val="bullet"/>
      <w:lvlText w:val="•"/>
      <w:lvlJc w:val="left"/>
      <w:pPr>
        <w:ind w:left="820" w:hanging="420"/>
      </w:pPr>
      <w:rPr>
        <w:rFonts w:hint="default"/>
      </w:rPr>
    </w:lvl>
    <w:lvl w:ilvl="5" w:tentative="0">
      <w:start w:val="0"/>
      <w:numFmt w:val="bullet"/>
      <w:lvlText w:val="•"/>
      <w:lvlJc w:val="left"/>
      <w:pPr>
        <w:ind w:left="840" w:hanging="420"/>
      </w:pPr>
      <w:rPr>
        <w:rFonts w:hint="default"/>
      </w:rPr>
    </w:lvl>
    <w:lvl w:ilvl="6" w:tentative="0">
      <w:start w:val="0"/>
      <w:numFmt w:val="bullet"/>
      <w:lvlText w:val="•"/>
      <w:lvlJc w:val="left"/>
      <w:pPr>
        <w:ind w:left="860" w:hanging="420"/>
      </w:pPr>
      <w:rPr>
        <w:rFonts w:hint="default"/>
      </w:rPr>
    </w:lvl>
    <w:lvl w:ilvl="7" w:tentative="0">
      <w:start w:val="0"/>
      <w:numFmt w:val="bullet"/>
      <w:lvlText w:val="•"/>
      <w:lvlJc w:val="left"/>
      <w:pPr>
        <w:ind w:left="940" w:hanging="420"/>
      </w:pPr>
      <w:rPr>
        <w:rFonts w:hint="default"/>
      </w:rPr>
    </w:lvl>
    <w:lvl w:ilvl="8" w:tentative="0">
      <w:start w:val="0"/>
      <w:numFmt w:val="bullet"/>
      <w:lvlText w:val="•"/>
      <w:lvlJc w:val="left"/>
      <w:pPr>
        <w:ind w:left="3922" w:hanging="420"/>
      </w:pPr>
      <w:rPr>
        <w:rFonts w:hint="default"/>
      </w:rPr>
    </w:lvl>
  </w:abstractNum>
  <w:abstractNum w:abstractNumId="1">
    <w:nsid w:val="8461FADE"/>
    <w:multiLevelType w:val="multilevel"/>
    <w:tmpl w:val="8461FADE"/>
    <w:lvl w:ilvl="0" w:tentative="0">
      <w:start w:val="32"/>
      <w:numFmt w:val="decimal"/>
      <w:lvlText w:val="%1"/>
      <w:lvlJc w:val="left"/>
      <w:pPr>
        <w:ind w:left="478" w:hanging="603"/>
        <w:jc w:val="left"/>
      </w:pPr>
      <w:rPr>
        <w:rFonts w:hint="default"/>
      </w:rPr>
    </w:lvl>
    <w:lvl w:ilvl="1" w:tentative="0">
      <w:start w:val="1"/>
      <w:numFmt w:val="decimal"/>
      <w:lvlText w:val="%1.%2"/>
      <w:lvlJc w:val="left"/>
      <w:pPr>
        <w:ind w:left="478" w:hanging="603"/>
        <w:jc w:val="left"/>
      </w:pPr>
      <w:rPr>
        <w:rFonts w:hint="default" w:ascii="仿宋" w:hAnsi="仿宋" w:eastAsia="仿宋" w:cs="仿宋"/>
        <w:w w:val="100"/>
        <w:sz w:val="24"/>
        <w:szCs w:val="24"/>
      </w:rPr>
    </w:lvl>
    <w:lvl w:ilvl="2" w:tentative="0">
      <w:start w:val="1"/>
      <w:numFmt w:val="decimal"/>
      <w:lvlText w:val="%1.%2.%3"/>
      <w:lvlJc w:val="left"/>
      <w:pPr>
        <w:ind w:left="1018" w:hanging="780"/>
        <w:jc w:val="left"/>
      </w:pPr>
      <w:rPr>
        <w:rFonts w:hint="default" w:ascii="仿宋" w:hAnsi="仿宋" w:eastAsia="仿宋" w:cs="仿宋"/>
        <w:w w:val="100"/>
        <w:sz w:val="24"/>
        <w:szCs w:val="24"/>
      </w:rPr>
    </w:lvl>
    <w:lvl w:ilvl="3" w:tentative="0">
      <w:start w:val="0"/>
      <w:numFmt w:val="bullet"/>
      <w:lvlText w:val="•"/>
      <w:lvlJc w:val="left"/>
      <w:pPr>
        <w:ind w:left="2990" w:hanging="780"/>
      </w:pPr>
      <w:rPr>
        <w:rFonts w:hint="default"/>
      </w:rPr>
    </w:lvl>
    <w:lvl w:ilvl="4" w:tentative="0">
      <w:start w:val="0"/>
      <w:numFmt w:val="bullet"/>
      <w:lvlText w:val="•"/>
      <w:lvlJc w:val="left"/>
      <w:pPr>
        <w:ind w:left="3975" w:hanging="780"/>
      </w:pPr>
      <w:rPr>
        <w:rFonts w:hint="default"/>
      </w:rPr>
    </w:lvl>
    <w:lvl w:ilvl="5" w:tentative="0">
      <w:start w:val="0"/>
      <w:numFmt w:val="bullet"/>
      <w:lvlText w:val="•"/>
      <w:lvlJc w:val="left"/>
      <w:pPr>
        <w:ind w:left="4960" w:hanging="780"/>
      </w:pPr>
      <w:rPr>
        <w:rFonts w:hint="default"/>
      </w:rPr>
    </w:lvl>
    <w:lvl w:ilvl="6" w:tentative="0">
      <w:start w:val="0"/>
      <w:numFmt w:val="bullet"/>
      <w:lvlText w:val="•"/>
      <w:lvlJc w:val="left"/>
      <w:pPr>
        <w:ind w:left="5945" w:hanging="780"/>
      </w:pPr>
      <w:rPr>
        <w:rFonts w:hint="default"/>
      </w:rPr>
    </w:lvl>
    <w:lvl w:ilvl="7" w:tentative="0">
      <w:start w:val="0"/>
      <w:numFmt w:val="bullet"/>
      <w:lvlText w:val="•"/>
      <w:lvlJc w:val="left"/>
      <w:pPr>
        <w:ind w:left="6930" w:hanging="780"/>
      </w:pPr>
      <w:rPr>
        <w:rFonts w:hint="default"/>
      </w:rPr>
    </w:lvl>
    <w:lvl w:ilvl="8" w:tentative="0">
      <w:start w:val="0"/>
      <w:numFmt w:val="bullet"/>
      <w:lvlText w:val="•"/>
      <w:lvlJc w:val="left"/>
      <w:pPr>
        <w:ind w:left="7915" w:hanging="780"/>
      </w:pPr>
      <w:rPr>
        <w:rFonts w:hint="default"/>
      </w:rPr>
    </w:lvl>
  </w:abstractNum>
  <w:abstractNum w:abstractNumId="2">
    <w:nsid w:val="9288B902"/>
    <w:multiLevelType w:val="multilevel"/>
    <w:tmpl w:val="9288B902"/>
    <w:lvl w:ilvl="0" w:tentative="0">
      <w:start w:val="24"/>
      <w:numFmt w:val="decimal"/>
      <w:lvlText w:val="%1"/>
      <w:lvlJc w:val="left"/>
      <w:pPr>
        <w:ind w:left="1078" w:hanging="540"/>
        <w:jc w:val="left"/>
      </w:pPr>
      <w:rPr>
        <w:rFonts w:hint="default"/>
      </w:rPr>
    </w:lvl>
    <w:lvl w:ilvl="1" w:tentative="0">
      <w:start w:val="1"/>
      <w:numFmt w:val="decimal"/>
      <w:lvlText w:val="%1.%2"/>
      <w:lvlJc w:val="left"/>
      <w:pPr>
        <w:ind w:left="1078" w:hanging="540"/>
        <w:jc w:val="left"/>
      </w:pPr>
      <w:rPr>
        <w:rFonts w:hint="default"/>
        <w:w w:val="100"/>
      </w:rPr>
    </w:lvl>
    <w:lvl w:ilvl="2" w:tentative="0">
      <w:start w:val="0"/>
      <w:numFmt w:val="bullet"/>
      <w:lvlText w:val="•"/>
      <w:lvlJc w:val="left"/>
      <w:pPr>
        <w:ind w:left="2841" w:hanging="540"/>
      </w:pPr>
      <w:rPr>
        <w:rFonts w:hint="default"/>
      </w:rPr>
    </w:lvl>
    <w:lvl w:ilvl="3" w:tentative="0">
      <w:start w:val="0"/>
      <w:numFmt w:val="bullet"/>
      <w:lvlText w:val="•"/>
      <w:lvlJc w:val="left"/>
      <w:pPr>
        <w:ind w:left="3721" w:hanging="540"/>
      </w:pPr>
      <w:rPr>
        <w:rFonts w:hint="default"/>
      </w:rPr>
    </w:lvl>
    <w:lvl w:ilvl="4" w:tentative="0">
      <w:start w:val="0"/>
      <w:numFmt w:val="bullet"/>
      <w:lvlText w:val="•"/>
      <w:lvlJc w:val="left"/>
      <w:pPr>
        <w:ind w:left="4602" w:hanging="540"/>
      </w:pPr>
      <w:rPr>
        <w:rFonts w:hint="default"/>
      </w:rPr>
    </w:lvl>
    <w:lvl w:ilvl="5" w:tentative="0">
      <w:start w:val="0"/>
      <w:numFmt w:val="bullet"/>
      <w:lvlText w:val="•"/>
      <w:lvlJc w:val="left"/>
      <w:pPr>
        <w:ind w:left="5483" w:hanging="540"/>
      </w:pPr>
      <w:rPr>
        <w:rFonts w:hint="default"/>
      </w:rPr>
    </w:lvl>
    <w:lvl w:ilvl="6" w:tentative="0">
      <w:start w:val="0"/>
      <w:numFmt w:val="bullet"/>
      <w:lvlText w:val="•"/>
      <w:lvlJc w:val="left"/>
      <w:pPr>
        <w:ind w:left="6363" w:hanging="540"/>
      </w:pPr>
      <w:rPr>
        <w:rFonts w:hint="default"/>
      </w:rPr>
    </w:lvl>
    <w:lvl w:ilvl="7" w:tentative="0">
      <w:start w:val="0"/>
      <w:numFmt w:val="bullet"/>
      <w:lvlText w:val="•"/>
      <w:lvlJc w:val="left"/>
      <w:pPr>
        <w:ind w:left="7244" w:hanging="540"/>
      </w:pPr>
      <w:rPr>
        <w:rFonts w:hint="default"/>
      </w:rPr>
    </w:lvl>
    <w:lvl w:ilvl="8" w:tentative="0">
      <w:start w:val="0"/>
      <w:numFmt w:val="bullet"/>
      <w:lvlText w:val="•"/>
      <w:lvlJc w:val="left"/>
      <w:pPr>
        <w:ind w:left="8124" w:hanging="540"/>
      </w:pPr>
      <w:rPr>
        <w:rFonts w:hint="default"/>
      </w:rPr>
    </w:lvl>
  </w:abstractNum>
  <w:abstractNum w:abstractNumId="3">
    <w:nsid w:val="9C8AC8EF"/>
    <w:multiLevelType w:val="multilevel"/>
    <w:tmpl w:val="9C8AC8EF"/>
    <w:lvl w:ilvl="0" w:tentative="0">
      <w:start w:val="12"/>
      <w:numFmt w:val="decimal"/>
      <w:lvlText w:val="%1."/>
      <w:lvlJc w:val="left"/>
      <w:pPr>
        <w:ind w:left="720" w:hanging="483"/>
        <w:jc w:val="left"/>
      </w:pPr>
      <w:rPr>
        <w:rFonts w:hint="default" w:ascii="仿宋" w:hAnsi="仿宋" w:eastAsia="仿宋" w:cs="仿宋"/>
        <w:b/>
        <w:bCs/>
        <w:spacing w:val="0"/>
        <w:w w:val="99"/>
        <w:sz w:val="24"/>
        <w:szCs w:val="24"/>
      </w:rPr>
    </w:lvl>
    <w:lvl w:ilvl="1" w:tentative="0">
      <w:start w:val="1"/>
      <w:numFmt w:val="decimal"/>
      <w:lvlText w:val="%1.%2"/>
      <w:lvlJc w:val="left"/>
      <w:pPr>
        <w:ind w:left="692" w:hanging="540"/>
        <w:jc w:val="left"/>
      </w:pPr>
      <w:rPr>
        <w:rFonts w:hint="default" w:ascii="仿宋" w:hAnsi="仿宋" w:eastAsia="仿宋" w:cs="仿宋"/>
        <w:w w:val="100"/>
        <w:sz w:val="24"/>
        <w:szCs w:val="24"/>
      </w:rPr>
    </w:lvl>
    <w:lvl w:ilvl="2" w:tentative="0">
      <w:start w:val="0"/>
      <w:numFmt w:val="bullet"/>
      <w:lvlText w:val="•"/>
      <w:lvlJc w:val="left"/>
      <w:pPr>
        <w:ind w:left="780" w:hanging="540"/>
      </w:pPr>
      <w:rPr>
        <w:rFonts w:hint="default"/>
      </w:rPr>
    </w:lvl>
    <w:lvl w:ilvl="3" w:tentative="0">
      <w:start w:val="0"/>
      <w:numFmt w:val="bullet"/>
      <w:lvlText w:val="•"/>
      <w:lvlJc w:val="left"/>
      <w:pPr>
        <w:ind w:left="960" w:hanging="540"/>
      </w:pPr>
      <w:rPr>
        <w:rFonts w:hint="default"/>
      </w:rPr>
    </w:lvl>
    <w:lvl w:ilvl="4" w:tentative="0">
      <w:start w:val="0"/>
      <w:numFmt w:val="bullet"/>
      <w:lvlText w:val="•"/>
      <w:lvlJc w:val="left"/>
      <w:pPr>
        <w:ind w:left="2235" w:hanging="540"/>
      </w:pPr>
      <w:rPr>
        <w:rFonts w:hint="default"/>
      </w:rPr>
    </w:lvl>
    <w:lvl w:ilvl="5" w:tentative="0">
      <w:start w:val="0"/>
      <w:numFmt w:val="bullet"/>
      <w:lvlText w:val="•"/>
      <w:lvlJc w:val="left"/>
      <w:pPr>
        <w:ind w:left="3510" w:hanging="540"/>
      </w:pPr>
      <w:rPr>
        <w:rFonts w:hint="default"/>
      </w:rPr>
    </w:lvl>
    <w:lvl w:ilvl="6" w:tentative="0">
      <w:start w:val="0"/>
      <w:numFmt w:val="bullet"/>
      <w:lvlText w:val="•"/>
      <w:lvlJc w:val="left"/>
      <w:pPr>
        <w:ind w:left="4785" w:hanging="540"/>
      </w:pPr>
      <w:rPr>
        <w:rFonts w:hint="default"/>
      </w:rPr>
    </w:lvl>
    <w:lvl w:ilvl="7" w:tentative="0">
      <w:start w:val="0"/>
      <w:numFmt w:val="bullet"/>
      <w:lvlText w:val="•"/>
      <w:lvlJc w:val="left"/>
      <w:pPr>
        <w:ind w:left="6060" w:hanging="540"/>
      </w:pPr>
      <w:rPr>
        <w:rFonts w:hint="default"/>
      </w:rPr>
    </w:lvl>
    <w:lvl w:ilvl="8" w:tentative="0">
      <w:start w:val="0"/>
      <w:numFmt w:val="bullet"/>
      <w:lvlText w:val="•"/>
      <w:lvlJc w:val="left"/>
      <w:pPr>
        <w:ind w:left="7335" w:hanging="540"/>
      </w:pPr>
      <w:rPr>
        <w:rFonts w:hint="default"/>
      </w:rPr>
    </w:lvl>
  </w:abstractNum>
  <w:abstractNum w:abstractNumId="4">
    <w:nsid w:val="B0F1ACD9"/>
    <w:multiLevelType w:val="multilevel"/>
    <w:tmpl w:val="B0F1ACD9"/>
    <w:lvl w:ilvl="0" w:tentative="0">
      <w:start w:val="20"/>
      <w:numFmt w:val="decimal"/>
      <w:lvlText w:val="%1"/>
      <w:lvlJc w:val="left"/>
      <w:pPr>
        <w:ind w:left="958" w:hanging="540"/>
        <w:jc w:val="left"/>
      </w:pPr>
      <w:rPr>
        <w:rFonts w:hint="default"/>
      </w:rPr>
    </w:lvl>
    <w:lvl w:ilvl="1" w:tentative="0">
      <w:start w:val="1"/>
      <w:numFmt w:val="decimal"/>
      <w:lvlText w:val="%1.%2"/>
      <w:lvlJc w:val="left"/>
      <w:pPr>
        <w:ind w:left="958" w:hanging="540"/>
        <w:jc w:val="left"/>
      </w:pPr>
      <w:rPr>
        <w:rFonts w:hint="default" w:ascii="仿宋" w:hAnsi="仿宋" w:eastAsia="仿宋" w:cs="仿宋"/>
        <w:w w:val="100"/>
        <w:sz w:val="24"/>
        <w:szCs w:val="24"/>
      </w:rPr>
    </w:lvl>
    <w:lvl w:ilvl="2" w:tentative="0">
      <w:start w:val="0"/>
      <w:numFmt w:val="bullet"/>
      <w:lvlText w:val="•"/>
      <w:lvlJc w:val="left"/>
      <w:pPr>
        <w:ind w:left="2745" w:hanging="540"/>
      </w:pPr>
      <w:rPr>
        <w:rFonts w:hint="default"/>
      </w:rPr>
    </w:lvl>
    <w:lvl w:ilvl="3" w:tentative="0">
      <w:start w:val="0"/>
      <w:numFmt w:val="bullet"/>
      <w:lvlText w:val="•"/>
      <w:lvlJc w:val="left"/>
      <w:pPr>
        <w:ind w:left="3637" w:hanging="540"/>
      </w:pPr>
      <w:rPr>
        <w:rFonts w:hint="default"/>
      </w:rPr>
    </w:lvl>
    <w:lvl w:ilvl="4" w:tentative="0">
      <w:start w:val="0"/>
      <w:numFmt w:val="bullet"/>
      <w:lvlText w:val="•"/>
      <w:lvlJc w:val="left"/>
      <w:pPr>
        <w:ind w:left="4530" w:hanging="540"/>
      </w:pPr>
      <w:rPr>
        <w:rFonts w:hint="default"/>
      </w:rPr>
    </w:lvl>
    <w:lvl w:ilvl="5" w:tentative="0">
      <w:start w:val="0"/>
      <w:numFmt w:val="bullet"/>
      <w:lvlText w:val="•"/>
      <w:lvlJc w:val="left"/>
      <w:pPr>
        <w:ind w:left="5423" w:hanging="540"/>
      </w:pPr>
      <w:rPr>
        <w:rFonts w:hint="default"/>
      </w:rPr>
    </w:lvl>
    <w:lvl w:ilvl="6" w:tentative="0">
      <w:start w:val="0"/>
      <w:numFmt w:val="bullet"/>
      <w:lvlText w:val="•"/>
      <w:lvlJc w:val="left"/>
      <w:pPr>
        <w:ind w:left="6315" w:hanging="540"/>
      </w:pPr>
      <w:rPr>
        <w:rFonts w:hint="default"/>
      </w:rPr>
    </w:lvl>
    <w:lvl w:ilvl="7" w:tentative="0">
      <w:start w:val="0"/>
      <w:numFmt w:val="bullet"/>
      <w:lvlText w:val="•"/>
      <w:lvlJc w:val="left"/>
      <w:pPr>
        <w:ind w:left="7208" w:hanging="540"/>
      </w:pPr>
      <w:rPr>
        <w:rFonts w:hint="default"/>
      </w:rPr>
    </w:lvl>
    <w:lvl w:ilvl="8" w:tentative="0">
      <w:start w:val="0"/>
      <w:numFmt w:val="bullet"/>
      <w:lvlText w:val="•"/>
      <w:lvlJc w:val="left"/>
      <w:pPr>
        <w:ind w:left="8100" w:hanging="540"/>
      </w:pPr>
      <w:rPr>
        <w:rFonts w:hint="default"/>
      </w:rPr>
    </w:lvl>
  </w:abstractNum>
  <w:abstractNum w:abstractNumId="5">
    <w:nsid w:val="BE923771"/>
    <w:multiLevelType w:val="multilevel"/>
    <w:tmpl w:val="BE923771"/>
    <w:lvl w:ilvl="0" w:tentative="0">
      <w:start w:val="22"/>
      <w:numFmt w:val="decimal"/>
      <w:lvlText w:val="%1"/>
      <w:lvlJc w:val="left"/>
      <w:pPr>
        <w:ind w:left="804" w:hanging="543"/>
        <w:jc w:val="left"/>
      </w:pPr>
      <w:rPr>
        <w:rFonts w:hint="default"/>
      </w:rPr>
    </w:lvl>
    <w:lvl w:ilvl="1" w:tentative="0">
      <w:start w:val="1"/>
      <w:numFmt w:val="decimal"/>
      <w:lvlText w:val="%1.%2"/>
      <w:lvlJc w:val="left"/>
      <w:pPr>
        <w:ind w:left="804" w:hanging="543"/>
        <w:jc w:val="left"/>
      </w:pPr>
      <w:rPr>
        <w:rFonts w:hint="default" w:ascii="仿宋" w:hAnsi="仿宋" w:eastAsia="仿宋" w:cs="仿宋"/>
        <w:w w:val="100"/>
        <w:sz w:val="24"/>
        <w:szCs w:val="24"/>
      </w:rPr>
    </w:lvl>
    <w:lvl w:ilvl="2" w:tentative="0">
      <w:start w:val="0"/>
      <w:numFmt w:val="bullet"/>
      <w:lvlText w:val="•"/>
      <w:lvlJc w:val="left"/>
      <w:pPr>
        <w:ind w:left="2617" w:hanging="543"/>
      </w:pPr>
      <w:rPr>
        <w:rFonts w:hint="default"/>
      </w:rPr>
    </w:lvl>
    <w:lvl w:ilvl="3" w:tentative="0">
      <w:start w:val="0"/>
      <w:numFmt w:val="bullet"/>
      <w:lvlText w:val="•"/>
      <w:lvlJc w:val="left"/>
      <w:pPr>
        <w:ind w:left="3525" w:hanging="543"/>
      </w:pPr>
      <w:rPr>
        <w:rFonts w:hint="default"/>
      </w:rPr>
    </w:lvl>
    <w:lvl w:ilvl="4" w:tentative="0">
      <w:start w:val="0"/>
      <w:numFmt w:val="bullet"/>
      <w:lvlText w:val="•"/>
      <w:lvlJc w:val="left"/>
      <w:pPr>
        <w:ind w:left="4434" w:hanging="543"/>
      </w:pPr>
      <w:rPr>
        <w:rFonts w:hint="default"/>
      </w:rPr>
    </w:lvl>
    <w:lvl w:ilvl="5" w:tentative="0">
      <w:start w:val="0"/>
      <w:numFmt w:val="bullet"/>
      <w:lvlText w:val="•"/>
      <w:lvlJc w:val="left"/>
      <w:pPr>
        <w:ind w:left="5343" w:hanging="543"/>
      </w:pPr>
      <w:rPr>
        <w:rFonts w:hint="default"/>
      </w:rPr>
    </w:lvl>
    <w:lvl w:ilvl="6" w:tentative="0">
      <w:start w:val="0"/>
      <w:numFmt w:val="bullet"/>
      <w:lvlText w:val="•"/>
      <w:lvlJc w:val="left"/>
      <w:pPr>
        <w:ind w:left="6251" w:hanging="543"/>
      </w:pPr>
      <w:rPr>
        <w:rFonts w:hint="default"/>
      </w:rPr>
    </w:lvl>
    <w:lvl w:ilvl="7" w:tentative="0">
      <w:start w:val="0"/>
      <w:numFmt w:val="bullet"/>
      <w:lvlText w:val="•"/>
      <w:lvlJc w:val="left"/>
      <w:pPr>
        <w:ind w:left="7160" w:hanging="543"/>
      </w:pPr>
      <w:rPr>
        <w:rFonts w:hint="default"/>
      </w:rPr>
    </w:lvl>
    <w:lvl w:ilvl="8" w:tentative="0">
      <w:start w:val="0"/>
      <w:numFmt w:val="bullet"/>
      <w:lvlText w:val="•"/>
      <w:lvlJc w:val="left"/>
      <w:pPr>
        <w:ind w:left="8068" w:hanging="543"/>
      </w:pPr>
      <w:rPr>
        <w:rFonts w:hint="default"/>
      </w:rPr>
    </w:lvl>
  </w:abstractNum>
  <w:abstractNum w:abstractNumId="6">
    <w:nsid w:val="C8879AEF"/>
    <w:multiLevelType w:val="multilevel"/>
    <w:tmpl w:val="C8879AEF"/>
    <w:lvl w:ilvl="0" w:tentative="0">
      <w:start w:val="7"/>
      <w:numFmt w:val="decimal"/>
      <w:lvlText w:val="%1"/>
      <w:lvlJc w:val="left"/>
      <w:pPr>
        <w:ind w:left="658" w:hanging="420"/>
        <w:jc w:val="left"/>
      </w:pPr>
      <w:rPr>
        <w:rFonts w:hint="default"/>
      </w:rPr>
    </w:lvl>
    <w:lvl w:ilvl="1" w:tentative="0">
      <w:start w:val="1"/>
      <w:numFmt w:val="decimal"/>
      <w:lvlText w:val="%1.%2"/>
      <w:lvlJc w:val="left"/>
      <w:pPr>
        <w:ind w:left="692" w:hanging="420"/>
        <w:jc w:val="left"/>
      </w:pPr>
      <w:rPr>
        <w:rFonts w:hint="default" w:ascii="仿宋" w:hAnsi="仿宋" w:eastAsia="仿宋" w:cs="仿宋"/>
        <w:w w:val="100"/>
        <w:sz w:val="24"/>
        <w:szCs w:val="24"/>
      </w:rPr>
    </w:lvl>
    <w:lvl w:ilvl="2" w:tentative="0">
      <w:start w:val="0"/>
      <w:numFmt w:val="bullet"/>
      <w:lvlText w:val="•"/>
      <w:lvlJc w:val="left"/>
      <w:pPr>
        <w:ind w:left="1720" w:hanging="420"/>
      </w:pPr>
      <w:rPr>
        <w:rFonts w:hint="default"/>
      </w:rPr>
    </w:lvl>
    <w:lvl w:ilvl="3" w:tentative="0">
      <w:start w:val="0"/>
      <w:numFmt w:val="bullet"/>
      <w:lvlText w:val="•"/>
      <w:lvlJc w:val="left"/>
      <w:pPr>
        <w:ind w:left="2741" w:hanging="420"/>
      </w:pPr>
      <w:rPr>
        <w:rFonts w:hint="default"/>
      </w:rPr>
    </w:lvl>
    <w:lvl w:ilvl="4" w:tentative="0">
      <w:start w:val="0"/>
      <w:numFmt w:val="bullet"/>
      <w:lvlText w:val="•"/>
      <w:lvlJc w:val="left"/>
      <w:pPr>
        <w:ind w:left="3762" w:hanging="420"/>
      </w:pPr>
      <w:rPr>
        <w:rFonts w:hint="default"/>
      </w:rPr>
    </w:lvl>
    <w:lvl w:ilvl="5" w:tentative="0">
      <w:start w:val="0"/>
      <w:numFmt w:val="bullet"/>
      <w:lvlText w:val="•"/>
      <w:lvlJc w:val="left"/>
      <w:pPr>
        <w:ind w:left="4782" w:hanging="420"/>
      </w:pPr>
      <w:rPr>
        <w:rFonts w:hint="default"/>
      </w:rPr>
    </w:lvl>
    <w:lvl w:ilvl="6" w:tentative="0">
      <w:start w:val="0"/>
      <w:numFmt w:val="bullet"/>
      <w:lvlText w:val="•"/>
      <w:lvlJc w:val="left"/>
      <w:pPr>
        <w:ind w:left="5803" w:hanging="420"/>
      </w:pPr>
      <w:rPr>
        <w:rFonts w:hint="default"/>
      </w:rPr>
    </w:lvl>
    <w:lvl w:ilvl="7" w:tentative="0">
      <w:start w:val="0"/>
      <w:numFmt w:val="bullet"/>
      <w:lvlText w:val="•"/>
      <w:lvlJc w:val="left"/>
      <w:pPr>
        <w:ind w:left="6824" w:hanging="420"/>
      </w:pPr>
      <w:rPr>
        <w:rFonts w:hint="default"/>
      </w:rPr>
    </w:lvl>
    <w:lvl w:ilvl="8" w:tentative="0">
      <w:start w:val="0"/>
      <w:numFmt w:val="bullet"/>
      <w:lvlText w:val="•"/>
      <w:lvlJc w:val="left"/>
      <w:pPr>
        <w:ind w:left="7844" w:hanging="420"/>
      </w:pPr>
      <w:rPr>
        <w:rFonts w:hint="default"/>
      </w:rPr>
    </w:lvl>
  </w:abstractNum>
  <w:abstractNum w:abstractNumId="7">
    <w:nsid w:val="D7F9FE59"/>
    <w:multiLevelType w:val="multilevel"/>
    <w:tmpl w:val="D7F9FE59"/>
    <w:lvl w:ilvl="0" w:tentative="0">
      <w:start w:val="11"/>
      <w:numFmt w:val="decimal"/>
      <w:lvlText w:val="%1"/>
      <w:lvlJc w:val="left"/>
      <w:pPr>
        <w:ind w:left="718" w:hanging="540"/>
        <w:jc w:val="left"/>
      </w:pPr>
      <w:rPr>
        <w:rFonts w:hint="default"/>
      </w:rPr>
    </w:lvl>
    <w:lvl w:ilvl="1" w:tentative="0">
      <w:start w:val="1"/>
      <w:numFmt w:val="decimal"/>
      <w:lvlText w:val="%1.%2"/>
      <w:lvlJc w:val="left"/>
      <w:pPr>
        <w:ind w:left="718" w:hanging="540"/>
        <w:jc w:val="left"/>
      </w:pPr>
      <w:rPr>
        <w:rFonts w:hint="default" w:ascii="仿宋" w:hAnsi="仿宋" w:eastAsia="仿宋" w:cs="仿宋"/>
        <w:color w:val="0D0D0D"/>
        <w:w w:val="100"/>
        <w:sz w:val="24"/>
        <w:szCs w:val="24"/>
      </w:rPr>
    </w:lvl>
    <w:lvl w:ilvl="2" w:tentative="0">
      <w:start w:val="0"/>
      <w:numFmt w:val="bullet"/>
      <w:lvlText w:val="•"/>
      <w:lvlJc w:val="left"/>
      <w:pPr>
        <w:ind w:left="2553" w:hanging="540"/>
      </w:pPr>
      <w:rPr>
        <w:rFonts w:hint="default"/>
      </w:rPr>
    </w:lvl>
    <w:lvl w:ilvl="3" w:tentative="0">
      <w:start w:val="0"/>
      <w:numFmt w:val="bullet"/>
      <w:lvlText w:val="•"/>
      <w:lvlJc w:val="left"/>
      <w:pPr>
        <w:ind w:left="3469" w:hanging="540"/>
      </w:pPr>
      <w:rPr>
        <w:rFonts w:hint="default"/>
      </w:rPr>
    </w:lvl>
    <w:lvl w:ilvl="4" w:tentative="0">
      <w:start w:val="0"/>
      <w:numFmt w:val="bullet"/>
      <w:lvlText w:val="•"/>
      <w:lvlJc w:val="left"/>
      <w:pPr>
        <w:ind w:left="4386" w:hanging="540"/>
      </w:pPr>
      <w:rPr>
        <w:rFonts w:hint="default"/>
      </w:rPr>
    </w:lvl>
    <w:lvl w:ilvl="5" w:tentative="0">
      <w:start w:val="0"/>
      <w:numFmt w:val="bullet"/>
      <w:lvlText w:val="•"/>
      <w:lvlJc w:val="left"/>
      <w:pPr>
        <w:ind w:left="5303" w:hanging="540"/>
      </w:pPr>
      <w:rPr>
        <w:rFonts w:hint="default"/>
      </w:rPr>
    </w:lvl>
    <w:lvl w:ilvl="6" w:tentative="0">
      <w:start w:val="0"/>
      <w:numFmt w:val="bullet"/>
      <w:lvlText w:val="•"/>
      <w:lvlJc w:val="left"/>
      <w:pPr>
        <w:ind w:left="6219" w:hanging="540"/>
      </w:pPr>
      <w:rPr>
        <w:rFonts w:hint="default"/>
      </w:rPr>
    </w:lvl>
    <w:lvl w:ilvl="7" w:tentative="0">
      <w:start w:val="0"/>
      <w:numFmt w:val="bullet"/>
      <w:lvlText w:val="•"/>
      <w:lvlJc w:val="left"/>
      <w:pPr>
        <w:ind w:left="7136" w:hanging="540"/>
      </w:pPr>
      <w:rPr>
        <w:rFonts w:hint="default"/>
      </w:rPr>
    </w:lvl>
    <w:lvl w:ilvl="8" w:tentative="0">
      <w:start w:val="0"/>
      <w:numFmt w:val="bullet"/>
      <w:lvlText w:val="•"/>
      <w:lvlJc w:val="left"/>
      <w:pPr>
        <w:ind w:left="8052" w:hanging="540"/>
      </w:pPr>
      <w:rPr>
        <w:rFonts w:hint="default"/>
      </w:rPr>
    </w:lvl>
  </w:abstractNum>
  <w:abstractNum w:abstractNumId="8">
    <w:nsid w:val="DCBA6B53"/>
    <w:multiLevelType w:val="multilevel"/>
    <w:tmpl w:val="DCBA6B53"/>
    <w:lvl w:ilvl="0" w:tentative="0">
      <w:start w:val="10"/>
      <w:numFmt w:val="decimal"/>
      <w:lvlText w:val="%1."/>
      <w:lvlJc w:val="left"/>
      <w:pPr>
        <w:ind w:left="720" w:hanging="483"/>
        <w:jc w:val="left"/>
      </w:pPr>
      <w:rPr>
        <w:rFonts w:hint="default" w:ascii="仿宋" w:hAnsi="仿宋" w:eastAsia="仿宋" w:cs="仿宋"/>
        <w:b/>
        <w:bCs/>
        <w:spacing w:val="0"/>
        <w:w w:val="99"/>
        <w:sz w:val="24"/>
        <w:szCs w:val="24"/>
      </w:rPr>
    </w:lvl>
    <w:lvl w:ilvl="1" w:tentative="0">
      <w:start w:val="1"/>
      <w:numFmt w:val="decimal"/>
      <w:lvlText w:val="%1.%2"/>
      <w:lvlJc w:val="left"/>
      <w:pPr>
        <w:ind w:left="692" w:hanging="540"/>
        <w:jc w:val="left"/>
      </w:pPr>
      <w:rPr>
        <w:rFonts w:hint="default" w:ascii="仿宋" w:hAnsi="仿宋" w:eastAsia="仿宋" w:cs="仿宋"/>
        <w:w w:val="100"/>
        <w:sz w:val="24"/>
        <w:szCs w:val="24"/>
      </w:rPr>
    </w:lvl>
    <w:lvl w:ilvl="2" w:tentative="0">
      <w:start w:val="0"/>
      <w:numFmt w:val="bullet"/>
      <w:lvlText w:val="•"/>
      <w:lvlJc w:val="left"/>
      <w:pPr>
        <w:ind w:left="1738" w:hanging="540"/>
      </w:pPr>
      <w:rPr>
        <w:rFonts w:hint="default"/>
      </w:rPr>
    </w:lvl>
    <w:lvl w:ilvl="3" w:tentative="0">
      <w:start w:val="0"/>
      <w:numFmt w:val="bullet"/>
      <w:lvlText w:val="•"/>
      <w:lvlJc w:val="left"/>
      <w:pPr>
        <w:ind w:left="2756" w:hanging="540"/>
      </w:pPr>
      <w:rPr>
        <w:rFonts w:hint="default"/>
      </w:rPr>
    </w:lvl>
    <w:lvl w:ilvl="4" w:tentative="0">
      <w:start w:val="0"/>
      <w:numFmt w:val="bullet"/>
      <w:lvlText w:val="•"/>
      <w:lvlJc w:val="left"/>
      <w:pPr>
        <w:ind w:left="3775" w:hanging="540"/>
      </w:pPr>
      <w:rPr>
        <w:rFonts w:hint="default"/>
      </w:rPr>
    </w:lvl>
    <w:lvl w:ilvl="5" w:tentative="0">
      <w:start w:val="0"/>
      <w:numFmt w:val="bullet"/>
      <w:lvlText w:val="•"/>
      <w:lvlJc w:val="left"/>
      <w:pPr>
        <w:ind w:left="4793" w:hanging="540"/>
      </w:pPr>
      <w:rPr>
        <w:rFonts w:hint="default"/>
      </w:rPr>
    </w:lvl>
    <w:lvl w:ilvl="6" w:tentative="0">
      <w:start w:val="0"/>
      <w:numFmt w:val="bullet"/>
      <w:lvlText w:val="•"/>
      <w:lvlJc w:val="left"/>
      <w:pPr>
        <w:ind w:left="5812" w:hanging="540"/>
      </w:pPr>
      <w:rPr>
        <w:rFonts w:hint="default"/>
      </w:rPr>
    </w:lvl>
    <w:lvl w:ilvl="7" w:tentative="0">
      <w:start w:val="0"/>
      <w:numFmt w:val="bullet"/>
      <w:lvlText w:val="•"/>
      <w:lvlJc w:val="left"/>
      <w:pPr>
        <w:ind w:left="6830" w:hanging="540"/>
      </w:pPr>
      <w:rPr>
        <w:rFonts w:hint="default"/>
      </w:rPr>
    </w:lvl>
    <w:lvl w:ilvl="8" w:tentative="0">
      <w:start w:val="0"/>
      <w:numFmt w:val="bullet"/>
      <w:lvlText w:val="•"/>
      <w:lvlJc w:val="left"/>
      <w:pPr>
        <w:ind w:left="7849" w:hanging="540"/>
      </w:pPr>
      <w:rPr>
        <w:rFonts w:hint="default"/>
      </w:rPr>
    </w:lvl>
  </w:abstractNum>
  <w:abstractNum w:abstractNumId="9">
    <w:nsid w:val="0E640482"/>
    <w:multiLevelType w:val="multilevel"/>
    <w:tmpl w:val="0E640482"/>
    <w:lvl w:ilvl="0" w:tentative="0">
      <w:start w:val="17"/>
      <w:numFmt w:val="decimal"/>
      <w:lvlText w:val="%1"/>
      <w:lvlJc w:val="left"/>
      <w:pPr>
        <w:ind w:left="658" w:hanging="543"/>
        <w:jc w:val="left"/>
      </w:pPr>
      <w:rPr>
        <w:rFonts w:hint="default"/>
      </w:rPr>
    </w:lvl>
    <w:lvl w:ilvl="1" w:tentative="0">
      <w:start w:val="1"/>
      <w:numFmt w:val="decimal"/>
      <w:lvlText w:val="%1.%2"/>
      <w:lvlJc w:val="left"/>
      <w:pPr>
        <w:ind w:left="658" w:hanging="543"/>
        <w:jc w:val="left"/>
      </w:pPr>
      <w:rPr>
        <w:rFonts w:hint="default" w:ascii="仿宋" w:hAnsi="仿宋" w:eastAsia="仿宋" w:cs="仿宋"/>
        <w:w w:val="100"/>
        <w:sz w:val="24"/>
        <w:szCs w:val="24"/>
      </w:rPr>
    </w:lvl>
    <w:lvl w:ilvl="2" w:tentative="0">
      <w:start w:val="0"/>
      <w:numFmt w:val="bullet"/>
      <w:lvlText w:val="•"/>
      <w:lvlJc w:val="left"/>
      <w:pPr>
        <w:ind w:left="2505" w:hanging="543"/>
      </w:pPr>
      <w:rPr>
        <w:rFonts w:hint="default"/>
      </w:rPr>
    </w:lvl>
    <w:lvl w:ilvl="3" w:tentative="0">
      <w:start w:val="0"/>
      <w:numFmt w:val="bullet"/>
      <w:lvlText w:val="•"/>
      <w:lvlJc w:val="left"/>
      <w:pPr>
        <w:ind w:left="3427" w:hanging="543"/>
      </w:pPr>
      <w:rPr>
        <w:rFonts w:hint="default"/>
      </w:rPr>
    </w:lvl>
    <w:lvl w:ilvl="4" w:tentative="0">
      <w:start w:val="0"/>
      <w:numFmt w:val="bullet"/>
      <w:lvlText w:val="•"/>
      <w:lvlJc w:val="left"/>
      <w:pPr>
        <w:ind w:left="4350" w:hanging="543"/>
      </w:pPr>
      <w:rPr>
        <w:rFonts w:hint="default"/>
      </w:rPr>
    </w:lvl>
    <w:lvl w:ilvl="5" w:tentative="0">
      <w:start w:val="0"/>
      <w:numFmt w:val="bullet"/>
      <w:lvlText w:val="•"/>
      <w:lvlJc w:val="left"/>
      <w:pPr>
        <w:ind w:left="5273" w:hanging="543"/>
      </w:pPr>
      <w:rPr>
        <w:rFonts w:hint="default"/>
      </w:rPr>
    </w:lvl>
    <w:lvl w:ilvl="6" w:tentative="0">
      <w:start w:val="0"/>
      <w:numFmt w:val="bullet"/>
      <w:lvlText w:val="•"/>
      <w:lvlJc w:val="left"/>
      <w:pPr>
        <w:ind w:left="6195" w:hanging="543"/>
      </w:pPr>
      <w:rPr>
        <w:rFonts w:hint="default"/>
      </w:rPr>
    </w:lvl>
    <w:lvl w:ilvl="7" w:tentative="0">
      <w:start w:val="0"/>
      <w:numFmt w:val="bullet"/>
      <w:lvlText w:val="•"/>
      <w:lvlJc w:val="left"/>
      <w:pPr>
        <w:ind w:left="7118" w:hanging="543"/>
      </w:pPr>
      <w:rPr>
        <w:rFonts w:hint="default"/>
      </w:rPr>
    </w:lvl>
    <w:lvl w:ilvl="8" w:tentative="0">
      <w:start w:val="0"/>
      <w:numFmt w:val="bullet"/>
      <w:lvlText w:val="•"/>
      <w:lvlJc w:val="left"/>
      <w:pPr>
        <w:ind w:left="8040" w:hanging="543"/>
      </w:pPr>
      <w:rPr>
        <w:rFonts w:hint="default"/>
      </w:rPr>
    </w:lvl>
  </w:abstractNum>
  <w:abstractNum w:abstractNumId="10">
    <w:nsid w:val="130AFEF5"/>
    <w:multiLevelType w:val="singleLevel"/>
    <w:tmpl w:val="130AFEF5"/>
    <w:lvl w:ilvl="0" w:tentative="0">
      <w:start w:val="9"/>
      <w:numFmt w:val="decimal"/>
      <w:suff w:val="nothing"/>
      <w:lvlText w:val="%1、"/>
      <w:lvlJc w:val="left"/>
    </w:lvl>
  </w:abstractNum>
  <w:abstractNum w:abstractNumId="11">
    <w:nsid w:val="1E3EAD91"/>
    <w:multiLevelType w:val="singleLevel"/>
    <w:tmpl w:val="1E3EAD91"/>
    <w:lvl w:ilvl="0" w:tentative="0">
      <w:start w:val="1"/>
      <w:numFmt w:val="decimal"/>
      <w:suff w:val="nothing"/>
      <w:lvlText w:val="%1、"/>
      <w:lvlJc w:val="left"/>
    </w:lvl>
  </w:abstractNum>
  <w:abstractNum w:abstractNumId="12">
    <w:nsid w:val="243FCF68"/>
    <w:multiLevelType w:val="multilevel"/>
    <w:tmpl w:val="243FCF68"/>
    <w:lvl w:ilvl="0" w:tentative="0">
      <w:start w:val="1"/>
      <w:numFmt w:val="decimal"/>
      <w:lvlText w:val="%1."/>
      <w:lvlJc w:val="left"/>
      <w:pPr>
        <w:ind w:left="944" w:hanging="360"/>
        <w:jc w:val="left"/>
      </w:pPr>
      <w:rPr>
        <w:rFonts w:hint="default" w:ascii="仿宋" w:hAnsi="仿宋" w:eastAsia="仿宋" w:cs="仿宋"/>
        <w:spacing w:val="-113"/>
        <w:w w:val="100"/>
        <w:sz w:val="24"/>
        <w:szCs w:val="24"/>
      </w:rPr>
    </w:lvl>
    <w:lvl w:ilvl="1" w:tentative="0">
      <w:start w:val="0"/>
      <w:numFmt w:val="bullet"/>
      <w:lvlText w:val="•"/>
      <w:lvlJc w:val="left"/>
      <w:pPr>
        <w:ind w:left="1834" w:hanging="360"/>
      </w:pPr>
      <w:rPr>
        <w:rFonts w:hint="default"/>
      </w:rPr>
    </w:lvl>
    <w:lvl w:ilvl="2" w:tentative="0">
      <w:start w:val="0"/>
      <w:numFmt w:val="bullet"/>
      <w:lvlText w:val="•"/>
      <w:lvlJc w:val="left"/>
      <w:pPr>
        <w:ind w:left="2729" w:hanging="360"/>
      </w:pPr>
      <w:rPr>
        <w:rFonts w:hint="default"/>
      </w:rPr>
    </w:lvl>
    <w:lvl w:ilvl="3" w:tentative="0">
      <w:start w:val="0"/>
      <w:numFmt w:val="bullet"/>
      <w:lvlText w:val="•"/>
      <w:lvlJc w:val="left"/>
      <w:pPr>
        <w:ind w:left="3623" w:hanging="360"/>
      </w:pPr>
      <w:rPr>
        <w:rFonts w:hint="default"/>
      </w:rPr>
    </w:lvl>
    <w:lvl w:ilvl="4" w:tentative="0">
      <w:start w:val="0"/>
      <w:numFmt w:val="bullet"/>
      <w:lvlText w:val="•"/>
      <w:lvlJc w:val="left"/>
      <w:pPr>
        <w:ind w:left="4518" w:hanging="360"/>
      </w:pPr>
      <w:rPr>
        <w:rFonts w:hint="default"/>
      </w:rPr>
    </w:lvl>
    <w:lvl w:ilvl="5" w:tentative="0">
      <w:start w:val="0"/>
      <w:numFmt w:val="bullet"/>
      <w:lvlText w:val="•"/>
      <w:lvlJc w:val="left"/>
      <w:pPr>
        <w:ind w:left="5413" w:hanging="360"/>
      </w:pPr>
      <w:rPr>
        <w:rFonts w:hint="default"/>
      </w:rPr>
    </w:lvl>
    <w:lvl w:ilvl="6" w:tentative="0">
      <w:start w:val="0"/>
      <w:numFmt w:val="bullet"/>
      <w:lvlText w:val="•"/>
      <w:lvlJc w:val="left"/>
      <w:pPr>
        <w:ind w:left="6307" w:hanging="360"/>
      </w:pPr>
      <w:rPr>
        <w:rFonts w:hint="default"/>
      </w:rPr>
    </w:lvl>
    <w:lvl w:ilvl="7" w:tentative="0">
      <w:start w:val="0"/>
      <w:numFmt w:val="bullet"/>
      <w:lvlText w:val="•"/>
      <w:lvlJc w:val="left"/>
      <w:pPr>
        <w:ind w:left="7202" w:hanging="360"/>
      </w:pPr>
      <w:rPr>
        <w:rFonts w:hint="default"/>
      </w:rPr>
    </w:lvl>
    <w:lvl w:ilvl="8" w:tentative="0">
      <w:start w:val="0"/>
      <w:numFmt w:val="bullet"/>
      <w:lvlText w:val="•"/>
      <w:lvlJc w:val="left"/>
      <w:pPr>
        <w:ind w:left="8096" w:hanging="360"/>
      </w:pPr>
      <w:rPr>
        <w:rFonts w:hint="default"/>
      </w:rPr>
    </w:lvl>
  </w:abstractNum>
  <w:abstractNum w:abstractNumId="13">
    <w:nsid w:val="2A8F537B"/>
    <w:multiLevelType w:val="multilevel"/>
    <w:tmpl w:val="2A8F537B"/>
    <w:lvl w:ilvl="0" w:tentative="0">
      <w:start w:val="1"/>
      <w:numFmt w:val="decimal"/>
      <w:lvlText w:val="%1."/>
      <w:lvlJc w:val="left"/>
      <w:pPr>
        <w:ind w:left="600" w:hanging="363"/>
        <w:jc w:val="left"/>
      </w:pPr>
      <w:rPr>
        <w:rFonts w:hint="default" w:ascii="仿宋" w:hAnsi="仿宋" w:eastAsia="仿宋" w:cs="仿宋"/>
        <w:b/>
        <w:bCs/>
        <w:spacing w:val="0"/>
        <w:w w:val="99"/>
        <w:sz w:val="24"/>
        <w:szCs w:val="24"/>
      </w:rPr>
    </w:lvl>
    <w:lvl w:ilvl="1" w:tentative="0">
      <w:start w:val="1"/>
      <w:numFmt w:val="decimal"/>
      <w:lvlText w:val="%1.%2"/>
      <w:lvlJc w:val="left"/>
      <w:pPr>
        <w:ind w:left="658" w:hanging="420"/>
        <w:jc w:val="left"/>
      </w:pPr>
      <w:rPr>
        <w:rFonts w:hint="default" w:ascii="仿宋" w:hAnsi="仿宋" w:eastAsia="仿宋" w:cs="仿宋"/>
        <w:color w:val="0D0D0D"/>
        <w:w w:val="100"/>
        <w:sz w:val="24"/>
        <w:szCs w:val="24"/>
      </w:rPr>
    </w:lvl>
    <w:lvl w:ilvl="2" w:tentative="0">
      <w:start w:val="1"/>
      <w:numFmt w:val="decimal"/>
      <w:lvlText w:val="%1.%2.%3"/>
      <w:lvlJc w:val="left"/>
      <w:pPr>
        <w:ind w:left="707" w:hanging="660"/>
        <w:jc w:val="left"/>
      </w:pPr>
      <w:rPr>
        <w:rFonts w:hint="default" w:ascii="仿宋" w:hAnsi="仿宋" w:eastAsia="仿宋" w:cs="仿宋"/>
        <w:color w:val="0D0D0D"/>
        <w:w w:val="100"/>
        <w:sz w:val="24"/>
        <w:szCs w:val="24"/>
      </w:rPr>
    </w:lvl>
    <w:lvl w:ilvl="3" w:tentative="0">
      <w:start w:val="0"/>
      <w:numFmt w:val="bullet"/>
      <w:lvlText w:val="•"/>
      <w:lvlJc w:val="left"/>
      <w:pPr>
        <w:ind w:left="1848" w:hanging="660"/>
      </w:pPr>
      <w:rPr>
        <w:rFonts w:hint="default"/>
      </w:rPr>
    </w:lvl>
    <w:lvl w:ilvl="4" w:tentative="0">
      <w:start w:val="0"/>
      <w:numFmt w:val="bullet"/>
      <w:lvlText w:val="•"/>
      <w:lvlJc w:val="left"/>
      <w:pPr>
        <w:ind w:left="2996" w:hanging="660"/>
      </w:pPr>
      <w:rPr>
        <w:rFonts w:hint="default"/>
      </w:rPr>
    </w:lvl>
    <w:lvl w:ilvl="5" w:tentative="0">
      <w:start w:val="0"/>
      <w:numFmt w:val="bullet"/>
      <w:lvlText w:val="•"/>
      <w:lvlJc w:val="left"/>
      <w:pPr>
        <w:ind w:left="4144" w:hanging="660"/>
      </w:pPr>
      <w:rPr>
        <w:rFonts w:hint="default"/>
      </w:rPr>
    </w:lvl>
    <w:lvl w:ilvl="6" w:tentative="0">
      <w:start w:val="0"/>
      <w:numFmt w:val="bullet"/>
      <w:lvlText w:val="•"/>
      <w:lvlJc w:val="left"/>
      <w:pPr>
        <w:ind w:left="5293" w:hanging="660"/>
      </w:pPr>
      <w:rPr>
        <w:rFonts w:hint="default"/>
      </w:rPr>
    </w:lvl>
    <w:lvl w:ilvl="7" w:tentative="0">
      <w:start w:val="0"/>
      <w:numFmt w:val="bullet"/>
      <w:lvlText w:val="•"/>
      <w:lvlJc w:val="left"/>
      <w:pPr>
        <w:ind w:left="6441" w:hanging="660"/>
      </w:pPr>
      <w:rPr>
        <w:rFonts w:hint="default"/>
      </w:rPr>
    </w:lvl>
    <w:lvl w:ilvl="8" w:tentative="0">
      <w:start w:val="0"/>
      <w:numFmt w:val="bullet"/>
      <w:lvlText w:val="•"/>
      <w:lvlJc w:val="left"/>
      <w:pPr>
        <w:ind w:left="7589" w:hanging="660"/>
      </w:pPr>
      <w:rPr>
        <w:rFonts w:hint="default"/>
      </w:rPr>
    </w:lvl>
  </w:abstractNum>
  <w:abstractNum w:abstractNumId="14">
    <w:nsid w:val="39A0D9AC"/>
    <w:multiLevelType w:val="multilevel"/>
    <w:tmpl w:val="39A0D9AC"/>
    <w:lvl w:ilvl="0" w:tentative="0">
      <w:start w:val="29"/>
      <w:numFmt w:val="decimal"/>
      <w:lvlText w:val="%1."/>
      <w:lvlJc w:val="left"/>
      <w:pPr>
        <w:ind w:left="720" w:hanging="483"/>
        <w:jc w:val="left"/>
      </w:pPr>
      <w:rPr>
        <w:rFonts w:hint="default" w:ascii="仿宋" w:hAnsi="仿宋" w:eastAsia="仿宋" w:cs="仿宋"/>
        <w:b/>
        <w:bCs/>
        <w:w w:val="99"/>
        <w:sz w:val="24"/>
        <w:szCs w:val="24"/>
      </w:rPr>
    </w:lvl>
    <w:lvl w:ilvl="1" w:tentative="0">
      <w:start w:val="1"/>
      <w:numFmt w:val="decimal"/>
      <w:lvlText w:val="%1.%2"/>
      <w:lvlJc w:val="left"/>
      <w:pPr>
        <w:ind w:left="804" w:hanging="485"/>
        <w:jc w:val="left"/>
      </w:pPr>
      <w:rPr>
        <w:rFonts w:hint="default" w:ascii="仿宋" w:hAnsi="仿宋" w:eastAsia="仿宋" w:cs="仿宋"/>
        <w:spacing w:val="-15"/>
        <w:w w:val="100"/>
        <w:sz w:val="24"/>
        <w:szCs w:val="24"/>
      </w:rPr>
    </w:lvl>
    <w:lvl w:ilvl="2" w:tentative="0">
      <w:start w:val="0"/>
      <w:numFmt w:val="bullet"/>
      <w:lvlText w:val="•"/>
      <w:lvlJc w:val="left"/>
      <w:pPr>
        <w:ind w:left="1809" w:hanging="485"/>
      </w:pPr>
      <w:rPr>
        <w:rFonts w:hint="default"/>
      </w:rPr>
    </w:lvl>
    <w:lvl w:ilvl="3" w:tentative="0">
      <w:start w:val="0"/>
      <w:numFmt w:val="bullet"/>
      <w:lvlText w:val="•"/>
      <w:lvlJc w:val="left"/>
      <w:pPr>
        <w:ind w:left="2819" w:hanging="485"/>
      </w:pPr>
      <w:rPr>
        <w:rFonts w:hint="default"/>
      </w:rPr>
    </w:lvl>
    <w:lvl w:ilvl="4" w:tentative="0">
      <w:start w:val="0"/>
      <w:numFmt w:val="bullet"/>
      <w:lvlText w:val="•"/>
      <w:lvlJc w:val="left"/>
      <w:pPr>
        <w:ind w:left="3828" w:hanging="485"/>
      </w:pPr>
      <w:rPr>
        <w:rFonts w:hint="default"/>
      </w:rPr>
    </w:lvl>
    <w:lvl w:ilvl="5" w:tentative="0">
      <w:start w:val="0"/>
      <w:numFmt w:val="bullet"/>
      <w:lvlText w:val="•"/>
      <w:lvlJc w:val="left"/>
      <w:pPr>
        <w:ind w:left="4838" w:hanging="485"/>
      </w:pPr>
      <w:rPr>
        <w:rFonts w:hint="default"/>
      </w:rPr>
    </w:lvl>
    <w:lvl w:ilvl="6" w:tentative="0">
      <w:start w:val="0"/>
      <w:numFmt w:val="bullet"/>
      <w:lvlText w:val="•"/>
      <w:lvlJc w:val="left"/>
      <w:pPr>
        <w:ind w:left="5847" w:hanging="485"/>
      </w:pPr>
      <w:rPr>
        <w:rFonts w:hint="default"/>
      </w:rPr>
    </w:lvl>
    <w:lvl w:ilvl="7" w:tentative="0">
      <w:start w:val="0"/>
      <w:numFmt w:val="bullet"/>
      <w:lvlText w:val="•"/>
      <w:lvlJc w:val="left"/>
      <w:pPr>
        <w:ind w:left="6857" w:hanging="485"/>
      </w:pPr>
      <w:rPr>
        <w:rFonts w:hint="default"/>
      </w:rPr>
    </w:lvl>
    <w:lvl w:ilvl="8" w:tentative="0">
      <w:start w:val="0"/>
      <w:numFmt w:val="bullet"/>
      <w:lvlText w:val="•"/>
      <w:lvlJc w:val="left"/>
      <w:pPr>
        <w:ind w:left="7866" w:hanging="48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46A08BB8"/>
    <w:multiLevelType w:val="multilevel"/>
    <w:tmpl w:val="46A08BB8"/>
    <w:lvl w:ilvl="0" w:tentative="0">
      <w:start w:val="18"/>
      <w:numFmt w:val="decimal"/>
      <w:lvlText w:val="%1"/>
      <w:lvlJc w:val="left"/>
      <w:pPr>
        <w:ind w:left="1198" w:hanging="540"/>
        <w:jc w:val="left"/>
      </w:pPr>
      <w:rPr>
        <w:rFonts w:hint="default"/>
      </w:rPr>
    </w:lvl>
    <w:lvl w:ilvl="1" w:tentative="0">
      <w:start w:val="1"/>
      <w:numFmt w:val="decimal"/>
      <w:lvlText w:val="%1.%2"/>
      <w:lvlJc w:val="left"/>
      <w:pPr>
        <w:ind w:left="658" w:hanging="540"/>
        <w:jc w:val="left"/>
      </w:pPr>
      <w:rPr>
        <w:rFonts w:hint="default" w:ascii="仿宋" w:hAnsi="仿宋" w:eastAsia="仿宋" w:cs="仿宋"/>
        <w:w w:val="100"/>
        <w:sz w:val="24"/>
        <w:szCs w:val="24"/>
      </w:rPr>
    </w:lvl>
    <w:lvl w:ilvl="2" w:tentative="0">
      <w:start w:val="0"/>
      <w:numFmt w:val="bullet"/>
      <w:lvlText w:val="•"/>
      <w:lvlJc w:val="left"/>
      <w:pPr>
        <w:ind w:left="2165" w:hanging="540"/>
      </w:pPr>
      <w:rPr>
        <w:rFonts w:hint="default"/>
      </w:rPr>
    </w:lvl>
    <w:lvl w:ilvl="3" w:tentative="0">
      <w:start w:val="0"/>
      <w:numFmt w:val="bullet"/>
      <w:lvlText w:val="•"/>
      <w:lvlJc w:val="left"/>
      <w:pPr>
        <w:ind w:left="3130" w:hanging="540"/>
      </w:pPr>
      <w:rPr>
        <w:rFonts w:hint="default"/>
      </w:rPr>
    </w:lvl>
    <w:lvl w:ilvl="4" w:tentative="0">
      <w:start w:val="0"/>
      <w:numFmt w:val="bullet"/>
      <w:lvlText w:val="•"/>
      <w:lvlJc w:val="left"/>
      <w:pPr>
        <w:ind w:left="4095" w:hanging="540"/>
      </w:pPr>
      <w:rPr>
        <w:rFonts w:hint="default"/>
      </w:rPr>
    </w:lvl>
    <w:lvl w:ilvl="5" w:tentative="0">
      <w:start w:val="0"/>
      <w:numFmt w:val="bullet"/>
      <w:lvlText w:val="•"/>
      <w:lvlJc w:val="left"/>
      <w:pPr>
        <w:ind w:left="5060" w:hanging="540"/>
      </w:pPr>
      <w:rPr>
        <w:rFonts w:hint="default"/>
      </w:rPr>
    </w:lvl>
    <w:lvl w:ilvl="6" w:tentative="0">
      <w:start w:val="0"/>
      <w:numFmt w:val="bullet"/>
      <w:lvlText w:val="•"/>
      <w:lvlJc w:val="left"/>
      <w:pPr>
        <w:ind w:left="6025" w:hanging="540"/>
      </w:pPr>
      <w:rPr>
        <w:rFonts w:hint="default"/>
      </w:rPr>
    </w:lvl>
    <w:lvl w:ilvl="7" w:tentative="0">
      <w:start w:val="0"/>
      <w:numFmt w:val="bullet"/>
      <w:lvlText w:val="•"/>
      <w:lvlJc w:val="left"/>
      <w:pPr>
        <w:ind w:left="6990" w:hanging="540"/>
      </w:pPr>
      <w:rPr>
        <w:rFonts w:hint="default"/>
      </w:rPr>
    </w:lvl>
    <w:lvl w:ilvl="8" w:tentative="0">
      <w:start w:val="0"/>
      <w:numFmt w:val="bullet"/>
      <w:lvlText w:val="•"/>
      <w:lvlJc w:val="left"/>
      <w:pPr>
        <w:ind w:left="7955" w:hanging="540"/>
      </w:pPr>
      <w:rPr>
        <w:rFonts w:hint="default"/>
      </w:rPr>
    </w:lvl>
  </w:abstractNum>
  <w:abstractNum w:abstractNumId="17">
    <w:nsid w:val="4BF6AE32"/>
    <w:multiLevelType w:val="singleLevel"/>
    <w:tmpl w:val="4BF6AE32"/>
    <w:lvl w:ilvl="0" w:tentative="0">
      <w:start w:val="2"/>
      <w:numFmt w:val="decimal"/>
      <w:lvlText w:val="%1."/>
      <w:lvlJc w:val="left"/>
      <w:pPr>
        <w:tabs>
          <w:tab w:val="left" w:pos="312"/>
        </w:tabs>
      </w:pPr>
    </w:lvl>
  </w:abstractNum>
  <w:abstractNum w:abstractNumId="18">
    <w:nsid w:val="4C1BAE26"/>
    <w:multiLevelType w:val="multilevel"/>
    <w:tmpl w:val="4C1BAE26"/>
    <w:lvl w:ilvl="0" w:tentative="0">
      <w:start w:val="15"/>
      <w:numFmt w:val="decimal"/>
      <w:lvlText w:val="%1"/>
      <w:lvlJc w:val="left"/>
      <w:pPr>
        <w:ind w:left="804" w:hanging="540"/>
        <w:jc w:val="left"/>
      </w:pPr>
      <w:rPr>
        <w:rFonts w:hint="default"/>
      </w:rPr>
    </w:lvl>
    <w:lvl w:ilvl="1" w:tentative="0">
      <w:start w:val="1"/>
      <w:numFmt w:val="decimal"/>
      <w:lvlText w:val="%1.%2"/>
      <w:lvlJc w:val="left"/>
      <w:pPr>
        <w:ind w:left="804" w:hanging="540"/>
        <w:jc w:val="left"/>
      </w:pPr>
      <w:rPr>
        <w:rFonts w:hint="default" w:ascii="仿宋" w:hAnsi="仿宋" w:eastAsia="仿宋" w:cs="仿宋"/>
        <w:w w:val="100"/>
        <w:sz w:val="24"/>
        <w:szCs w:val="24"/>
      </w:rPr>
    </w:lvl>
    <w:lvl w:ilvl="2" w:tentative="0">
      <w:start w:val="0"/>
      <w:numFmt w:val="bullet"/>
      <w:lvlText w:val="•"/>
      <w:lvlJc w:val="left"/>
      <w:pPr>
        <w:ind w:left="2617" w:hanging="540"/>
      </w:pPr>
      <w:rPr>
        <w:rFonts w:hint="default"/>
      </w:rPr>
    </w:lvl>
    <w:lvl w:ilvl="3" w:tentative="0">
      <w:start w:val="0"/>
      <w:numFmt w:val="bullet"/>
      <w:lvlText w:val="•"/>
      <w:lvlJc w:val="left"/>
      <w:pPr>
        <w:ind w:left="3525" w:hanging="540"/>
      </w:pPr>
      <w:rPr>
        <w:rFonts w:hint="default"/>
      </w:rPr>
    </w:lvl>
    <w:lvl w:ilvl="4" w:tentative="0">
      <w:start w:val="0"/>
      <w:numFmt w:val="bullet"/>
      <w:lvlText w:val="•"/>
      <w:lvlJc w:val="left"/>
      <w:pPr>
        <w:ind w:left="4434" w:hanging="540"/>
      </w:pPr>
      <w:rPr>
        <w:rFonts w:hint="default"/>
      </w:rPr>
    </w:lvl>
    <w:lvl w:ilvl="5" w:tentative="0">
      <w:start w:val="0"/>
      <w:numFmt w:val="bullet"/>
      <w:lvlText w:val="•"/>
      <w:lvlJc w:val="left"/>
      <w:pPr>
        <w:ind w:left="5343" w:hanging="540"/>
      </w:pPr>
      <w:rPr>
        <w:rFonts w:hint="default"/>
      </w:rPr>
    </w:lvl>
    <w:lvl w:ilvl="6" w:tentative="0">
      <w:start w:val="0"/>
      <w:numFmt w:val="bullet"/>
      <w:lvlText w:val="•"/>
      <w:lvlJc w:val="left"/>
      <w:pPr>
        <w:ind w:left="6251" w:hanging="540"/>
      </w:pPr>
      <w:rPr>
        <w:rFonts w:hint="default"/>
      </w:rPr>
    </w:lvl>
    <w:lvl w:ilvl="7" w:tentative="0">
      <w:start w:val="0"/>
      <w:numFmt w:val="bullet"/>
      <w:lvlText w:val="•"/>
      <w:lvlJc w:val="left"/>
      <w:pPr>
        <w:ind w:left="7160" w:hanging="540"/>
      </w:pPr>
      <w:rPr>
        <w:rFonts w:hint="default"/>
      </w:rPr>
    </w:lvl>
    <w:lvl w:ilvl="8" w:tentative="0">
      <w:start w:val="0"/>
      <w:numFmt w:val="bullet"/>
      <w:lvlText w:val="•"/>
      <w:lvlJc w:val="left"/>
      <w:pPr>
        <w:ind w:left="8068" w:hanging="540"/>
      </w:pPr>
      <w:rPr>
        <w:rFonts w:hint="default"/>
      </w:rPr>
    </w:lvl>
  </w:abstractNum>
  <w:abstractNum w:abstractNumId="19">
    <w:nsid w:val="58765686"/>
    <w:multiLevelType w:val="multilevel"/>
    <w:tmpl w:val="58765686"/>
    <w:lvl w:ilvl="0" w:tentative="0">
      <w:start w:val="33"/>
      <w:numFmt w:val="decimal"/>
      <w:lvlText w:val="%1."/>
      <w:lvlJc w:val="left"/>
      <w:pPr>
        <w:ind w:left="720" w:hanging="483"/>
        <w:jc w:val="left"/>
      </w:pPr>
      <w:rPr>
        <w:rFonts w:hint="default" w:ascii="仿宋" w:hAnsi="仿宋" w:eastAsia="仿宋" w:cs="仿宋"/>
        <w:b/>
        <w:bCs/>
        <w:w w:val="99"/>
        <w:sz w:val="24"/>
        <w:szCs w:val="24"/>
      </w:rPr>
    </w:lvl>
    <w:lvl w:ilvl="1" w:tentative="0">
      <w:start w:val="1"/>
      <w:numFmt w:val="decimal"/>
      <w:lvlText w:val="%1.%2"/>
      <w:lvlJc w:val="left"/>
      <w:pPr>
        <w:ind w:left="804" w:hanging="540"/>
        <w:jc w:val="left"/>
      </w:pPr>
      <w:rPr>
        <w:rFonts w:hint="default" w:ascii="仿宋" w:hAnsi="仿宋" w:eastAsia="仿宋" w:cs="仿宋"/>
        <w:w w:val="100"/>
        <w:sz w:val="24"/>
        <w:szCs w:val="24"/>
      </w:rPr>
    </w:lvl>
    <w:lvl w:ilvl="2" w:tentative="0">
      <w:start w:val="0"/>
      <w:numFmt w:val="bullet"/>
      <w:lvlText w:val="•"/>
      <w:lvlJc w:val="left"/>
      <w:pPr>
        <w:ind w:left="1809" w:hanging="540"/>
      </w:pPr>
      <w:rPr>
        <w:rFonts w:hint="default"/>
      </w:rPr>
    </w:lvl>
    <w:lvl w:ilvl="3" w:tentative="0">
      <w:start w:val="0"/>
      <w:numFmt w:val="bullet"/>
      <w:lvlText w:val="•"/>
      <w:lvlJc w:val="left"/>
      <w:pPr>
        <w:ind w:left="2819" w:hanging="540"/>
      </w:pPr>
      <w:rPr>
        <w:rFonts w:hint="default"/>
      </w:rPr>
    </w:lvl>
    <w:lvl w:ilvl="4" w:tentative="0">
      <w:start w:val="0"/>
      <w:numFmt w:val="bullet"/>
      <w:lvlText w:val="•"/>
      <w:lvlJc w:val="left"/>
      <w:pPr>
        <w:ind w:left="3828" w:hanging="540"/>
      </w:pPr>
      <w:rPr>
        <w:rFonts w:hint="default"/>
      </w:rPr>
    </w:lvl>
    <w:lvl w:ilvl="5" w:tentative="0">
      <w:start w:val="0"/>
      <w:numFmt w:val="bullet"/>
      <w:lvlText w:val="•"/>
      <w:lvlJc w:val="left"/>
      <w:pPr>
        <w:ind w:left="4838" w:hanging="540"/>
      </w:pPr>
      <w:rPr>
        <w:rFonts w:hint="default"/>
      </w:rPr>
    </w:lvl>
    <w:lvl w:ilvl="6" w:tentative="0">
      <w:start w:val="0"/>
      <w:numFmt w:val="bullet"/>
      <w:lvlText w:val="•"/>
      <w:lvlJc w:val="left"/>
      <w:pPr>
        <w:ind w:left="5847" w:hanging="540"/>
      </w:pPr>
      <w:rPr>
        <w:rFonts w:hint="default"/>
      </w:rPr>
    </w:lvl>
    <w:lvl w:ilvl="7" w:tentative="0">
      <w:start w:val="0"/>
      <w:numFmt w:val="bullet"/>
      <w:lvlText w:val="•"/>
      <w:lvlJc w:val="left"/>
      <w:pPr>
        <w:ind w:left="6857" w:hanging="540"/>
      </w:pPr>
      <w:rPr>
        <w:rFonts w:hint="default"/>
      </w:rPr>
    </w:lvl>
    <w:lvl w:ilvl="8" w:tentative="0">
      <w:start w:val="0"/>
      <w:numFmt w:val="bullet"/>
      <w:lvlText w:val="•"/>
      <w:lvlJc w:val="left"/>
      <w:pPr>
        <w:ind w:left="7866" w:hanging="540"/>
      </w:pPr>
      <w:rPr>
        <w:rFonts w:hint="default"/>
      </w:rPr>
    </w:lvl>
  </w:abstractNum>
  <w:abstractNum w:abstractNumId="20">
    <w:nsid w:val="5A241D34"/>
    <w:multiLevelType w:val="multilevel"/>
    <w:tmpl w:val="5A241D34"/>
    <w:lvl w:ilvl="0" w:tentative="0">
      <w:start w:val="6"/>
      <w:numFmt w:val="decimal"/>
      <w:lvlText w:val="%1."/>
      <w:lvlJc w:val="left"/>
      <w:pPr>
        <w:ind w:left="600" w:hanging="363"/>
        <w:jc w:val="left"/>
      </w:pPr>
      <w:rPr>
        <w:rFonts w:hint="default" w:ascii="仿宋" w:hAnsi="仿宋" w:eastAsia="仿宋" w:cs="仿宋"/>
        <w:b/>
        <w:bCs/>
        <w:spacing w:val="0"/>
        <w:w w:val="99"/>
        <w:sz w:val="24"/>
        <w:szCs w:val="24"/>
      </w:rPr>
    </w:lvl>
    <w:lvl w:ilvl="1" w:tentative="0">
      <w:start w:val="1"/>
      <w:numFmt w:val="decimal"/>
      <w:lvlText w:val="%1.%2"/>
      <w:lvlJc w:val="left"/>
      <w:pPr>
        <w:ind w:left="718" w:hanging="480"/>
        <w:jc w:val="left"/>
      </w:pPr>
      <w:rPr>
        <w:rFonts w:hint="default"/>
        <w:spacing w:val="-27"/>
        <w:w w:val="100"/>
      </w:rPr>
    </w:lvl>
    <w:lvl w:ilvl="2" w:tentative="0">
      <w:start w:val="0"/>
      <w:numFmt w:val="bullet"/>
      <w:lvlText w:val="•"/>
      <w:lvlJc w:val="left"/>
      <w:pPr>
        <w:ind w:left="1738" w:hanging="480"/>
      </w:pPr>
      <w:rPr>
        <w:rFonts w:hint="default"/>
      </w:rPr>
    </w:lvl>
    <w:lvl w:ilvl="3" w:tentative="0">
      <w:start w:val="0"/>
      <w:numFmt w:val="bullet"/>
      <w:lvlText w:val="•"/>
      <w:lvlJc w:val="left"/>
      <w:pPr>
        <w:ind w:left="2756" w:hanging="480"/>
      </w:pPr>
      <w:rPr>
        <w:rFonts w:hint="default"/>
      </w:rPr>
    </w:lvl>
    <w:lvl w:ilvl="4" w:tentative="0">
      <w:start w:val="0"/>
      <w:numFmt w:val="bullet"/>
      <w:lvlText w:val="•"/>
      <w:lvlJc w:val="left"/>
      <w:pPr>
        <w:ind w:left="3775" w:hanging="480"/>
      </w:pPr>
      <w:rPr>
        <w:rFonts w:hint="default"/>
      </w:rPr>
    </w:lvl>
    <w:lvl w:ilvl="5" w:tentative="0">
      <w:start w:val="0"/>
      <w:numFmt w:val="bullet"/>
      <w:lvlText w:val="•"/>
      <w:lvlJc w:val="left"/>
      <w:pPr>
        <w:ind w:left="4793" w:hanging="480"/>
      </w:pPr>
      <w:rPr>
        <w:rFonts w:hint="default"/>
      </w:rPr>
    </w:lvl>
    <w:lvl w:ilvl="6" w:tentative="0">
      <w:start w:val="0"/>
      <w:numFmt w:val="bullet"/>
      <w:lvlText w:val="•"/>
      <w:lvlJc w:val="left"/>
      <w:pPr>
        <w:ind w:left="5812" w:hanging="480"/>
      </w:pPr>
      <w:rPr>
        <w:rFonts w:hint="default"/>
      </w:rPr>
    </w:lvl>
    <w:lvl w:ilvl="7" w:tentative="0">
      <w:start w:val="0"/>
      <w:numFmt w:val="bullet"/>
      <w:lvlText w:val="•"/>
      <w:lvlJc w:val="left"/>
      <w:pPr>
        <w:ind w:left="6830" w:hanging="480"/>
      </w:pPr>
      <w:rPr>
        <w:rFonts w:hint="default"/>
      </w:rPr>
    </w:lvl>
    <w:lvl w:ilvl="8" w:tentative="0">
      <w:start w:val="0"/>
      <w:numFmt w:val="bullet"/>
      <w:lvlText w:val="•"/>
      <w:lvlJc w:val="left"/>
      <w:pPr>
        <w:ind w:left="7849" w:hanging="480"/>
      </w:pPr>
      <w:rPr>
        <w:rFonts w:hint="default"/>
      </w:rPr>
    </w:lvl>
  </w:abstractNum>
  <w:abstractNum w:abstractNumId="21">
    <w:nsid w:val="5FFFB1A7"/>
    <w:multiLevelType w:val="multilevel"/>
    <w:tmpl w:val="5FFFB1A7"/>
    <w:lvl w:ilvl="0" w:tentative="0">
      <w:start w:val="1"/>
      <w:numFmt w:val="decimal"/>
      <w:lvlText w:val="%1)"/>
      <w:lvlJc w:val="left"/>
      <w:pPr>
        <w:ind w:left="884" w:hanging="360"/>
        <w:jc w:val="left"/>
      </w:pPr>
      <w:rPr>
        <w:rFonts w:hint="default" w:ascii="仿宋" w:hAnsi="仿宋" w:eastAsia="仿宋" w:cs="仿宋"/>
        <w:w w:val="100"/>
        <w:sz w:val="24"/>
        <w:szCs w:val="24"/>
      </w:rPr>
    </w:lvl>
    <w:lvl w:ilvl="1" w:tentative="0">
      <w:start w:val="0"/>
      <w:numFmt w:val="bullet"/>
      <w:lvlText w:val="•"/>
      <w:lvlJc w:val="left"/>
      <w:pPr>
        <w:ind w:left="1839" w:hanging="360"/>
      </w:pPr>
      <w:rPr>
        <w:rFonts w:hint="default"/>
      </w:rPr>
    </w:lvl>
    <w:lvl w:ilvl="2" w:tentative="0">
      <w:start w:val="0"/>
      <w:numFmt w:val="bullet"/>
      <w:lvlText w:val="•"/>
      <w:lvlJc w:val="left"/>
      <w:pPr>
        <w:ind w:left="2798" w:hanging="360"/>
      </w:pPr>
      <w:rPr>
        <w:rFonts w:hint="default"/>
      </w:rPr>
    </w:lvl>
    <w:lvl w:ilvl="3" w:tentative="0">
      <w:start w:val="0"/>
      <w:numFmt w:val="bullet"/>
      <w:lvlText w:val="•"/>
      <w:lvlJc w:val="left"/>
      <w:pPr>
        <w:ind w:left="3757" w:hanging="360"/>
      </w:pPr>
      <w:rPr>
        <w:rFonts w:hint="default"/>
      </w:rPr>
    </w:lvl>
    <w:lvl w:ilvl="4" w:tentative="0">
      <w:start w:val="0"/>
      <w:numFmt w:val="bullet"/>
      <w:lvlText w:val="•"/>
      <w:lvlJc w:val="left"/>
      <w:pPr>
        <w:ind w:left="4716" w:hanging="360"/>
      </w:pPr>
      <w:rPr>
        <w:rFonts w:hint="default"/>
      </w:rPr>
    </w:lvl>
    <w:lvl w:ilvl="5" w:tentative="0">
      <w:start w:val="0"/>
      <w:numFmt w:val="bullet"/>
      <w:lvlText w:val="•"/>
      <w:lvlJc w:val="left"/>
      <w:pPr>
        <w:ind w:left="5675" w:hanging="360"/>
      </w:pPr>
      <w:rPr>
        <w:rFonts w:hint="default"/>
      </w:rPr>
    </w:lvl>
    <w:lvl w:ilvl="6" w:tentative="0">
      <w:start w:val="0"/>
      <w:numFmt w:val="bullet"/>
      <w:lvlText w:val="•"/>
      <w:lvlJc w:val="left"/>
      <w:pPr>
        <w:ind w:left="6634" w:hanging="360"/>
      </w:pPr>
      <w:rPr>
        <w:rFonts w:hint="default"/>
      </w:rPr>
    </w:lvl>
    <w:lvl w:ilvl="7" w:tentative="0">
      <w:start w:val="0"/>
      <w:numFmt w:val="bullet"/>
      <w:lvlText w:val="•"/>
      <w:lvlJc w:val="left"/>
      <w:pPr>
        <w:ind w:left="7593" w:hanging="360"/>
      </w:pPr>
      <w:rPr>
        <w:rFonts w:hint="default"/>
      </w:rPr>
    </w:lvl>
    <w:lvl w:ilvl="8" w:tentative="0">
      <w:start w:val="0"/>
      <w:numFmt w:val="bullet"/>
      <w:lvlText w:val="•"/>
      <w:lvlJc w:val="left"/>
      <w:pPr>
        <w:ind w:left="8552" w:hanging="360"/>
      </w:pPr>
      <w:rPr>
        <w:rFonts w:hint="default"/>
      </w:rPr>
    </w:lvl>
  </w:abstractNum>
  <w:abstractNum w:abstractNumId="22">
    <w:nsid w:val="60382F6E"/>
    <w:multiLevelType w:val="multilevel"/>
    <w:tmpl w:val="60382F6E"/>
    <w:lvl w:ilvl="0" w:tentative="0">
      <w:start w:val="16"/>
      <w:numFmt w:val="decimal"/>
      <w:lvlText w:val="%1"/>
      <w:lvlJc w:val="left"/>
      <w:pPr>
        <w:ind w:left="804" w:hanging="540"/>
        <w:jc w:val="left"/>
      </w:pPr>
      <w:rPr>
        <w:rFonts w:hint="default"/>
      </w:rPr>
    </w:lvl>
    <w:lvl w:ilvl="1" w:tentative="0">
      <w:start w:val="1"/>
      <w:numFmt w:val="decimal"/>
      <w:lvlText w:val="%1.%2"/>
      <w:lvlJc w:val="left"/>
      <w:pPr>
        <w:ind w:left="804" w:hanging="540"/>
        <w:jc w:val="left"/>
      </w:pPr>
      <w:rPr>
        <w:rFonts w:hint="default" w:ascii="仿宋" w:hAnsi="仿宋" w:eastAsia="仿宋" w:cs="仿宋"/>
        <w:w w:val="100"/>
        <w:sz w:val="24"/>
        <w:szCs w:val="24"/>
      </w:rPr>
    </w:lvl>
    <w:lvl w:ilvl="2" w:tentative="0">
      <w:start w:val="0"/>
      <w:numFmt w:val="bullet"/>
      <w:lvlText w:val="•"/>
      <w:lvlJc w:val="left"/>
      <w:pPr>
        <w:ind w:left="2617" w:hanging="540"/>
      </w:pPr>
      <w:rPr>
        <w:rFonts w:hint="default"/>
      </w:rPr>
    </w:lvl>
    <w:lvl w:ilvl="3" w:tentative="0">
      <w:start w:val="0"/>
      <w:numFmt w:val="bullet"/>
      <w:lvlText w:val="•"/>
      <w:lvlJc w:val="left"/>
      <w:pPr>
        <w:ind w:left="3525" w:hanging="540"/>
      </w:pPr>
      <w:rPr>
        <w:rFonts w:hint="default"/>
      </w:rPr>
    </w:lvl>
    <w:lvl w:ilvl="4" w:tentative="0">
      <w:start w:val="0"/>
      <w:numFmt w:val="bullet"/>
      <w:lvlText w:val="•"/>
      <w:lvlJc w:val="left"/>
      <w:pPr>
        <w:ind w:left="4434" w:hanging="540"/>
      </w:pPr>
      <w:rPr>
        <w:rFonts w:hint="default"/>
      </w:rPr>
    </w:lvl>
    <w:lvl w:ilvl="5" w:tentative="0">
      <w:start w:val="0"/>
      <w:numFmt w:val="bullet"/>
      <w:lvlText w:val="•"/>
      <w:lvlJc w:val="left"/>
      <w:pPr>
        <w:ind w:left="5343" w:hanging="540"/>
      </w:pPr>
      <w:rPr>
        <w:rFonts w:hint="default"/>
      </w:rPr>
    </w:lvl>
    <w:lvl w:ilvl="6" w:tentative="0">
      <w:start w:val="0"/>
      <w:numFmt w:val="bullet"/>
      <w:lvlText w:val="•"/>
      <w:lvlJc w:val="left"/>
      <w:pPr>
        <w:ind w:left="6251" w:hanging="540"/>
      </w:pPr>
      <w:rPr>
        <w:rFonts w:hint="default"/>
      </w:rPr>
    </w:lvl>
    <w:lvl w:ilvl="7" w:tentative="0">
      <w:start w:val="0"/>
      <w:numFmt w:val="bullet"/>
      <w:lvlText w:val="•"/>
      <w:lvlJc w:val="left"/>
      <w:pPr>
        <w:ind w:left="7160" w:hanging="540"/>
      </w:pPr>
      <w:rPr>
        <w:rFonts w:hint="default"/>
      </w:rPr>
    </w:lvl>
    <w:lvl w:ilvl="8" w:tentative="0">
      <w:start w:val="0"/>
      <w:numFmt w:val="bullet"/>
      <w:lvlText w:val="•"/>
      <w:lvlJc w:val="left"/>
      <w:pPr>
        <w:ind w:left="8068" w:hanging="540"/>
      </w:pPr>
      <w:rPr>
        <w:rFonts w:hint="default"/>
      </w:rPr>
    </w:lvl>
  </w:abstractNum>
  <w:abstractNum w:abstractNumId="23">
    <w:nsid w:val="629F7852"/>
    <w:multiLevelType w:val="multilevel"/>
    <w:tmpl w:val="629F7852"/>
    <w:lvl w:ilvl="0" w:tentative="0">
      <w:start w:val="23"/>
      <w:numFmt w:val="decimal"/>
      <w:lvlText w:val="%1"/>
      <w:lvlJc w:val="left"/>
      <w:pPr>
        <w:ind w:left="778" w:hanging="540"/>
        <w:jc w:val="left"/>
      </w:pPr>
      <w:rPr>
        <w:rFonts w:hint="default"/>
      </w:rPr>
    </w:lvl>
    <w:lvl w:ilvl="1" w:tentative="0">
      <w:start w:val="1"/>
      <w:numFmt w:val="decimal"/>
      <w:lvlText w:val="%1.%2"/>
      <w:lvlJc w:val="left"/>
      <w:pPr>
        <w:ind w:left="778" w:hanging="540"/>
        <w:jc w:val="left"/>
      </w:pPr>
      <w:rPr>
        <w:rFonts w:hint="default"/>
        <w:w w:val="100"/>
      </w:rPr>
    </w:lvl>
    <w:lvl w:ilvl="2" w:tentative="0">
      <w:start w:val="0"/>
      <w:numFmt w:val="bullet"/>
      <w:lvlText w:val="•"/>
      <w:lvlJc w:val="left"/>
      <w:pPr>
        <w:ind w:left="2601" w:hanging="540"/>
      </w:pPr>
      <w:rPr>
        <w:rFonts w:hint="default"/>
      </w:rPr>
    </w:lvl>
    <w:lvl w:ilvl="3" w:tentative="0">
      <w:start w:val="0"/>
      <w:numFmt w:val="bullet"/>
      <w:lvlText w:val="•"/>
      <w:lvlJc w:val="left"/>
      <w:pPr>
        <w:ind w:left="3511" w:hanging="540"/>
      </w:pPr>
      <w:rPr>
        <w:rFonts w:hint="default"/>
      </w:rPr>
    </w:lvl>
    <w:lvl w:ilvl="4" w:tentative="0">
      <w:start w:val="0"/>
      <w:numFmt w:val="bullet"/>
      <w:lvlText w:val="•"/>
      <w:lvlJc w:val="left"/>
      <w:pPr>
        <w:ind w:left="4422" w:hanging="540"/>
      </w:pPr>
      <w:rPr>
        <w:rFonts w:hint="default"/>
      </w:rPr>
    </w:lvl>
    <w:lvl w:ilvl="5" w:tentative="0">
      <w:start w:val="0"/>
      <w:numFmt w:val="bullet"/>
      <w:lvlText w:val="•"/>
      <w:lvlJc w:val="left"/>
      <w:pPr>
        <w:ind w:left="5333" w:hanging="540"/>
      </w:pPr>
      <w:rPr>
        <w:rFonts w:hint="default"/>
      </w:rPr>
    </w:lvl>
    <w:lvl w:ilvl="6" w:tentative="0">
      <w:start w:val="0"/>
      <w:numFmt w:val="bullet"/>
      <w:lvlText w:val="•"/>
      <w:lvlJc w:val="left"/>
      <w:pPr>
        <w:ind w:left="6243" w:hanging="540"/>
      </w:pPr>
      <w:rPr>
        <w:rFonts w:hint="default"/>
      </w:rPr>
    </w:lvl>
    <w:lvl w:ilvl="7" w:tentative="0">
      <w:start w:val="0"/>
      <w:numFmt w:val="bullet"/>
      <w:lvlText w:val="•"/>
      <w:lvlJc w:val="left"/>
      <w:pPr>
        <w:ind w:left="7154" w:hanging="540"/>
      </w:pPr>
      <w:rPr>
        <w:rFonts w:hint="default"/>
      </w:rPr>
    </w:lvl>
    <w:lvl w:ilvl="8" w:tentative="0">
      <w:start w:val="0"/>
      <w:numFmt w:val="bullet"/>
      <w:lvlText w:val="•"/>
      <w:lvlJc w:val="left"/>
      <w:pPr>
        <w:ind w:left="8064" w:hanging="540"/>
      </w:pPr>
      <w:rPr>
        <w:rFonts w:hint="default"/>
      </w:rPr>
    </w:lvl>
  </w:abstractNum>
  <w:abstractNum w:abstractNumId="24">
    <w:nsid w:val="77ECEA79"/>
    <w:multiLevelType w:val="multilevel"/>
    <w:tmpl w:val="77ECEA79"/>
    <w:lvl w:ilvl="0" w:tentative="0">
      <w:start w:val="21"/>
      <w:numFmt w:val="decimal"/>
      <w:lvlText w:val="%1"/>
      <w:lvlJc w:val="left"/>
      <w:pPr>
        <w:ind w:left="718" w:hanging="540"/>
        <w:jc w:val="left"/>
      </w:pPr>
      <w:rPr>
        <w:rFonts w:hint="default"/>
      </w:rPr>
    </w:lvl>
    <w:lvl w:ilvl="1" w:tentative="0">
      <w:start w:val="1"/>
      <w:numFmt w:val="decimal"/>
      <w:lvlText w:val="%1.%2"/>
      <w:lvlJc w:val="left"/>
      <w:pPr>
        <w:ind w:left="718" w:hanging="540"/>
        <w:jc w:val="left"/>
      </w:pPr>
      <w:rPr>
        <w:rFonts w:hint="default" w:ascii="仿宋" w:hAnsi="仿宋" w:eastAsia="仿宋" w:cs="仿宋"/>
        <w:w w:val="100"/>
        <w:sz w:val="24"/>
        <w:szCs w:val="24"/>
      </w:rPr>
    </w:lvl>
    <w:lvl w:ilvl="2" w:tentative="0">
      <w:start w:val="0"/>
      <w:numFmt w:val="bullet"/>
      <w:lvlText w:val="•"/>
      <w:lvlJc w:val="left"/>
      <w:pPr>
        <w:ind w:left="2553" w:hanging="540"/>
      </w:pPr>
      <w:rPr>
        <w:rFonts w:hint="default"/>
      </w:rPr>
    </w:lvl>
    <w:lvl w:ilvl="3" w:tentative="0">
      <w:start w:val="0"/>
      <w:numFmt w:val="bullet"/>
      <w:lvlText w:val="•"/>
      <w:lvlJc w:val="left"/>
      <w:pPr>
        <w:ind w:left="3469" w:hanging="540"/>
      </w:pPr>
      <w:rPr>
        <w:rFonts w:hint="default"/>
      </w:rPr>
    </w:lvl>
    <w:lvl w:ilvl="4" w:tentative="0">
      <w:start w:val="0"/>
      <w:numFmt w:val="bullet"/>
      <w:lvlText w:val="•"/>
      <w:lvlJc w:val="left"/>
      <w:pPr>
        <w:ind w:left="4386" w:hanging="540"/>
      </w:pPr>
      <w:rPr>
        <w:rFonts w:hint="default"/>
      </w:rPr>
    </w:lvl>
    <w:lvl w:ilvl="5" w:tentative="0">
      <w:start w:val="0"/>
      <w:numFmt w:val="bullet"/>
      <w:lvlText w:val="•"/>
      <w:lvlJc w:val="left"/>
      <w:pPr>
        <w:ind w:left="5303" w:hanging="540"/>
      </w:pPr>
      <w:rPr>
        <w:rFonts w:hint="default"/>
      </w:rPr>
    </w:lvl>
    <w:lvl w:ilvl="6" w:tentative="0">
      <w:start w:val="0"/>
      <w:numFmt w:val="bullet"/>
      <w:lvlText w:val="•"/>
      <w:lvlJc w:val="left"/>
      <w:pPr>
        <w:ind w:left="6219" w:hanging="540"/>
      </w:pPr>
      <w:rPr>
        <w:rFonts w:hint="default"/>
      </w:rPr>
    </w:lvl>
    <w:lvl w:ilvl="7" w:tentative="0">
      <w:start w:val="0"/>
      <w:numFmt w:val="bullet"/>
      <w:lvlText w:val="•"/>
      <w:lvlJc w:val="left"/>
      <w:pPr>
        <w:ind w:left="7136" w:hanging="540"/>
      </w:pPr>
      <w:rPr>
        <w:rFonts w:hint="default"/>
      </w:rPr>
    </w:lvl>
    <w:lvl w:ilvl="8" w:tentative="0">
      <w:start w:val="0"/>
      <w:numFmt w:val="bullet"/>
      <w:lvlText w:val="•"/>
      <w:lvlJc w:val="left"/>
      <w:pPr>
        <w:ind w:left="8052" w:hanging="540"/>
      </w:pPr>
      <w:rPr>
        <w:rFonts w:hint="default"/>
      </w:rPr>
    </w:lvl>
  </w:abstractNum>
  <w:abstractNum w:abstractNumId="25">
    <w:nsid w:val="7C246926"/>
    <w:multiLevelType w:val="multilevel"/>
    <w:tmpl w:val="7C246926"/>
    <w:lvl w:ilvl="0" w:tentative="0">
      <w:start w:val="20"/>
      <w:numFmt w:val="decimal"/>
      <w:lvlText w:val="%1"/>
      <w:lvlJc w:val="left"/>
      <w:pPr>
        <w:ind w:left="794" w:hanging="600"/>
        <w:jc w:val="left"/>
      </w:pPr>
      <w:rPr>
        <w:rFonts w:hint="default"/>
      </w:rPr>
    </w:lvl>
    <w:lvl w:ilvl="1" w:tentative="0">
      <w:start w:val="1"/>
      <w:numFmt w:val="decimal"/>
      <w:lvlText w:val="%1.%2"/>
      <w:lvlJc w:val="left"/>
      <w:pPr>
        <w:ind w:left="794" w:hanging="600"/>
        <w:jc w:val="left"/>
      </w:pPr>
      <w:rPr>
        <w:rFonts w:hint="default" w:ascii="仿宋" w:hAnsi="仿宋" w:eastAsia="仿宋" w:cs="仿宋"/>
        <w:spacing w:val="-1"/>
        <w:w w:val="100"/>
        <w:sz w:val="24"/>
        <w:szCs w:val="24"/>
      </w:rPr>
    </w:lvl>
    <w:lvl w:ilvl="2" w:tentative="0">
      <w:start w:val="0"/>
      <w:numFmt w:val="bullet"/>
      <w:lvlText w:val="•"/>
      <w:lvlJc w:val="left"/>
      <w:pPr>
        <w:ind w:left="2617" w:hanging="600"/>
      </w:pPr>
      <w:rPr>
        <w:rFonts w:hint="default"/>
      </w:rPr>
    </w:lvl>
    <w:lvl w:ilvl="3" w:tentative="0">
      <w:start w:val="0"/>
      <w:numFmt w:val="bullet"/>
      <w:lvlText w:val="•"/>
      <w:lvlJc w:val="left"/>
      <w:pPr>
        <w:ind w:left="3525" w:hanging="600"/>
      </w:pPr>
      <w:rPr>
        <w:rFonts w:hint="default"/>
      </w:rPr>
    </w:lvl>
    <w:lvl w:ilvl="4" w:tentative="0">
      <w:start w:val="0"/>
      <w:numFmt w:val="bullet"/>
      <w:lvlText w:val="•"/>
      <w:lvlJc w:val="left"/>
      <w:pPr>
        <w:ind w:left="4434" w:hanging="600"/>
      </w:pPr>
      <w:rPr>
        <w:rFonts w:hint="default"/>
      </w:rPr>
    </w:lvl>
    <w:lvl w:ilvl="5" w:tentative="0">
      <w:start w:val="0"/>
      <w:numFmt w:val="bullet"/>
      <w:lvlText w:val="•"/>
      <w:lvlJc w:val="left"/>
      <w:pPr>
        <w:ind w:left="5343" w:hanging="600"/>
      </w:pPr>
      <w:rPr>
        <w:rFonts w:hint="default"/>
      </w:rPr>
    </w:lvl>
    <w:lvl w:ilvl="6" w:tentative="0">
      <w:start w:val="0"/>
      <w:numFmt w:val="bullet"/>
      <w:lvlText w:val="•"/>
      <w:lvlJc w:val="left"/>
      <w:pPr>
        <w:ind w:left="6251" w:hanging="600"/>
      </w:pPr>
      <w:rPr>
        <w:rFonts w:hint="default"/>
      </w:rPr>
    </w:lvl>
    <w:lvl w:ilvl="7" w:tentative="0">
      <w:start w:val="0"/>
      <w:numFmt w:val="bullet"/>
      <w:lvlText w:val="•"/>
      <w:lvlJc w:val="left"/>
      <w:pPr>
        <w:ind w:left="7160" w:hanging="600"/>
      </w:pPr>
      <w:rPr>
        <w:rFonts w:hint="default"/>
      </w:rPr>
    </w:lvl>
    <w:lvl w:ilvl="8" w:tentative="0">
      <w:start w:val="0"/>
      <w:numFmt w:val="bullet"/>
      <w:lvlText w:val="•"/>
      <w:lvlJc w:val="left"/>
      <w:pPr>
        <w:ind w:left="8068" w:hanging="600"/>
      </w:pPr>
      <w:rPr>
        <w:rFonts w:hint="default"/>
      </w:rPr>
    </w:lvl>
  </w:abstractNum>
  <w:abstractNum w:abstractNumId="26">
    <w:nsid w:val="7DEC2089"/>
    <w:multiLevelType w:val="multilevel"/>
    <w:tmpl w:val="7DEC2089"/>
    <w:lvl w:ilvl="0" w:tentative="0">
      <w:start w:val="2"/>
      <w:numFmt w:val="decimal"/>
      <w:lvlText w:val="%1"/>
      <w:lvlJc w:val="left"/>
      <w:pPr>
        <w:ind w:left="663" w:hanging="420"/>
        <w:jc w:val="left"/>
      </w:pPr>
      <w:rPr>
        <w:rFonts w:hint="default"/>
      </w:rPr>
    </w:lvl>
    <w:lvl w:ilvl="1" w:tentative="0">
      <w:start w:val="1"/>
      <w:numFmt w:val="decimal"/>
      <w:lvlText w:val="%1.%2"/>
      <w:lvlJc w:val="left"/>
      <w:pPr>
        <w:ind w:left="663" w:hanging="420"/>
        <w:jc w:val="left"/>
      </w:pPr>
      <w:rPr>
        <w:rFonts w:hint="default" w:ascii="仿宋" w:hAnsi="仿宋" w:eastAsia="仿宋" w:cs="仿宋"/>
        <w:w w:val="100"/>
        <w:sz w:val="24"/>
        <w:szCs w:val="24"/>
      </w:rPr>
    </w:lvl>
    <w:lvl w:ilvl="2" w:tentative="0">
      <w:start w:val="0"/>
      <w:numFmt w:val="bullet"/>
      <w:lvlText w:val="•"/>
      <w:lvlJc w:val="left"/>
      <w:pPr>
        <w:ind w:left="2505" w:hanging="420"/>
      </w:pPr>
      <w:rPr>
        <w:rFonts w:hint="default"/>
      </w:rPr>
    </w:lvl>
    <w:lvl w:ilvl="3" w:tentative="0">
      <w:start w:val="0"/>
      <w:numFmt w:val="bullet"/>
      <w:lvlText w:val="•"/>
      <w:lvlJc w:val="left"/>
      <w:pPr>
        <w:ind w:left="3427" w:hanging="420"/>
      </w:pPr>
      <w:rPr>
        <w:rFonts w:hint="default"/>
      </w:rPr>
    </w:lvl>
    <w:lvl w:ilvl="4" w:tentative="0">
      <w:start w:val="0"/>
      <w:numFmt w:val="bullet"/>
      <w:lvlText w:val="•"/>
      <w:lvlJc w:val="left"/>
      <w:pPr>
        <w:ind w:left="4350" w:hanging="420"/>
      </w:pPr>
      <w:rPr>
        <w:rFonts w:hint="default"/>
      </w:rPr>
    </w:lvl>
    <w:lvl w:ilvl="5" w:tentative="0">
      <w:start w:val="0"/>
      <w:numFmt w:val="bullet"/>
      <w:lvlText w:val="•"/>
      <w:lvlJc w:val="left"/>
      <w:pPr>
        <w:ind w:left="5273" w:hanging="420"/>
      </w:pPr>
      <w:rPr>
        <w:rFonts w:hint="default"/>
      </w:rPr>
    </w:lvl>
    <w:lvl w:ilvl="6" w:tentative="0">
      <w:start w:val="0"/>
      <w:numFmt w:val="bullet"/>
      <w:lvlText w:val="•"/>
      <w:lvlJc w:val="left"/>
      <w:pPr>
        <w:ind w:left="6195" w:hanging="420"/>
      </w:pPr>
      <w:rPr>
        <w:rFonts w:hint="default"/>
      </w:rPr>
    </w:lvl>
    <w:lvl w:ilvl="7" w:tentative="0">
      <w:start w:val="0"/>
      <w:numFmt w:val="bullet"/>
      <w:lvlText w:val="•"/>
      <w:lvlJc w:val="left"/>
      <w:pPr>
        <w:ind w:left="7118" w:hanging="420"/>
      </w:pPr>
      <w:rPr>
        <w:rFonts w:hint="default"/>
      </w:rPr>
    </w:lvl>
    <w:lvl w:ilvl="8" w:tentative="0">
      <w:start w:val="0"/>
      <w:numFmt w:val="bullet"/>
      <w:lvlText w:val="•"/>
      <w:lvlJc w:val="left"/>
      <w:pPr>
        <w:ind w:left="8040" w:hanging="420"/>
      </w:pPr>
      <w:rPr>
        <w:rFonts w:hint="default"/>
      </w:rPr>
    </w:lvl>
  </w:abstractNum>
  <w:num w:numId="1">
    <w:abstractNumId w:val="15"/>
  </w:num>
  <w:num w:numId="2">
    <w:abstractNumId w:val="13"/>
  </w:num>
  <w:num w:numId="3">
    <w:abstractNumId w:val="20"/>
  </w:num>
  <w:num w:numId="4">
    <w:abstractNumId w:val="6"/>
  </w:num>
  <w:num w:numId="5">
    <w:abstractNumId w:val="10"/>
  </w:num>
  <w:num w:numId="6">
    <w:abstractNumId w:val="8"/>
  </w:num>
  <w:num w:numId="7">
    <w:abstractNumId w:val="7"/>
  </w:num>
  <w:num w:numId="8">
    <w:abstractNumId w:val="3"/>
  </w:num>
  <w:num w:numId="9">
    <w:abstractNumId w:val="18"/>
  </w:num>
  <w:num w:numId="10">
    <w:abstractNumId w:val="22"/>
  </w:num>
  <w:num w:numId="11">
    <w:abstractNumId w:val="9"/>
  </w:num>
  <w:num w:numId="12">
    <w:abstractNumId w:val="16"/>
  </w:num>
  <w:num w:numId="13">
    <w:abstractNumId w:val="4"/>
  </w:num>
  <w:num w:numId="14">
    <w:abstractNumId w:val="25"/>
  </w:num>
  <w:num w:numId="15">
    <w:abstractNumId w:val="24"/>
  </w:num>
  <w:num w:numId="16">
    <w:abstractNumId w:val="5"/>
  </w:num>
  <w:num w:numId="17">
    <w:abstractNumId w:val="23"/>
  </w:num>
  <w:num w:numId="18">
    <w:abstractNumId w:val="2"/>
  </w:num>
  <w:num w:numId="19">
    <w:abstractNumId w:val="14"/>
  </w:num>
  <w:num w:numId="20">
    <w:abstractNumId w:val="1"/>
  </w:num>
  <w:num w:numId="21">
    <w:abstractNumId w:val="19"/>
  </w:num>
  <w:num w:numId="22">
    <w:abstractNumId w:val="26"/>
  </w:num>
  <w:num w:numId="23">
    <w:abstractNumId w:val="0"/>
  </w:num>
  <w:num w:numId="24">
    <w:abstractNumId w:val="12"/>
  </w:num>
  <w:num w:numId="25">
    <w:abstractNumId w:val="17"/>
  </w:num>
  <w:num w:numId="26">
    <w:abstractNumId w:val="2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YjljYzI0MjU5OGYzMDUyNTgyOWE4NzQ2YmFjNjIifQ=="/>
  </w:docVars>
  <w:rsids>
    <w:rsidRoot w:val="006A4818"/>
    <w:rsid w:val="00360E24"/>
    <w:rsid w:val="004D2B2D"/>
    <w:rsid w:val="004F7345"/>
    <w:rsid w:val="00647EF8"/>
    <w:rsid w:val="0068329D"/>
    <w:rsid w:val="006A4818"/>
    <w:rsid w:val="007D4CAA"/>
    <w:rsid w:val="00B43BAA"/>
    <w:rsid w:val="00B52690"/>
    <w:rsid w:val="00CF00A1"/>
    <w:rsid w:val="00D21C9D"/>
    <w:rsid w:val="00D479B0"/>
    <w:rsid w:val="00FD67E8"/>
    <w:rsid w:val="01A47FC5"/>
    <w:rsid w:val="01AA17A9"/>
    <w:rsid w:val="01AA53FC"/>
    <w:rsid w:val="01AD5116"/>
    <w:rsid w:val="02273C69"/>
    <w:rsid w:val="025D4DCC"/>
    <w:rsid w:val="02746F16"/>
    <w:rsid w:val="02C10646"/>
    <w:rsid w:val="02F00578"/>
    <w:rsid w:val="036A0707"/>
    <w:rsid w:val="04133956"/>
    <w:rsid w:val="04BA0275"/>
    <w:rsid w:val="05CF1403"/>
    <w:rsid w:val="05E27579"/>
    <w:rsid w:val="05E559F0"/>
    <w:rsid w:val="061F358B"/>
    <w:rsid w:val="069157BE"/>
    <w:rsid w:val="06BD7EF1"/>
    <w:rsid w:val="074D369E"/>
    <w:rsid w:val="07717112"/>
    <w:rsid w:val="07852DBD"/>
    <w:rsid w:val="081D1247"/>
    <w:rsid w:val="082A6FA6"/>
    <w:rsid w:val="08486C58"/>
    <w:rsid w:val="08786E8D"/>
    <w:rsid w:val="08EE6740"/>
    <w:rsid w:val="0922463B"/>
    <w:rsid w:val="094750B4"/>
    <w:rsid w:val="09813405"/>
    <w:rsid w:val="098E3B30"/>
    <w:rsid w:val="0A886737"/>
    <w:rsid w:val="0AEC0132"/>
    <w:rsid w:val="0B2108E8"/>
    <w:rsid w:val="0BC13638"/>
    <w:rsid w:val="0BEC193A"/>
    <w:rsid w:val="0C48565D"/>
    <w:rsid w:val="0C7A7066"/>
    <w:rsid w:val="0C8278CB"/>
    <w:rsid w:val="0D1A3FA7"/>
    <w:rsid w:val="0DD24882"/>
    <w:rsid w:val="0DDC74AE"/>
    <w:rsid w:val="0E0E518E"/>
    <w:rsid w:val="0E1D2C4C"/>
    <w:rsid w:val="0E3E1F17"/>
    <w:rsid w:val="0E96629E"/>
    <w:rsid w:val="0EE50FCF"/>
    <w:rsid w:val="0EF031C4"/>
    <w:rsid w:val="0F052A35"/>
    <w:rsid w:val="0F1A64E0"/>
    <w:rsid w:val="0F4D34C8"/>
    <w:rsid w:val="0FC01897"/>
    <w:rsid w:val="0FD07BC2"/>
    <w:rsid w:val="10394744"/>
    <w:rsid w:val="10C5568E"/>
    <w:rsid w:val="112278CE"/>
    <w:rsid w:val="11676681"/>
    <w:rsid w:val="11A028C6"/>
    <w:rsid w:val="120F4555"/>
    <w:rsid w:val="12327CD2"/>
    <w:rsid w:val="12AF6F40"/>
    <w:rsid w:val="13051FF5"/>
    <w:rsid w:val="13202BBE"/>
    <w:rsid w:val="13225964"/>
    <w:rsid w:val="134404C4"/>
    <w:rsid w:val="14B6241E"/>
    <w:rsid w:val="14C300BC"/>
    <w:rsid w:val="15122405"/>
    <w:rsid w:val="151B061A"/>
    <w:rsid w:val="15273705"/>
    <w:rsid w:val="155142DE"/>
    <w:rsid w:val="15743708"/>
    <w:rsid w:val="15923173"/>
    <w:rsid w:val="15EE037C"/>
    <w:rsid w:val="16337E88"/>
    <w:rsid w:val="176D4508"/>
    <w:rsid w:val="178C294F"/>
    <w:rsid w:val="17CF3BE0"/>
    <w:rsid w:val="17F3183A"/>
    <w:rsid w:val="187F73B4"/>
    <w:rsid w:val="18E46D74"/>
    <w:rsid w:val="19550115"/>
    <w:rsid w:val="1A27385F"/>
    <w:rsid w:val="1A4F5B4D"/>
    <w:rsid w:val="1A642D06"/>
    <w:rsid w:val="1A6B4094"/>
    <w:rsid w:val="1A6C5A74"/>
    <w:rsid w:val="1A8C6AE4"/>
    <w:rsid w:val="1AA650CC"/>
    <w:rsid w:val="1AB33345"/>
    <w:rsid w:val="1ACC166E"/>
    <w:rsid w:val="1BB20D39"/>
    <w:rsid w:val="1C87660E"/>
    <w:rsid w:val="1CAF5A89"/>
    <w:rsid w:val="1D7F39AA"/>
    <w:rsid w:val="1E4E3AB1"/>
    <w:rsid w:val="1E5B464E"/>
    <w:rsid w:val="1F846335"/>
    <w:rsid w:val="20DC0376"/>
    <w:rsid w:val="20EF6450"/>
    <w:rsid w:val="21503118"/>
    <w:rsid w:val="21D10D15"/>
    <w:rsid w:val="21F66939"/>
    <w:rsid w:val="220F1D81"/>
    <w:rsid w:val="22AC798B"/>
    <w:rsid w:val="23025165"/>
    <w:rsid w:val="232A5278"/>
    <w:rsid w:val="233A522F"/>
    <w:rsid w:val="236B2A0F"/>
    <w:rsid w:val="2405158D"/>
    <w:rsid w:val="25E92C11"/>
    <w:rsid w:val="262F241A"/>
    <w:rsid w:val="263848E2"/>
    <w:rsid w:val="2699517F"/>
    <w:rsid w:val="269B2629"/>
    <w:rsid w:val="27ED40D4"/>
    <w:rsid w:val="27FF406E"/>
    <w:rsid w:val="2815563F"/>
    <w:rsid w:val="286D2F20"/>
    <w:rsid w:val="28A920A7"/>
    <w:rsid w:val="28AA222B"/>
    <w:rsid w:val="28AC5FA3"/>
    <w:rsid w:val="29441D2C"/>
    <w:rsid w:val="29BA109E"/>
    <w:rsid w:val="29D532D8"/>
    <w:rsid w:val="2AA2378B"/>
    <w:rsid w:val="2ACC6723"/>
    <w:rsid w:val="2B193698"/>
    <w:rsid w:val="2B7A29B8"/>
    <w:rsid w:val="2B7D59D5"/>
    <w:rsid w:val="2C4B4518"/>
    <w:rsid w:val="2C5D080F"/>
    <w:rsid w:val="2C741CAC"/>
    <w:rsid w:val="2CD81986"/>
    <w:rsid w:val="2E7B17D9"/>
    <w:rsid w:val="2E9B04A6"/>
    <w:rsid w:val="2EE13679"/>
    <w:rsid w:val="2F045B74"/>
    <w:rsid w:val="2F5A5B25"/>
    <w:rsid w:val="2F634EE2"/>
    <w:rsid w:val="2F844A2F"/>
    <w:rsid w:val="2F9C4DF5"/>
    <w:rsid w:val="316B6C31"/>
    <w:rsid w:val="32161B88"/>
    <w:rsid w:val="32281716"/>
    <w:rsid w:val="325F519C"/>
    <w:rsid w:val="32A54423"/>
    <w:rsid w:val="32CF742C"/>
    <w:rsid w:val="33054D46"/>
    <w:rsid w:val="336E7E90"/>
    <w:rsid w:val="3387135C"/>
    <w:rsid w:val="338940F7"/>
    <w:rsid w:val="33D83593"/>
    <w:rsid w:val="34106B2D"/>
    <w:rsid w:val="34296DCB"/>
    <w:rsid w:val="342E1156"/>
    <w:rsid w:val="34677DBE"/>
    <w:rsid w:val="34763909"/>
    <w:rsid w:val="35402150"/>
    <w:rsid w:val="35493093"/>
    <w:rsid w:val="35FC449C"/>
    <w:rsid w:val="367B7743"/>
    <w:rsid w:val="3681428E"/>
    <w:rsid w:val="370373C1"/>
    <w:rsid w:val="370C7E65"/>
    <w:rsid w:val="38763B04"/>
    <w:rsid w:val="38BE0827"/>
    <w:rsid w:val="38E61C57"/>
    <w:rsid w:val="39334868"/>
    <w:rsid w:val="395010AE"/>
    <w:rsid w:val="39B5458C"/>
    <w:rsid w:val="39FD022C"/>
    <w:rsid w:val="3A8723CC"/>
    <w:rsid w:val="3C131EB5"/>
    <w:rsid w:val="3C9B3F0D"/>
    <w:rsid w:val="3CC571DC"/>
    <w:rsid w:val="3D343D19"/>
    <w:rsid w:val="3D962462"/>
    <w:rsid w:val="3E020ED4"/>
    <w:rsid w:val="3E181D9E"/>
    <w:rsid w:val="3E907A76"/>
    <w:rsid w:val="3F10582C"/>
    <w:rsid w:val="3F9609FA"/>
    <w:rsid w:val="410A4020"/>
    <w:rsid w:val="415428DD"/>
    <w:rsid w:val="41CC1DF1"/>
    <w:rsid w:val="41FA6EAB"/>
    <w:rsid w:val="43F403A7"/>
    <w:rsid w:val="446262CA"/>
    <w:rsid w:val="44CB5047"/>
    <w:rsid w:val="44FF206F"/>
    <w:rsid w:val="45800144"/>
    <w:rsid w:val="45AC7521"/>
    <w:rsid w:val="45D147FE"/>
    <w:rsid w:val="4616287D"/>
    <w:rsid w:val="46922533"/>
    <w:rsid w:val="46DD5AD3"/>
    <w:rsid w:val="476D3C09"/>
    <w:rsid w:val="47BE7F0D"/>
    <w:rsid w:val="480A4BA6"/>
    <w:rsid w:val="48435459"/>
    <w:rsid w:val="48A51975"/>
    <w:rsid w:val="49446A44"/>
    <w:rsid w:val="4A7E4215"/>
    <w:rsid w:val="4B383F8F"/>
    <w:rsid w:val="4B614574"/>
    <w:rsid w:val="4B64659B"/>
    <w:rsid w:val="4BBC5C4E"/>
    <w:rsid w:val="4BC507CD"/>
    <w:rsid w:val="4BF61160"/>
    <w:rsid w:val="4BF95564"/>
    <w:rsid w:val="4CDC18A9"/>
    <w:rsid w:val="4DCD7405"/>
    <w:rsid w:val="4DFB6023"/>
    <w:rsid w:val="4E2B2C17"/>
    <w:rsid w:val="4E4B39C1"/>
    <w:rsid w:val="4EA72BDB"/>
    <w:rsid w:val="4EE033A5"/>
    <w:rsid w:val="4F3124AF"/>
    <w:rsid w:val="502617E8"/>
    <w:rsid w:val="502D14C8"/>
    <w:rsid w:val="50837E4C"/>
    <w:rsid w:val="50C23D2E"/>
    <w:rsid w:val="50F876EA"/>
    <w:rsid w:val="51333264"/>
    <w:rsid w:val="514209A3"/>
    <w:rsid w:val="516F5FCC"/>
    <w:rsid w:val="523C53F3"/>
    <w:rsid w:val="52B640CF"/>
    <w:rsid w:val="52CF4467"/>
    <w:rsid w:val="52D970E6"/>
    <w:rsid w:val="53C925BB"/>
    <w:rsid w:val="53D8739D"/>
    <w:rsid w:val="54653A5E"/>
    <w:rsid w:val="55314FB7"/>
    <w:rsid w:val="553360F2"/>
    <w:rsid w:val="554C0043"/>
    <w:rsid w:val="55EB6E9F"/>
    <w:rsid w:val="561D19DF"/>
    <w:rsid w:val="5638296D"/>
    <w:rsid w:val="565652E6"/>
    <w:rsid w:val="56A05672"/>
    <w:rsid w:val="56ED37AB"/>
    <w:rsid w:val="57442C45"/>
    <w:rsid w:val="584E5E80"/>
    <w:rsid w:val="587855C7"/>
    <w:rsid w:val="59012EF2"/>
    <w:rsid w:val="59486D73"/>
    <w:rsid w:val="59CC3500"/>
    <w:rsid w:val="5A6131C1"/>
    <w:rsid w:val="5A865DA5"/>
    <w:rsid w:val="5B3300CF"/>
    <w:rsid w:val="5B345801"/>
    <w:rsid w:val="5B514D7F"/>
    <w:rsid w:val="5BCC0D7F"/>
    <w:rsid w:val="5C005457"/>
    <w:rsid w:val="5C1543DD"/>
    <w:rsid w:val="5C1B3C32"/>
    <w:rsid w:val="5CC956D5"/>
    <w:rsid w:val="5CEB1EEF"/>
    <w:rsid w:val="5D0448B5"/>
    <w:rsid w:val="5DAA7FFC"/>
    <w:rsid w:val="5F1C0A86"/>
    <w:rsid w:val="5F830B05"/>
    <w:rsid w:val="6054424F"/>
    <w:rsid w:val="61AA6F86"/>
    <w:rsid w:val="61B455FB"/>
    <w:rsid w:val="62034176"/>
    <w:rsid w:val="629C4B44"/>
    <w:rsid w:val="62BC3305"/>
    <w:rsid w:val="62E01DCA"/>
    <w:rsid w:val="63612F0B"/>
    <w:rsid w:val="637F3391"/>
    <w:rsid w:val="6384309D"/>
    <w:rsid w:val="63EB18F4"/>
    <w:rsid w:val="64490A50"/>
    <w:rsid w:val="644E7E6B"/>
    <w:rsid w:val="646507D9"/>
    <w:rsid w:val="646C6F50"/>
    <w:rsid w:val="65675245"/>
    <w:rsid w:val="659840C6"/>
    <w:rsid w:val="6635242D"/>
    <w:rsid w:val="66A02022"/>
    <w:rsid w:val="66D47E98"/>
    <w:rsid w:val="677B2C4D"/>
    <w:rsid w:val="67FC7DE6"/>
    <w:rsid w:val="681C5653"/>
    <w:rsid w:val="68456DDE"/>
    <w:rsid w:val="687C69B3"/>
    <w:rsid w:val="688D0F58"/>
    <w:rsid w:val="68D73C6F"/>
    <w:rsid w:val="696C5CC1"/>
    <w:rsid w:val="69E20C11"/>
    <w:rsid w:val="69FB2591"/>
    <w:rsid w:val="6A2329E5"/>
    <w:rsid w:val="6A4175F2"/>
    <w:rsid w:val="6A6303BB"/>
    <w:rsid w:val="6AB853DB"/>
    <w:rsid w:val="6BF23772"/>
    <w:rsid w:val="6BF70F0D"/>
    <w:rsid w:val="6C4B4758"/>
    <w:rsid w:val="6C99253A"/>
    <w:rsid w:val="6CA91B67"/>
    <w:rsid w:val="6D44205E"/>
    <w:rsid w:val="6D6B3334"/>
    <w:rsid w:val="6DCF0E0D"/>
    <w:rsid w:val="6E481016"/>
    <w:rsid w:val="6EC07FC5"/>
    <w:rsid w:val="6EC41F74"/>
    <w:rsid w:val="6EEB2223"/>
    <w:rsid w:val="6EFF7A7C"/>
    <w:rsid w:val="6F1348B0"/>
    <w:rsid w:val="6F510361"/>
    <w:rsid w:val="6FC7611B"/>
    <w:rsid w:val="701B0935"/>
    <w:rsid w:val="70996EEF"/>
    <w:rsid w:val="70AD3C34"/>
    <w:rsid w:val="71175551"/>
    <w:rsid w:val="712F5A24"/>
    <w:rsid w:val="718F1EA1"/>
    <w:rsid w:val="72432498"/>
    <w:rsid w:val="72D5767E"/>
    <w:rsid w:val="72E2219A"/>
    <w:rsid w:val="73642743"/>
    <w:rsid w:val="73B2330F"/>
    <w:rsid w:val="73C13552"/>
    <w:rsid w:val="73C53042"/>
    <w:rsid w:val="73D640A8"/>
    <w:rsid w:val="73E60E99"/>
    <w:rsid w:val="742A559B"/>
    <w:rsid w:val="74452D68"/>
    <w:rsid w:val="74701CA4"/>
    <w:rsid w:val="749C3F9F"/>
    <w:rsid w:val="74B01AF1"/>
    <w:rsid w:val="758B206A"/>
    <w:rsid w:val="76AF3E8C"/>
    <w:rsid w:val="76DB492B"/>
    <w:rsid w:val="77C95660"/>
    <w:rsid w:val="77D2720E"/>
    <w:rsid w:val="77D804F4"/>
    <w:rsid w:val="77FF7744"/>
    <w:rsid w:val="786F5C73"/>
    <w:rsid w:val="78BB4A14"/>
    <w:rsid w:val="78C044E2"/>
    <w:rsid w:val="78E0091E"/>
    <w:rsid w:val="791415E6"/>
    <w:rsid w:val="79A35C07"/>
    <w:rsid w:val="7AA43354"/>
    <w:rsid w:val="7AAA0AE2"/>
    <w:rsid w:val="7AE75FBC"/>
    <w:rsid w:val="7B6A318A"/>
    <w:rsid w:val="7BD23EBE"/>
    <w:rsid w:val="7C1A4147"/>
    <w:rsid w:val="7C772DC5"/>
    <w:rsid w:val="7CAE79BA"/>
    <w:rsid w:val="7D104E85"/>
    <w:rsid w:val="7DE0169C"/>
    <w:rsid w:val="7EBE3E4A"/>
    <w:rsid w:val="7F3245D2"/>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en-US" w:eastAsia="en-US" w:bidi="ar-SA"/>
    </w:rPr>
  </w:style>
  <w:style w:type="paragraph" w:styleId="4">
    <w:name w:val="heading 1"/>
    <w:basedOn w:val="1"/>
    <w:next w:val="1"/>
    <w:qFormat/>
    <w:uiPriority w:val="1"/>
    <w:pPr>
      <w:ind w:right="337" w:hanging="420"/>
      <w:outlineLvl w:val="0"/>
    </w:pPr>
    <w:rPr>
      <w:sz w:val="84"/>
      <w:szCs w:val="84"/>
    </w:rPr>
  </w:style>
  <w:style w:type="paragraph" w:styleId="5">
    <w:name w:val="heading 2"/>
    <w:basedOn w:val="1"/>
    <w:next w:val="1"/>
    <w:qFormat/>
    <w:uiPriority w:val="1"/>
    <w:pPr>
      <w:spacing w:before="27"/>
      <w:ind w:right="340"/>
      <w:outlineLvl w:val="1"/>
    </w:pPr>
    <w:rPr>
      <w:b/>
      <w:bCs/>
      <w:sz w:val="32"/>
      <w:szCs w:val="32"/>
    </w:rPr>
  </w:style>
  <w:style w:type="paragraph" w:styleId="6">
    <w:name w:val="heading 3"/>
    <w:basedOn w:val="1"/>
    <w:next w:val="1"/>
    <w:qFormat/>
    <w:uiPriority w:val="1"/>
    <w:pPr>
      <w:ind w:left="524"/>
      <w:outlineLvl w:val="2"/>
    </w:pPr>
    <w:rPr>
      <w:b/>
      <w:bCs/>
      <w:sz w:val="28"/>
      <w:szCs w:val="28"/>
    </w:rPr>
  </w:style>
  <w:style w:type="paragraph" w:styleId="7">
    <w:name w:val="heading 4"/>
    <w:basedOn w:val="1"/>
    <w:next w:val="1"/>
    <w:qFormat/>
    <w:uiPriority w:val="1"/>
    <w:pPr>
      <w:ind w:left="524"/>
      <w:outlineLvl w:val="3"/>
    </w:pPr>
    <w:rPr>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spacing w:before="280" w:after="156" w:line="377" w:lineRule="auto"/>
      <w:outlineLvl w:val="4"/>
    </w:pPr>
    <w:rPr>
      <w:rFonts w:ascii="Arial" w:hAnsi="Arial"/>
      <w:b/>
      <w:sz w:val="24"/>
      <w:szCs w:val="28"/>
    </w:rPr>
  </w:style>
  <w:style w:type="paragraph" w:customStyle="1" w:styleId="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8">
    <w:name w:val="Body Text"/>
    <w:basedOn w:val="1"/>
    <w:next w:val="1"/>
    <w:qFormat/>
    <w:uiPriority w:val="1"/>
    <w:rPr>
      <w:sz w:val="24"/>
      <w:szCs w:val="24"/>
    </w:rPr>
  </w:style>
  <w:style w:type="paragraph" w:styleId="9">
    <w:name w:val="Body Text Indent"/>
    <w:basedOn w:val="1"/>
    <w:next w:val="10"/>
    <w:qFormat/>
    <w:uiPriority w:val="0"/>
    <w:pPr>
      <w:adjustRightInd w:val="0"/>
      <w:snapToGrid w:val="0"/>
      <w:spacing w:line="360" w:lineRule="auto"/>
      <w:ind w:left="570"/>
      <w:jc w:val="both"/>
    </w:pPr>
    <w:rPr>
      <w:rFonts w:ascii="Arial" w:hAnsi="Arial"/>
      <w:b/>
      <w:bCs/>
      <w:sz w:val="28"/>
    </w:rPr>
  </w:style>
  <w:style w:type="paragraph" w:styleId="10">
    <w:name w:val="envelope return"/>
    <w:basedOn w:val="1"/>
    <w:qFormat/>
    <w:uiPriority w:val="0"/>
    <w:pPr>
      <w:snapToGrid w:val="0"/>
    </w:pPr>
    <w:rPr>
      <w:rFonts w:ascii="Arial" w:hAnsi="Arial"/>
    </w:rPr>
  </w:style>
  <w:style w:type="paragraph" w:styleId="11">
    <w:name w:val="toc 3"/>
    <w:basedOn w:val="1"/>
    <w:next w:val="1"/>
    <w:qFormat/>
    <w:uiPriority w:val="1"/>
    <w:pPr>
      <w:spacing w:before="2"/>
      <w:ind w:left="595"/>
    </w:pPr>
    <w:rPr>
      <w:sz w:val="21"/>
      <w:szCs w:val="21"/>
    </w:rPr>
  </w:style>
  <w:style w:type="paragraph" w:styleId="12">
    <w:name w:val="Plain Text"/>
    <w:basedOn w:val="1"/>
    <w:next w:val="13"/>
    <w:qFormat/>
    <w:uiPriority w:val="0"/>
    <w:pPr>
      <w:spacing w:line="576" w:lineRule="exact"/>
    </w:pPr>
    <w:rPr>
      <w:rFonts w:hAnsi="Courier New" w:eastAsia="Times New Roman"/>
      <w:snapToGrid w:val="0"/>
      <w:szCs w:val="21"/>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footer"/>
    <w:basedOn w:val="1"/>
    <w:qFormat/>
    <w:uiPriority w:val="0"/>
    <w:pPr>
      <w:tabs>
        <w:tab w:val="center" w:pos="4153"/>
        <w:tab w:val="right" w:pos="8306"/>
      </w:tabs>
      <w:snapToGrid w:val="0"/>
    </w:pPr>
    <w:rPr>
      <w:sz w:val="18"/>
    </w:rPr>
  </w:style>
  <w:style w:type="paragraph" w:styleId="15">
    <w:name w:val="toc 1"/>
    <w:basedOn w:val="1"/>
    <w:next w:val="1"/>
    <w:qFormat/>
    <w:uiPriority w:val="1"/>
    <w:pPr>
      <w:spacing w:before="2"/>
      <w:ind w:right="170"/>
      <w:jc w:val="center"/>
    </w:pPr>
    <w:rPr>
      <w:sz w:val="21"/>
      <w:szCs w:val="21"/>
    </w:rPr>
  </w:style>
  <w:style w:type="paragraph" w:styleId="16">
    <w:name w:val="List 5"/>
    <w:basedOn w:val="1"/>
    <w:next w:val="17"/>
    <w:qFormat/>
    <w:uiPriority w:val="0"/>
    <w:pPr>
      <w:ind w:left="100" w:hanging="200"/>
    </w:pPr>
  </w:style>
  <w:style w:type="paragraph" w:customStyle="1" w:styleId="17">
    <w:name w:val="目录 51"/>
    <w:basedOn w:val="1"/>
    <w:next w:val="1"/>
    <w:qFormat/>
    <w:uiPriority w:val="0"/>
    <w:pPr>
      <w:ind w:left="630"/>
    </w:pPr>
    <w:rPr>
      <w:sz w:val="20"/>
    </w:rPr>
  </w:style>
  <w:style w:type="paragraph" w:styleId="18">
    <w:name w:val="toc 2"/>
    <w:basedOn w:val="1"/>
    <w:next w:val="1"/>
    <w:qFormat/>
    <w:uiPriority w:val="1"/>
    <w:pPr>
      <w:spacing w:before="2"/>
      <w:ind w:left="235"/>
    </w:pPr>
    <w:rPr>
      <w:sz w:val="21"/>
      <w:szCs w:val="21"/>
    </w:rPr>
  </w:style>
  <w:style w:type="paragraph" w:styleId="19">
    <w:name w:val="Normal (Web)"/>
    <w:basedOn w:val="1"/>
    <w:qFormat/>
    <w:uiPriority w:val="0"/>
    <w:pPr>
      <w:spacing w:before="100" w:beforeAutospacing="1" w:after="100" w:afterAutospacing="1"/>
    </w:pPr>
    <w:rPr>
      <w:sz w:val="24"/>
    </w:rPr>
  </w:style>
  <w:style w:type="paragraph" w:styleId="20">
    <w:name w:val="Body Text First Indent"/>
    <w:basedOn w:val="8"/>
    <w:unhideWhenUsed/>
    <w:qFormat/>
    <w:uiPriority w:val="99"/>
    <w:pPr>
      <w:ind w:firstLine="420" w:firstLineChars="100"/>
    </w:pPr>
    <w:rPr>
      <w:szCs w:val="28"/>
    </w:rPr>
  </w:style>
  <w:style w:type="paragraph" w:styleId="21">
    <w:name w:val="Body Text First Indent 2"/>
    <w:basedOn w:val="9"/>
    <w:next w:val="1"/>
    <w:unhideWhenUsed/>
    <w:qFormat/>
    <w:uiPriority w:val="99"/>
    <w:pPr>
      <w:adjustRightInd/>
      <w:snapToGrid/>
      <w:spacing w:after="120" w:line="240" w:lineRule="auto"/>
      <w:ind w:left="420" w:leftChars="200" w:firstLine="420" w:firstLineChars="200"/>
    </w:pPr>
    <w:rPr>
      <w:rFonts w:ascii="Calibri" w:hAnsi="Calibri"/>
      <w:b w:val="0"/>
      <w:bCs w:val="0"/>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0"/>
    <w:rPr>
      <w:b/>
      <w:bCs/>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non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ascii="monospace" w:hAnsi="monospace" w:eastAsia="monospace" w:cs="monospace"/>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列表段落1"/>
    <w:basedOn w:val="1"/>
    <w:qFormat/>
    <w:uiPriority w:val="1"/>
    <w:pPr>
      <w:ind w:left="944" w:hanging="420"/>
    </w:pPr>
  </w:style>
  <w:style w:type="paragraph" w:customStyle="1" w:styleId="39">
    <w:name w:val="Table Paragraph"/>
    <w:basedOn w:val="1"/>
    <w:qFormat/>
    <w:uiPriority w:val="1"/>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2">
    <w:name w:val="font51"/>
    <w:basedOn w:val="24"/>
    <w:qFormat/>
    <w:uiPriority w:val="0"/>
    <w:rPr>
      <w:rFonts w:hint="eastAsia" w:ascii="宋体" w:hAnsi="宋体" w:eastAsia="宋体" w:cs="宋体"/>
      <w:color w:val="000000"/>
      <w:sz w:val="22"/>
      <w:szCs w:val="22"/>
      <w:u w:val="none"/>
    </w:rPr>
  </w:style>
  <w:style w:type="character" w:customStyle="1" w:styleId="43">
    <w:name w:val="font61"/>
    <w:basedOn w:val="24"/>
    <w:qFormat/>
    <w:uiPriority w:val="0"/>
    <w:rPr>
      <w:rFonts w:hint="eastAsia" w:ascii="宋体" w:hAnsi="宋体" w:eastAsia="宋体" w:cs="宋体"/>
      <w:color w:val="000000"/>
      <w:sz w:val="22"/>
      <w:szCs w:val="22"/>
      <w:u w:val="none"/>
      <w:vertAlign w:val="superscript"/>
    </w:rPr>
  </w:style>
  <w:style w:type="character" w:customStyle="1" w:styleId="44">
    <w:name w:val="font112"/>
    <w:basedOn w:val="24"/>
    <w:qFormat/>
    <w:uiPriority w:val="0"/>
    <w:rPr>
      <w:rFonts w:hint="eastAsia" w:ascii="宋体" w:hAnsi="宋体" w:eastAsia="宋体" w:cs="宋体"/>
      <w:color w:val="000000"/>
      <w:sz w:val="22"/>
      <w:szCs w:val="22"/>
      <w:u w:val="none"/>
      <w:vertAlign w:val="superscript"/>
    </w:rPr>
  </w:style>
  <w:style w:type="character" w:customStyle="1" w:styleId="45">
    <w:name w:val="font91"/>
    <w:basedOn w:val="24"/>
    <w:qFormat/>
    <w:uiPriority w:val="0"/>
    <w:rPr>
      <w:rFonts w:hint="eastAsia" w:ascii="宋体" w:hAnsi="宋体" w:eastAsia="宋体" w:cs="宋体"/>
      <w:color w:val="000000"/>
      <w:sz w:val="22"/>
      <w:szCs w:val="22"/>
      <w:u w:val="none"/>
      <w:vertAlign w:val="superscript"/>
    </w:rPr>
  </w:style>
  <w:style w:type="character" w:customStyle="1" w:styleId="46">
    <w:name w:val="font31"/>
    <w:basedOn w:val="24"/>
    <w:qFormat/>
    <w:uiPriority w:val="0"/>
    <w:rPr>
      <w:rFonts w:hint="eastAsia" w:ascii="宋体" w:hAnsi="宋体" w:eastAsia="宋体" w:cs="宋体"/>
      <w:b/>
      <w:bCs/>
      <w:color w:val="000000"/>
      <w:sz w:val="24"/>
      <w:szCs w:val="24"/>
      <w:u w:val="single"/>
    </w:rPr>
  </w:style>
  <w:style w:type="character" w:customStyle="1" w:styleId="47">
    <w:name w:val="font21"/>
    <w:basedOn w:val="24"/>
    <w:qFormat/>
    <w:uiPriority w:val="0"/>
    <w:rPr>
      <w:rFonts w:hint="eastAsia" w:ascii="宋体" w:hAnsi="宋体" w:eastAsia="宋体" w:cs="宋体"/>
      <w:b/>
      <w:bCs/>
      <w:color w:val="000000"/>
      <w:sz w:val="24"/>
      <w:szCs w:val="24"/>
      <w:u w:val="none"/>
    </w:rPr>
  </w:style>
  <w:style w:type="character" w:customStyle="1" w:styleId="48">
    <w:name w:val="font11"/>
    <w:basedOn w:val="24"/>
    <w:qFormat/>
    <w:uiPriority w:val="0"/>
    <w:rPr>
      <w:rFonts w:hint="eastAsia" w:ascii="宋体" w:hAnsi="宋体" w:eastAsia="宋体" w:cs="宋体"/>
      <w:b/>
      <w:bCs/>
      <w:color w:val="000000"/>
      <w:sz w:val="24"/>
      <w:szCs w:val="24"/>
      <w:u w:val="none"/>
      <w:vertAlign w:val="superscript"/>
    </w:rPr>
  </w:style>
  <w:style w:type="character" w:customStyle="1" w:styleId="49">
    <w:name w:val="font01"/>
    <w:basedOn w:val="24"/>
    <w:qFormat/>
    <w:uiPriority w:val="0"/>
    <w:rPr>
      <w:rFonts w:hint="eastAsia" w:ascii="宋体" w:hAnsi="宋体" w:eastAsia="宋体" w:cs="宋体"/>
      <w:b/>
      <w:bCs/>
      <w:color w:val="000000"/>
      <w:sz w:val="24"/>
      <w:szCs w:val="24"/>
      <w:u w:val="none"/>
    </w:rPr>
  </w:style>
  <w:style w:type="paragraph" w:customStyle="1" w:styleId="50">
    <w:name w:val="Default"/>
    <w:next w:val="5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正文缩进1"/>
    <w:basedOn w:val="1"/>
    <w:qFormat/>
    <w:uiPriority w:val="0"/>
    <w:pPr>
      <w:ind w:firstLine="200" w:firstLineChars="200"/>
    </w:pPr>
    <w:rPr>
      <w:szCs w:val="24"/>
    </w:rPr>
  </w:style>
  <w:style w:type="paragraph" w:customStyle="1" w:styleId="52">
    <w:name w:val="BodyText1I2"/>
    <w:basedOn w:val="53"/>
    <w:qFormat/>
    <w:uiPriority w:val="0"/>
    <w:pPr>
      <w:ind w:firstLine="420" w:firstLineChars="200"/>
    </w:pPr>
  </w:style>
  <w:style w:type="paragraph" w:customStyle="1" w:styleId="53">
    <w:name w:val="BodyTextIndent"/>
    <w:basedOn w:val="1"/>
    <w:qFormat/>
    <w:uiPriority w:val="0"/>
    <w:pPr>
      <w:spacing w:after="120"/>
      <w:ind w:left="420" w:leftChars="200"/>
    </w:pPr>
  </w:style>
  <w:style w:type="paragraph" w:customStyle="1" w:styleId="54">
    <w:name w:val="FootnoteText"/>
    <w:basedOn w:val="1"/>
    <w:semiHidden/>
    <w:qFormat/>
    <w:uiPriority w:val="0"/>
    <w:pPr>
      <w:snapToGrid w:val="0"/>
    </w:pPr>
    <w:rPr>
      <w:sz w:val="18"/>
      <w:szCs w:val="18"/>
    </w:rPr>
  </w:style>
  <w:style w:type="paragraph" w:customStyle="1" w:styleId="55">
    <w:name w:val="Table Text"/>
    <w:basedOn w:val="1"/>
    <w:semiHidden/>
    <w:qFormat/>
    <w:uiPriority w:val="0"/>
    <w:rPr>
      <w:rFonts w:ascii="宋体" w:hAnsi="宋体" w:eastAsia="宋体" w:cs="宋体"/>
      <w:sz w:val="24"/>
      <w:szCs w:val="24"/>
    </w:rPr>
  </w:style>
  <w:style w:type="paragraph" w:styleId="5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10662</Words>
  <Characters>11008</Characters>
  <Lines>179</Lines>
  <Paragraphs>50</Paragraphs>
  <TotalTime>35</TotalTime>
  <ScaleCrop>false</ScaleCrop>
  <LinksUpToDate>false</LinksUpToDate>
  <CharactersWithSpaces>11517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2022-07-20T05:18:00Z</dcterms:created>
  <dc:creator>hxw</dc:creator>
  <cp:lastModifiedBy>Clytze</cp:lastModifiedBy>
  <cp:lastPrinted>2024-12-31T08:14:00Z</cp:lastPrinted>
  <dcterms:modified xsi:type="dcterms:W3CDTF">2025-01-21T07:50:44Z</dcterms:modified>
  <dc:title>政府采购招标文件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WPS 文字</vt:lpwstr>
  </property>
  <property fmtid="{D5CDD505-2E9C-101B-9397-08002B2CF9AE}" pid="4" name="LastSaved">
    <vt:filetime>2022-07-20T00:00:00Z</vt:filetime>
  </property>
  <property fmtid="{D5CDD505-2E9C-101B-9397-08002B2CF9AE}" pid="5" name="KSOProductBuildVer">
    <vt:lpwstr>2052-12.1.0.19770</vt:lpwstr>
  </property>
  <property fmtid="{D5CDD505-2E9C-101B-9397-08002B2CF9AE}" pid="6" name="ICV">
    <vt:lpwstr>B4E59B7CE4BA44D09FCD2E624379F229_13</vt:lpwstr>
  </property>
  <property fmtid="{D5CDD505-2E9C-101B-9397-08002B2CF9AE}" pid="7" name="KSOTemplateDocerSaveRecord">
    <vt:lpwstr>eyJoZGlkIjoiOGEyYjljYzI0MjU5OGYzMDUyNTgyOWE4NzQ2YmFjNjIifQ==</vt:lpwstr>
  </property>
</Properties>
</file>