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CFA18">
      <w:pPr>
        <w:bidi w:val="0"/>
        <w:rPr>
          <w:rFonts w:hint="eastAsia"/>
          <w:b/>
          <w:bCs/>
          <w:sz w:val="28"/>
          <w:szCs w:val="36"/>
          <w:lang w:val="en-US" w:eastAsia="zh-CN"/>
        </w:rPr>
      </w:pPr>
      <w:bookmarkStart w:id="0" w:name="_GoBack"/>
      <w:bookmarkEnd w:id="0"/>
      <w:r>
        <w:rPr>
          <w:rFonts w:hint="eastAsia"/>
          <w:b/>
          <w:bCs/>
          <w:sz w:val="28"/>
          <w:szCs w:val="36"/>
          <w:lang w:val="en-US" w:eastAsia="zh-CN"/>
        </w:rPr>
        <w:t>附件</w:t>
      </w:r>
    </w:p>
    <w:p w14:paraId="49C7D8CB">
      <w:pPr>
        <w:numPr>
          <w:ilvl w:val="1"/>
          <w:numId w:val="0"/>
        </w:numPr>
        <w:snapToGrid w:val="0"/>
        <w:spacing w:line="336" w:lineRule="auto"/>
        <w:ind w:left="0" w:leftChars="0" w:right="519" w:rightChars="247" w:firstLine="402" w:firstLineChars="0"/>
        <w:outlineLvl w:val="9"/>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一、发行人基本情况</w:t>
      </w:r>
    </w:p>
    <w:p w14:paraId="073A8E62">
      <w:pPr>
        <w:numPr>
          <w:ilvl w:val="2"/>
          <w:numId w:val="0"/>
        </w:numPr>
        <w:snapToGrid w:val="0"/>
        <w:spacing w:line="336" w:lineRule="auto"/>
        <w:ind w:left="0" w:leftChars="0" w:firstLine="402" w:firstLineChars="0"/>
        <w:jc w:val="left"/>
        <w:outlineLvl w:val="9"/>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上饶创新发展产业投资集团有限公司</w:t>
      </w:r>
      <w:r>
        <w:rPr>
          <w:rFonts w:hint="eastAsia" w:ascii="宋体" w:hAnsi="宋体" w:eastAsia="宋体" w:cs="宋体"/>
          <w:b w:val="0"/>
          <w:bCs w:val="0"/>
          <w:color w:val="auto"/>
          <w:kern w:val="2"/>
          <w:sz w:val="24"/>
          <w:szCs w:val="24"/>
          <w:lang w:val="en-US" w:eastAsia="zh-CN" w:bidi="ar-SA"/>
        </w:rPr>
        <w:t>成立于2015年3月6日，为国有独资企业。公司经营范围：一般项目：以自有资金从事投资活动，自有资金投资的资产管理服务，物业管理，企业管理，市政设施管理，工程管理服务，土地整治服务，生态恢复及生态保护服务，信息技术咨询服务，新材料技术推广服务，建筑材料销售（除依法须经批准的项目外，凭营业执照依法自主开展经营活动）。公司注册资本700000万人民币。</w:t>
      </w:r>
    </w:p>
    <w:p w14:paraId="20653AA5">
      <w:pPr>
        <w:numPr>
          <w:ilvl w:val="0"/>
          <w:numId w:val="1"/>
        </w:numPr>
        <w:snapToGrid w:val="0"/>
        <w:spacing w:line="336" w:lineRule="auto"/>
        <w:ind w:left="0" w:leftChars="0" w:firstLine="402" w:firstLineChars="0"/>
        <w:jc w:val="left"/>
        <w:outlineLvl w:val="9"/>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服务内容</w:t>
      </w:r>
    </w:p>
    <w:p w14:paraId="7718BC53">
      <w:pPr>
        <w:numPr>
          <w:ilvl w:val="0"/>
          <w:numId w:val="0"/>
        </w:numPr>
        <w:snapToGrid w:val="0"/>
        <w:spacing w:line="336" w:lineRule="auto"/>
        <w:ind w:left="402" w:leftChars="0"/>
        <w:jc w:val="left"/>
        <w:outlineLvl w:val="9"/>
        <w:rPr>
          <w:rFonts w:hint="default"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（一）项目要求</w:t>
      </w:r>
    </w:p>
    <w:p w14:paraId="56A5D507">
      <w:pPr>
        <w:numPr>
          <w:ilvl w:val="2"/>
          <w:numId w:val="0"/>
        </w:numPr>
        <w:snapToGrid w:val="0"/>
        <w:spacing w:line="336" w:lineRule="auto"/>
        <w:ind w:left="0" w:leftChars="0" w:firstLine="402" w:firstLineChars="0"/>
        <w:jc w:val="left"/>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1.规模：不超过3亿美元；</w:t>
      </w:r>
    </w:p>
    <w:p w14:paraId="18DDE580">
      <w:pPr>
        <w:numPr>
          <w:ilvl w:val="2"/>
          <w:numId w:val="0"/>
        </w:numPr>
        <w:snapToGrid w:val="0"/>
        <w:spacing w:line="336" w:lineRule="auto"/>
        <w:ind w:left="0" w:leftChars="0" w:firstLine="402" w:firstLineChars="0"/>
        <w:jc w:val="left"/>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2.期限：不超过3年；</w:t>
      </w:r>
    </w:p>
    <w:p w14:paraId="04B532D7">
      <w:pPr>
        <w:numPr>
          <w:ilvl w:val="2"/>
          <w:numId w:val="0"/>
        </w:numPr>
        <w:snapToGrid w:val="0"/>
        <w:spacing w:line="336" w:lineRule="auto"/>
        <w:ind w:left="0" w:leftChars="0" w:firstLine="402" w:firstLineChars="0"/>
        <w:jc w:val="left"/>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3.发行方式：担保发行；</w:t>
      </w:r>
    </w:p>
    <w:p w14:paraId="3EA26B8E">
      <w:pPr>
        <w:numPr>
          <w:ilvl w:val="2"/>
          <w:numId w:val="0"/>
        </w:numPr>
        <w:snapToGrid w:val="0"/>
        <w:spacing w:line="336" w:lineRule="auto"/>
        <w:ind w:left="0" w:leftChars="0" w:firstLine="402" w:firstLineChars="0"/>
        <w:jc w:val="left"/>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4.票面利率：</w:t>
      </w:r>
      <w:r>
        <w:rPr>
          <w:rFonts w:hint="eastAsia" w:ascii="宋体" w:hAnsi="宋体" w:cs="宋体"/>
          <w:b w:val="0"/>
          <w:bCs w:val="0"/>
          <w:color w:val="auto"/>
          <w:kern w:val="2"/>
          <w:sz w:val="24"/>
          <w:szCs w:val="24"/>
          <w:lang w:val="en-US" w:eastAsia="zh-CN" w:bidi="ar-SA"/>
        </w:rPr>
        <w:t>以发行人意见为准</w:t>
      </w:r>
      <w:r>
        <w:rPr>
          <w:rFonts w:hint="eastAsia" w:ascii="宋体" w:hAnsi="宋体" w:eastAsia="宋体" w:cs="宋体"/>
          <w:b w:val="0"/>
          <w:bCs w:val="0"/>
          <w:color w:val="auto"/>
          <w:kern w:val="2"/>
          <w:sz w:val="24"/>
          <w:szCs w:val="24"/>
          <w:lang w:val="en-US" w:eastAsia="zh-CN" w:bidi="ar-SA"/>
        </w:rPr>
        <w:t>；</w:t>
      </w:r>
    </w:p>
    <w:p w14:paraId="5127612B">
      <w:pPr>
        <w:numPr>
          <w:ilvl w:val="2"/>
          <w:numId w:val="0"/>
        </w:numPr>
        <w:snapToGrid w:val="0"/>
        <w:spacing w:line="336" w:lineRule="auto"/>
        <w:ind w:left="0" w:leftChars="0" w:firstLine="402" w:firstLineChars="0"/>
        <w:jc w:val="left"/>
        <w:outlineLvl w:val="9"/>
        <w:rPr>
          <w:rFonts w:hint="eastAsia" w:ascii="宋体" w:hAnsi="宋体" w:eastAsia="宋体" w:cs="宋体"/>
          <w:b w:val="0"/>
          <w:bCs w:val="0"/>
          <w:color w:val="auto"/>
          <w:kern w:val="2"/>
          <w:sz w:val="24"/>
          <w:szCs w:val="24"/>
          <w:lang w:val="zh-CN" w:eastAsia="zh-CN" w:bidi="ar-SA"/>
        </w:rPr>
      </w:pPr>
      <w:r>
        <w:rPr>
          <w:rFonts w:hint="eastAsia" w:ascii="宋体" w:hAnsi="宋体" w:cs="宋体"/>
          <w:b w:val="0"/>
          <w:bCs w:val="0"/>
          <w:color w:val="auto"/>
          <w:kern w:val="2"/>
          <w:sz w:val="24"/>
          <w:szCs w:val="24"/>
          <w:lang w:val="en-US" w:eastAsia="zh-CN" w:bidi="ar-SA"/>
        </w:rPr>
        <w:t>5</w:t>
      </w:r>
      <w:r>
        <w:rPr>
          <w:rFonts w:hint="eastAsia" w:ascii="宋体" w:hAnsi="宋体" w:eastAsia="宋体" w:cs="宋体"/>
          <w:b w:val="0"/>
          <w:bCs w:val="0"/>
          <w:color w:val="auto"/>
          <w:kern w:val="2"/>
          <w:sz w:val="24"/>
          <w:szCs w:val="24"/>
          <w:lang w:val="en-US" w:eastAsia="zh-CN" w:bidi="ar-SA"/>
        </w:rPr>
        <w:t>.中标后</w:t>
      </w:r>
      <w:r>
        <w:rPr>
          <w:rFonts w:hint="eastAsia" w:ascii="宋体" w:hAnsi="宋体" w:eastAsia="宋体" w:cs="宋体"/>
          <w:b w:val="0"/>
          <w:bCs w:val="0"/>
          <w:color w:val="auto"/>
          <w:kern w:val="2"/>
          <w:sz w:val="24"/>
          <w:szCs w:val="24"/>
          <w:lang w:val="zh-CN" w:eastAsia="zh-CN" w:bidi="ar-SA"/>
        </w:rPr>
        <w:t>四个月内获取企业借用外债备案登记证明；</w:t>
      </w:r>
    </w:p>
    <w:p w14:paraId="3E8422D0">
      <w:pPr>
        <w:numPr>
          <w:ilvl w:val="2"/>
          <w:numId w:val="0"/>
        </w:numPr>
        <w:snapToGrid w:val="0"/>
        <w:spacing w:line="336" w:lineRule="auto"/>
        <w:ind w:left="0" w:leftChars="0" w:firstLine="402" w:firstLineChars="0"/>
        <w:jc w:val="left"/>
        <w:outlineLvl w:val="9"/>
        <w:rPr>
          <w:rFonts w:hint="eastAsia" w:ascii="宋体" w:hAnsi="宋体" w:eastAsia="宋体" w:cs="宋体"/>
          <w:b w:val="0"/>
          <w:bCs w:val="0"/>
          <w:color w:val="auto"/>
          <w:kern w:val="2"/>
          <w:sz w:val="24"/>
          <w:szCs w:val="24"/>
          <w:lang w:val="zh-CN" w:eastAsia="zh-CN" w:bidi="ar-SA"/>
        </w:rPr>
      </w:pPr>
      <w:r>
        <w:rPr>
          <w:rFonts w:hint="eastAsia" w:ascii="宋体" w:hAnsi="宋体" w:cs="宋体"/>
          <w:b w:val="0"/>
          <w:bCs w:val="0"/>
          <w:color w:val="auto"/>
          <w:kern w:val="2"/>
          <w:sz w:val="24"/>
          <w:szCs w:val="24"/>
          <w:lang w:val="en-US" w:eastAsia="zh-CN" w:bidi="ar-SA"/>
        </w:rPr>
        <w:t>6</w:t>
      </w:r>
      <w:r>
        <w:rPr>
          <w:rFonts w:hint="eastAsia" w:ascii="宋体" w:hAnsi="宋体" w:eastAsia="宋体" w:cs="宋体"/>
          <w:b w:val="0"/>
          <w:bCs w:val="0"/>
          <w:color w:val="auto"/>
          <w:kern w:val="2"/>
          <w:sz w:val="24"/>
          <w:szCs w:val="24"/>
          <w:lang w:val="zh-CN" w:eastAsia="zh-CN" w:bidi="ar-SA"/>
        </w:rPr>
        <w:t>.投标人须落实本期债券3A机构担保发行；</w:t>
      </w:r>
    </w:p>
    <w:p w14:paraId="4DC104A3">
      <w:pPr>
        <w:numPr>
          <w:ilvl w:val="2"/>
          <w:numId w:val="0"/>
        </w:numPr>
        <w:snapToGrid w:val="0"/>
        <w:spacing w:line="336" w:lineRule="auto"/>
        <w:ind w:left="0" w:leftChars="0" w:firstLine="402" w:firstLineChars="0"/>
        <w:jc w:val="left"/>
        <w:outlineLvl w:val="9"/>
        <w:rPr>
          <w:rFonts w:hint="eastAsia" w:ascii="宋体" w:hAnsi="宋体" w:eastAsia="宋体" w:cs="宋体"/>
          <w:b w:val="0"/>
          <w:bCs w:val="0"/>
          <w:color w:val="auto"/>
          <w:kern w:val="2"/>
          <w:sz w:val="24"/>
          <w:szCs w:val="24"/>
          <w:lang w:val="zh-CN" w:eastAsia="zh-CN" w:bidi="ar-SA"/>
        </w:rPr>
      </w:pPr>
      <w:r>
        <w:rPr>
          <w:rFonts w:hint="eastAsia" w:ascii="宋体" w:hAnsi="宋体" w:cs="宋体"/>
          <w:b w:val="0"/>
          <w:bCs w:val="0"/>
          <w:color w:val="auto"/>
          <w:kern w:val="2"/>
          <w:sz w:val="24"/>
          <w:szCs w:val="24"/>
          <w:lang w:val="en-US" w:eastAsia="zh-CN" w:bidi="ar-SA"/>
        </w:rPr>
        <w:t>7</w:t>
      </w:r>
      <w:r>
        <w:rPr>
          <w:rFonts w:hint="eastAsia" w:ascii="宋体" w:hAnsi="宋体" w:eastAsia="宋体" w:cs="宋体"/>
          <w:b w:val="0"/>
          <w:bCs w:val="0"/>
          <w:color w:val="auto"/>
          <w:kern w:val="2"/>
          <w:sz w:val="24"/>
          <w:szCs w:val="24"/>
          <w:lang w:val="zh-CN" w:eastAsia="zh-CN" w:bidi="ar-SA"/>
        </w:rPr>
        <w:t>.本期境外债发行、要素调整及取消发行等情况由发行人决定。凡参与本项目的投标单位，必须就此采购项目的相关事宜详细咨询（如需参考资料可与采购单位或代理机构联系），否则参与投标即被视为已经充分了解了采购方的需求，成交后承担采购文件范围内的所有要求。</w:t>
      </w:r>
    </w:p>
    <w:p w14:paraId="347557D2">
      <w:pPr>
        <w:numPr>
          <w:ilvl w:val="2"/>
          <w:numId w:val="0"/>
        </w:numPr>
        <w:snapToGrid w:val="0"/>
        <w:spacing w:line="336" w:lineRule="auto"/>
        <w:ind w:left="0" w:leftChars="0" w:firstLine="402" w:firstLineChars="0"/>
        <w:jc w:val="left"/>
        <w:outlineLvl w:val="9"/>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（二）服务要求</w:t>
      </w:r>
    </w:p>
    <w:p w14:paraId="576C7CF1">
      <w:pPr>
        <w:numPr>
          <w:ilvl w:val="2"/>
          <w:numId w:val="0"/>
        </w:numPr>
        <w:snapToGrid w:val="0"/>
        <w:spacing w:line="336" w:lineRule="auto"/>
        <w:ind w:left="0" w:leftChars="0" w:firstLine="402" w:firstLineChars="0"/>
        <w:jc w:val="left"/>
        <w:outlineLvl w:val="9"/>
        <w:rPr>
          <w:rFonts w:hint="eastAsia" w:ascii="宋体" w:hAnsi="宋体" w:eastAsia="宋体" w:cs="宋体"/>
          <w:b w:val="0"/>
          <w:bCs w:val="0"/>
          <w:color w:val="auto"/>
          <w:kern w:val="2"/>
          <w:sz w:val="24"/>
          <w:szCs w:val="24"/>
          <w:lang w:val="zh-CN" w:eastAsia="zh-CN" w:bidi="ar-SA"/>
        </w:rPr>
      </w:pPr>
      <w:r>
        <w:rPr>
          <w:rFonts w:hint="eastAsia" w:ascii="宋体" w:hAnsi="宋体" w:eastAsia="宋体" w:cs="宋体"/>
          <w:b w:val="0"/>
          <w:bCs w:val="0"/>
          <w:color w:val="auto"/>
          <w:kern w:val="2"/>
          <w:sz w:val="24"/>
          <w:szCs w:val="24"/>
          <w:lang w:val="en-US" w:eastAsia="zh-CN" w:bidi="ar-SA"/>
        </w:rPr>
        <w:t>1、</w:t>
      </w:r>
      <w:r>
        <w:rPr>
          <w:rFonts w:hint="eastAsia" w:ascii="宋体" w:hAnsi="宋体" w:eastAsia="宋体" w:cs="宋体"/>
          <w:b w:val="0"/>
          <w:bCs w:val="0"/>
          <w:color w:val="auto"/>
          <w:kern w:val="2"/>
          <w:sz w:val="24"/>
          <w:szCs w:val="24"/>
          <w:lang w:val="zh-CN" w:eastAsia="zh-CN" w:bidi="ar-SA"/>
        </w:rPr>
        <w:t>全面负责</w:t>
      </w:r>
      <w:r>
        <w:rPr>
          <w:rFonts w:hint="eastAsia" w:ascii="宋体" w:hAnsi="宋体" w:eastAsia="宋体" w:cs="宋体"/>
          <w:b w:val="0"/>
          <w:bCs w:val="0"/>
          <w:color w:val="auto"/>
          <w:kern w:val="2"/>
          <w:sz w:val="24"/>
          <w:szCs w:val="24"/>
          <w:lang w:val="en-US" w:eastAsia="zh-CN" w:bidi="ar-SA"/>
        </w:rPr>
        <w:t>创投</w:t>
      </w:r>
      <w:r>
        <w:rPr>
          <w:rFonts w:hint="eastAsia" w:ascii="宋体" w:hAnsi="宋体" w:eastAsia="宋体" w:cs="宋体"/>
          <w:b w:val="0"/>
          <w:bCs w:val="0"/>
          <w:color w:val="auto"/>
          <w:kern w:val="2"/>
          <w:sz w:val="24"/>
          <w:szCs w:val="24"/>
          <w:lang w:val="zh-CN" w:eastAsia="zh-CN" w:bidi="ar-SA"/>
        </w:rPr>
        <w:t>集团境外债发行工作，全球协调人担任发债项目承销商、账簿管理人及评级顾问的角色，负责选择中介机构并出具书面推荐文件。负责债券发行、存续期全过程管理，包括但不限于组织设计注册发行方案、组织尽职调查及发行文件起草、制作申报材料、取得注册发行批复；协调整个执行程序及其他中介机构，并明确各中介机构的职责，准备中介机构所需资料，制作撰写相关材料，跟进各中介机构进度及存在问题；跟踪市场动态，协助发行人选择发行窗口，联系潜在投资者，就交易的营销提供指导，并且协助准备给潜在投资者的适当的陈述说明；准备路演推介材料、协调路演安排; 辅导海外评级工作;簿记建档、定价、配售债券、售后市场支持；协助完成前期监管沟通备案以及海外资金回流的登记和备案等；保证债券顺利发行、回流、本息兑付等。</w:t>
      </w:r>
    </w:p>
    <w:p w14:paraId="03E2A482">
      <w:pPr>
        <w:numPr>
          <w:ilvl w:val="2"/>
          <w:numId w:val="0"/>
        </w:numPr>
        <w:snapToGrid w:val="0"/>
        <w:spacing w:line="336" w:lineRule="auto"/>
        <w:ind w:left="0" w:leftChars="0" w:firstLine="402" w:firstLineChars="0"/>
        <w:jc w:val="left"/>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bCs/>
          <w:color w:val="auto"/>
          <w:kern w:val="2"/>
          <w:sz w:val="24"/>
          <w:szCs w:val="24"/>
          <w:lang w:val="en-US" w:eastAsia="zh-CN" w:bidi="ar-SA"/>
        </w:rPr>
        <w:t xml:space="preserve">2、服务质量要求 </w:t>
      </w:r>
    </w:p>
    <w:p w14:paraId="1EACDB11">
      <w:pPr>
        <w:numPr>
          <w:ilvl w:val="2"/>
          <w:numId w:val="0"/>
        </w:numPr>
        <w:snapToGrid w:val="0"/>
        <w:spacing w:line="336" w:lineRule="auto"/>
        <w:ind w:left="0" w:leftChars="0" w:firstLine="402" w:firstLineChars="0"/>
        <w:jc w:val="left"/>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（1）确保债券按时、按量、按质的顺利发行。 </w:t>
      </w:r>
    </w:p>
    <w:p w14:paraId="76CD2C33">
      <w:pPr>
        <w:numPr>
          <w:ilvl w:val="2"/>
          <w:numId w:val="0"/>
        </w:numPr>
        <w:snapToGrid w:val="0"/>
        <w:spacing w:line="336" w:lineRule="auto"/>
        <w:ind w:left="0" w:leftChars="0" w:firstLine="402" w:firstLineChars="0"/>
        <w:jc w:val="left"/>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（2）发行利率、发行期限合理，尽可能降低发债成本。 </w:t>
      </w:r>
    </w:p>
    <w:p w14:paraId="6846F7F5">
      <w:pPr>
        <w:numPr>
          <w:ilvl w:val="2"/>
          <w:numId w:val="0"/>
        </w:numPr>
        <w:snapToGrid w:val="0"/>
        <w:spacing w:line="336" w:lineRule="auto"/>
        <w:ind w:left="0" w:leftChars="0" w:firstLine="402" w:firstLineChars="0"/>
        <w:jc w:val="left"/>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（3）与招标人、国家发改委等关联部门有良好的沟通能力、尽心尽责。 </w:t>
      </w:r>
    </w:p>
    <w:p w14:paraId="68A1ED9F">
      <w:pPr>
        <w:numPr>
          <w:ilvl w:val="2"/>
          <w:numId w:val="0"/>
        </w:numPr>
        <w:snapToGrid w:val="0"/>
        <w:spacing w:line="336" w:lineRule="auto"/>
        <w:ind w:left="0" w:leftChars="0" w:firstLine="402" w:firstLineChars="0"/>
        <w:jc w:val="left"/>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（4）及时、准确、充分的完成申报材料及申报方案并主动反馈相关信息意见的回复。 </w:t>
      </w:r>
    </w:p>
    <w:p w14:paraId="320D5445">
      <w:pPr>
        <w:numPr>
          <w:ilvl w:val="2"/>
          <w:numId w:val="0"/>
        </w:numPr>
        <w:snapToGrid w:val="0"/>
        <w:spacing w:line="336" w:lineRule="auto"/>
        <w:ind w:left="0" w:leftChars="0" w:firstLine="402" w:firstLineChars="0"/>
        <w:jc w:val="left"/>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（5）承销商须保证本次债券发行任务能如质如期地完成。如中标后4个月内</w:t>
      </w:r>
      <w:r>
        <w:rPr>
          <w:rFonts w:hint="eastAsia" w:ascii="宋体" w:hAnsi="宋体" w:cs="宋体"/>
          <w:b w:val="0"/>
          <w:bCs w:val="0"/>
          <w:color w:val="auto"/>
          <w:kern w:val="2"/>
          <w:sz w:val="24"/>
          <w:szCs w:val="24"/>
          <w:lang w:val="en-US" w:eastAsia="zh-CN" w:bidi="ar-SA"/>
        </w:rPr>
        <w:t>未获取企业借用外债备案登记证明</w:t>
      </w:r>
      <w:r>
        <w:rPr>
          <w:rFonts w:hint="eastAsia" w:ascii="宋体" w:hAnsi="宋体" w:eastAsia="宋体" w:cs="宋体"/>
          <w:b w:val="0"/>
          <w:bCs w:val="0"/>
          <w:color w:val="auto"/>
          <w:kern w:val="2"/>
          <w:sz w:val="24"/>
          <w:szCs w:val="24"/>
          <w:lang w:val="en-US" w:eastAsia="zh-CN" w:bidi="ar-SA"/>
        </w:rPr>
        <w:t>，招标人有权单方面解除合约，招标人不承担任何责任及费用，已经取得的阶段性成果亦无偿归还招标人。</w:t>
      </w:r>
    </w:p>
    <w:p w14:paraId="4A93C6B2">
      <w:pPr>
        <w:numPr>
          <w:ilvl w:val="1"/>
          <w:numId w:val="0"/>
        </w:numPr>
        <w:snapToGrid w:val="0"/>
        <w:spacing w:line="336" w:lineRule="auto"/>
        <w:ind w:left="0" w:leftChars="0" w:right="519" w:rightChars="247" w:firstLine="402" w:firstLineChars="0"/>
        <w:outlineLvl w:val="9"/>
        <w:rPr>
          <w:rFonts w:hint="eastAsia" w:ascii="宋体" w:hAnsi="宋体" w:eastAsia="宋体" w:cs="宋体"/>
          <w:b/>
          <w:color w:val="auto"/>
          <w:sz w:val="32"/>
          <w:szCs w:val="32"/>
          <w:highlight w:val="none"/>
          <w:lang w:val="zh-CN" w:eastAsia="zh-CN"/>
        </w:rPr>
      </w:pPr>
      <w:r>
        <w:rPr>
          <w:rFonts w:hint="eastAsia" w:ascii="宋体" w:hAnsi="宋体" w:cs="宋体"/>
          <w:b/>
          <w:bCs/>
          <w:color w:val="auto"/>
          <w:kern w:val="2"/>
          <w:sz w:val="32"/>
          <w:szCs w:val="32"/>
          <w:lang w:val="en-US" w:eastAsia="zh-CN" w:bidi="ar-SA"/>
        </w:rPr>
        <w:t>三</w:t>
      </w:r>
      <w:r>
        <w:rPr>
          <w:rFonts w:hint="eastAsia" w:ascii="宋体" w:hAnsi="宋体" w:eastAsia="宋体" w:cs="宋体"/>
          <w:b/>
          <w:bCs/>
          <w:color w:val="auto"/>
          <w:kern w:val="2"/>
          <w:sz w:val="32"/>
          <w:szCs w:val="32"/>
          <w:lang w:val="zh-CN" w:eastAsia="zh-CN" w:bidi="ar-SA"/>
        </w:rPr>
        <w:t>、</w:t>
      </w:r>
      <w:r>
        <w:rPr>
          <w:rFonts w:hint="eastAsia" w:ascii="宋体" w:hAnsi="宋体" w:eastAsia="宋体" w:cs="宋体"/>
          <w:b/>
          <w:color w:val="auto"/>
          <w:sz w:val="32"/>
          <w:szCs w:val="32"/>
          <w:highlight w:val="none"/>
          <w:lang w:val="en-US" w:eastAsia="zh-CN"/>
        </w:rPr>
        <w:t>商务条款</w:t>
      </w:r>
    </w:p>
    <w:p w14:paraId="62746B56">
      <w:pPr>
        <w:numPr>
          <w:ilvl w:val="2"/>
          <w:numId w:val="0"/>
        </w:numPr>
        <w:snapToGrid w:val="0"/>
        <w:spacing w:line="336" w:lineRule="auto"/>
        <w:ind w:left="0" w:leftChars="0" w:firstLine="402" w:firstLineChars="0"/>
        <w:jc w:val="left"/>
        <w:outlineLvl w:val="9"/>
        <w:rPr>
          <w:rFonts w:hint="eastAsia" w:ascii="宋体" w:hAnsi="宋体" w:eastAsia="宋体" w:cs="宋体"/>
          <w:b/>
          <w:bCs/>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bidi="ar-SA"/>
        </w:rPr>
        <w:t>1</w:t>
      </w:r>
      <w:r>
        <w:rPr>
          <w:rFonts w:hint="default"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bCs/>
          <w:color w:val="auto"/>
          <w:sz w:val="24"/>
          <w:szCs w:val="24"/>
          <w:highlight w:val="none"/>
          <w:lang w:val="en-US" w:eastAsia="zh-CN"/>
        </w:rPr>
        <w:t>付款方式：债券发行完成后，一次性支付给中标人本次债券发行的承销费用，由中标人从债券发行的募集资金中直接扣除</w:t>
      </w:r>
      <w:r>
        <w:rPr>
          <w:rFonts w:hint="eastAsia" w:ascii="宋体" w:hAnsi="宋体" w:cs="宋体"/>
          <w:b/>
          <w:bCs/>
          <w:color w:val="auto"/>
          <w:sz w:val="24"/>
          <w:szCs w:val="24"/>
          <w:highlight w:val="none"/>
          <w:lang w:val="en-US" w:eastAsia="zh-CN"/>
        </w:rPr>
        <w:t>。</w:t>
      </w:r>
    </w:p>
    <w:p w14:paraId="2EEC0315">
      <w:pPr>
        <w:numPr>
          <w:ilvl w:val="2"/>
          <w:numId w:val="0"/>
        </w:numPr>
        <w:snapToGrid w:val="0"/>
        <w:spacing w:line="336" w:lineRule="auto"/>
        <w:ind w:left="0" w:leftChars="0" w:firstLine="402" w:firstLineChars="0"/>
        <w:jc w:val="left"/>
        <w:outlineLvl w:val="9"/>
        <w:rPr>
          <w:rFonts w:hint="eastAsia" w:ascii="宋体" w:hAnsi="宋体" w:eastAsia="宋体" w:cs="宋体"/>
          <w:b/>
          <w:bCs/>
          <w:color w:val="auto"/>
          <w:sz w:val="24"/>
          <w:szCs w:val="24"/>
          <w:highlight w:val="none"/>
          <w:lang w:val="zh-CN" w:eastAsia="zh-CN"/>
        </w:rPr>
      </w:pPr>
      <w:r>
        <w:rPr>
          <w:rFonts w:hint="eastAsia" w:ascii="宋体" w:hAnsi="宋体" w:cs="宋体"/>
          <w:b w:val="0"/>
          <w:bCs w:val="0"/>
          <w:color w:val="auto"/>
          <w:kern w:val="2"/>
          <w:sz w:val="24"/>
          <w:szCs w:val="24"/>
          <w:highlight w:val="none"/>
          <w:lang w:val="en-US" w:eastAsia="zh-CN" w:bidi="ar-SA"/>
        </w:rPr>
        <w:t>2</w:t>
      </w:r>
      <w:r>
        <w:rPr>
          <w:rFonts w:hint="default" w:ascii="宋体" w:hAnsi="宋体" w:eastAsia="宋体" w:cs="宋体"/>
          <w:b w:val="0"/>
          <w:bCs w:val="0"/>
          <w:color w:val="auto"/>
          <w:kern w:val="2"/>
          <w:sz w:val="24"/>
          <w:szCs w:val="24"/>
          <w:highlight w:val="none"/>
          <w:lang w:val="zh-CN" w:eastAsia="zh-CN" w:bidi="ar-SA"/>
        </w:rPr>
        <w:t>．</w:t>
      </w:r>
      <w:r>
        <w:rPr>
          <w:rFonts w:hint="eastAsia" w:ascii="宋体" w:hAnsi="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lang w:val="zh-CN" w:eastAsia="zh-CN"/>
        </w:rPr>
        <w:t xml:space="preserve">期限：本次全球协调人公开招标确认中标之日起至注册项下发行的境外债券 </w:t>
      </w:r>
    </w:p>
    <w:p w14:paraId="250BECD3">
      <w:pPr>
        <w:numPr>
          <w:ilvl w:val="2"/>
          <w:numId w:val="0"/>
        </w:numPr>
        <w:snapToGrid w:val="0"/>
        <w:spacing w:line="336" w:lineRule="auto"/>
        <w:ind w:left="0" w:leftChars="0" w:firstLine="402" w:firstLineChars="0"/>
        <w:jc w:val="left"/>
        <w:outlineLvl w:val="9"/>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兑付结束</w:t>
      </w:r>
      <w:r>
        <w:rPr>
          <w:rFonts w:hint="eastAsia" w:ascii="宋体" w:hAnsi="宋体" w:cs="宋体"/>
          <w:b/>
          <w:bCs/>
          <w:color w:val="auto"/>
          <w:sz w:val="24"/>
          <w:szCs w:val="24"/>
          <w:highlight w:val="none"/>
          <w:lang w:val="zh-CN" w:eastAsia="zh-CN"/>
        </w:rPr>
        <w:t>。</w:t>
      </w:r>
    </w:p>
    <w:p w14:paraId="4358207C">
      <w:pPr>
        <w:numPr>
          <w:ilvl w:val="2"/>
          <w:numId w:val="0"/>
        </w:numPr>
        <w:snapToGrid w:val="0"/>
        <w:spacing w:line="336" w:lineRule="auto"/>
        <w:ind w:left="0" w:leftChars="0" w:firstLine="402" w:firstLineChars="0"/>
        <w:jc w:val="left"/>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.报价方式：</w:t>
      </w:r>
      <w:r>
        <w:rPr>
          <w:rFonts w:hint="eastAsia" w:ascii="宋体" w:hAnsi="宋体" w:eastAsia="宋体" w:cs="宋体"/>
          <w:b w:val="0"/>
          <w:bCs w:val="0"/>
          <w:color w:val="auto"/>
          <w:kern w:val="2"/>
          <w:sz w:val="24"/>
          <w:szCs w:val="24"/>
          <w:highlight w:val="none"/>
          <w:lang w:val="en-US" w:eastAsia="zh-CN" w:bidi="ar-SA"/>
        </w:rPr>
        <w:t>(1)本项目应以费率报价;</w:t>
      </w:r>
    </w:p>
    <w:p w14:paraId="489052F9">
      <w:pPr>
        <w:numPr>
          <w:ilvl w:val="2"/>
          <w:numId w:val="0"/>
        </w:numPr>
        <w:snapToGrid w:val="0"/>
        <w:spacing w:line="336" w:lineRule="auto"/>
        <w:ind w:left="0" w:leftChars="0" w:firstLine="402" w:firstLineChars="0"/>
        <w:jc w:val="left"/>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(2)投标报价应包含所有协调人为完成本项目所产生的一切费用(包含承销费以及第三方费用(第三方费用包括但不限于</w:t>
      </w:r>
      <w:r>
        <w:rPr>
          <w:rFonts w:hint="eastAsia"/>
          <w:sz w:val="24"/>
          <w:szCs w:val="32"/>
          <w:highlight w:val="none"/>
        </w:rPr>
        <w:t>境内外律师</w:t>
      </w:r>
      <w:r>
        <w:rPr>
          <w:rFonts w:hint="eastAsia" w:ascii="宋体" w:hAnsi="宋体" w:eastAsia="宋体" w:cs="宋体"/>
          <w:b w:val="0"/>
          <w:bCs w:val="0"/>
          <w:color w:val="auto"/>
          <w:kern w:val="2"/>
          <w:sz w:val="24"/>
          <w:szCs w:val="24"/>
          <w:highlight w:val="none"/>
          <w:lang w:val="en-US" w:eastAsia="zh-CN" w:bidi="ar-SA"/>
        </w:rPr>
        <w:t>费、审计费用、</w:t>
      </w:r>
      <w:r>
        <w:rPr>
          <w:rFonts w:hint="eastAsia"/>
          <w:sz w:val="24"/>
          <w:szCs w:val="32"/>
          <w:highlight w:val="none"/>
        </w:rPr>
        <w:t>银行</w:t>
      </w:r>
      <w:r>
        <w:rPr>
          <w:rFonts w:hint="eastAsia" w:ascii="宋体" w:hAnsi="宋体" w:eastAsia="宋体" w:cs="宋体"/>
          <w:b w:val="0"/>
          <w:bCs w:val="0"/>
          <w:color w:val="auto"/>
          <w:kern w:val="2"/>
          <w:sz w:val="24"/>
          <w:szCs w:val="24"/>
          <w:highlight w:val="none"/>
          <w:lang w:val="en-US" w:eastAsia="zh-CN" w:bidi="ar-SA"/>
        </w:rPr>
        <w:t>信托人费用、</w:t>
      </w:r>
      <w:r>
        <w:rPr>
          <w:rFonts w:hint="eastAsia"/>
          <w:sz w:val="24"/>
          <w:szCs w:val="32"/>
          <w:highlight w:val="none"/>
        </w:rPr>
        <w:t>上市发行服务、翻译、印刷</w:t>
      </w:r>
      <w:r>
        <w:rPr>
          <w:rFonts w:hint="eastAsia"/>
          <w:sz w:val="24"/>
          <w:szCs w:val="32"/>
          <w:highlight w:val="none"/>
          <w:lang w:eastAsia="zh-CN"/>
        </w:rPr>
        <w:t>、</w:t>
      </w:r>
      <w:r>
        <w:rPr>
          <w:rFonts w:hint="eastAsia"/>
          <w:sz w:val="24"/>
          <w:szCs w:val="32"/>
          <w:highlight w:val="none"/>
        </w:rPr>
        <w:t>文书代理费用</w:t>
      </w:r>
      <w:r>
        <w:rPr>
          <w:rFonts w:hint="eastAsia"/>
          <w:sz w:val="24"/>
          <w:szCs w:val="32"/>
          <w:highlight w:val="none"/>
          <w:lang w:eastAsia="zh-CN"/>
        </w:rPr>
        <w:t>、</w:t>
      </w:r>
      <w:r>
        <w:rPr>
          <w:rFonts w:hint="eastAsia" w:ascii="宋体" w:hAnsi="宋体" w:eastAsia="宋体" w:cs="宋体"/>
          <w:b w:val="0"/>
          <w:bCs w:val="0"/>
          <w:color w:val="auto"/>
          <w:kern w:val="2"/>
          <w:sz w:val="24"/>
          <w:szCs w:val="24"/>
          <w:highlight w:val="none"/>
          <w:lang w:val="en-US" w:eastAsia="zh-CN" w:bidi="ar-SA"/>
        </w:rPr>
        <w:t>路演(香港欧洲等地)费用等))，如发行失败，由协调人自行承担本项目所产生的所有费用:</w:t>
      </w:r>
    </w:p>
    <w:p w14:paraId="1645FE4D">
      <w:pPr>
        <w:numPr>
          <w:ilvl w:val="2"/>
          <w:numId w:val="0"/>
        </w:numPr>
        <w:snapToGrid w:val="0"/>
        <w:spacing w:line="336" w:lineRule="auto"/>
        <w:ind w:left="0" w:leftChars="0" w:firstLine="402" w:firstLineChars="0"/>
        <w:jc w:val="left"/>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(3)不论结果如何，供应商均应自行承担所有与本项目有关的全部费用。</w:t>
      </w:r>
    </w:p>
    <w:p w14:paraId="00F35BC0">
      <w:pPr>
        <w:numPr>
          <w:ilvl w:val="2"/>
          <w:numId w:val="0"/>
        </w:numPr>
        <w:snapToGrid w:val="0"/>
        <w:spacing w:line="336" w:lineRule="auto"/>
        <w:ind w:left="0" w:leftChars="0" w:firstLine="402" w:firstLineChars="0"/>
        <w:jc w:val="left"/>
        <w:outlineLvl w:val="9"/>
        <w:rPr>
          <w:rFonts w:hint="eastAsia" w:ascii="宋体" w:hAnsi="宋体" w:eastAsia="宋体" w:cs="宋体"/>
          <w:b/>
          <w:bCs/>
          <w:color w:val="auto"/>
          <w:sz w:val="24"/>
          <w:szCs w:val="24"/>
          <w:highlight w:val="none"/>
          <w:lang w:val="zh-CN" w:eastAsia="zh-CN"/>
        </w:rPr>
      </w:pPr>
      <w:r>
        <w:rPr>
          <w:rFonts w:hint="eastAsia" w:ascii="宋体" w:hAnsi="宋体" w:cs="宋体"/>
          <w:b/>
          <w:bCs/>
          <w:color w:val="auto"/>
          <w:kern w:val="2"/>
          <w:sz w:val="24"/>
          <w:szCs w:val="24"/>
          <w:lang w:val="en-US" w:eastAsia="zh-CN" w:bidi="ar-SA"/>
        </w:rPr>
        <w:t>4.</w:t>
      </w:r>
      <w:r>
        <w:rPr>
          <w:rFonts w:hint="eastAsia" w:ascii="宋体" w:hAnsi="宋体" w:cs="宋体"/>
          <w:b/>
          <w:bCs/>
          <w:color w:val="auto"/>
          <w:sz w:val="24"/>
          <w:szCs w:val="24"/>
          <w:highlight w:val="none"/>
          <w:lang w:val="zh-CN" w:eastAsia="zh-CN"/>
        </w:rPr>
        <w:t>其他要求</w:t>
      </w:r>
      <w:r>
        <w:rPr>
          <w:rFonts w:hint="eastAsia" w:ascii="宋体" w:hAnsi="宋体" w:eastAsia="宋体" w:cs="宋体"/>
          <w:b/>
          <w:bCs/>
          <w:color w:val="auto"/>
          <w:sz w:val="24"/>
          <w:szCs w:val="24"/>
          <w:highlight w:val="none"/>
          <w:lang w:val="zh-CN" w:eastAsia="zh-CN"/>
        </w:rPr>
        <w:t>：</w:t>
      </w:r>
    </w:p>
    <w:p w14:paraId="07818A64">
      <w:pPr>
        <w:numPr>
          <w:ilvl w:val="3"/>
          <w:numId w:val="0"/>
        </w:numPr>
        <w:snapToGrid w:val="0"/>
        <w:spacing w:line="336" w:lineRule="auto"/>
        <w:ind w:left="0" w:leftChars="0" w:firstLine="402" w:firstLineChars="0"/>
        <w:jc w:val="left"/>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b w:val="0"/>
          <w:bCs w:val="0"/>
          <w:color w:val="auto"/>
          <w:kern w:val="2"/>
          <w:sz w:val="24"/>
          <w:szCs w:val="24"/>
          <w:lang w:val="zh-CN" w:eastAsia="zh-CN" w:bidi="ar-SA"/>
        </w:rPr>
        <w:t>（1）</w:t>
      </w:r>
      <w:r>
        <w:rPr>
          <w:rFonts w:hint="eastAsia" w:ascii="宋体" w:hAnsi="宋体" w:eastAsia="宋体" w:cs="宋体"/>
          <w:color w:val="auto"/>
          <w:sz w:val="24"/>
          <w:szCs w:val="24"/>
          <w:highlight w:val="none"/>
          <w:lang w:val="zh-CN" w:eastAsia="zh-CN"/>
        </w:rPr>
        <w:t>成交供应商在服务期内存在以下情况，采购人有权终止服务并更换供应商，且不再对其进行业务委托：</w:t>
      </w:r>
    </w:p>
    <w:p w14:paraId="3FE83980">
      <w:pPr>
        <w:numPr>
          <w:ilvl w:val="4"/>
          <w:numId w:val="0"/>
        </w:numPr>
        <w:snapToGrid w:val="0"/>
        <w:spacing w:line="336" w:lineRule="auto"/>
        <w:ind w:left="0" w:leftChars="0" w:firstLine="709" w:firstLineChars="0"/>
        <w:jc w:val="left"/>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kern w:val="2"/>
          <w:sz w:val="24"/>
          <w:szCs w:val="24"/>
          <w:lang w:val="zh-CN" w:eastAsia="zh-CN" w:bidi="ar-SA"/>
        </w:rPr>
        <w:t xml:space="preserve">① </w:t>
      </w:r>
      <w:r>
        <w:rPr>
          <w:rFonts w:hint="eastAsia" w:ascii="宋体" w:hAnsi="宋体" w:eastAsia="宋体" w:cs="宋体"/>
          <w:color w:val="auto"/>
          <w:sz w:val="24"/>
          <w:szCs w:val="24"/>
          <w:highlight w:val="none"/>
          <w:lang w:val="zh-CN" w:eastAsia="zh-CN"/>
        </w:rPr>
        <w:t>在响应中有故意隐瞒与响应文件中不符的重大事实的。</w:t>
      </w:r>
    </w:p>
    <w:p w14:paraId="7670F962">
      <w:pPr>
        <w:numPr>
          <w:ilvl w:val="4"/>
          <w:numId w:val="0"/>
        </w:numPr>
        <w:snapToGrid w:val="0"/>
        <w:spacing w:line="336" w:lineRule="auto"/>
        <w:ind w:left="0" w:leftChars="0" w:firstLine="709" w:firstLineChars="0"/>
        <w:jc w:val="left"/>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kern w:val="2"/>
          <w:sz w:val="24"/>
          <w:szCs w:val="24"/>
          <w:lang w:val="zh-CN" w:eastAsia="zh-CN" w:bidi="ar-SA"/>
        </w:rPr>
        <w:t xml:space="preserve">② </w:t>
      </w:r>
      <w:r>
        <w:rPr>
          <w:rFonts w:hint="eastAsia" w:ascii="宋体" w:hAnsi="宋体" w:eastAsia="宋体" w:cs="宋体"/>
          <w:color w:val="auto"/>
          <w:sz w:val="24"/>
          <w:szCs w:val="24"/>
          <w:highlight w:val="none"/>
          <w:lang w:val="zh-CN" w:eastAsia="zh-CN"/>
        </w:rPr>
        <w:t>未经批准将所中标业务再转包或分包</w:t>
      </w:r>
      <w:r>
        <w:rPr>
          <w:rFonts w:hint="eastAsia" w:ascii="宋体" w:hAnsi="宋体" w:cs="宋体"/>
          <w:color w:val="auto"/>
          <w:sz w:val="24"/>
          <w:szCs w:val="24"/>
          <w:highlight w:val="none"/>
          <w:lang w:val="zh-CN" w:eastAsia="zh-CN"/>
        </w:rPr>
        <w:t>给其他</w:t>
      </w:r>
      <w:r>
        <w:rPr>
          <w:rFonts w:hint="eastAsia" w:ascii="宋体" w:hAnsi="宋体" w:eastAsia="宋体" w:cs="宋体"/>
          <w:color w:val="auto"/>
          <w:sz w:val="24"/>
          <w:szCs w:val="24"/>
          <w:highlight w:val="none"/>
          <w:lang w:val="zh-CN" w:eastAsia="zh-CN"/>
        </w:rPr>
        <w:t>供应商的。</w:t>
      </w:r>
    </w:p>
    <w:p w14:paraId="733E9BF5">
      <w:pPr>
        <w:numPr>
          <w:ilvl w:val="4"/>
          <w:numId w:val="0"/>
        </w:numPr>
        <w:snapToGrid w:val="0"/>
        <w:spacing w:line="336" w:lineRule="auto"/>
        <w:ind w:left="0" w:leftChars="0" w:firstLine="709" w:firstLineChars="0"/>
        <w:jc w:val="left"/>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kern w:val="2"/>
          <w:sz w:val="24"/>
          <w:szCs w:val="24"/>
          <w:lang w:val="zh-CN" w:eastAsia="zh-CN" w:bidi="ar-SA"/>
        </w:rPr>
        <w:t xml:space="preserve">③ </w:t>
      </w:r>
      <w:r>
        <w:rPr>
          <w:rFonts w:hint="eastAsia" w:ascii="宋体" w:hAnsi="宋体" w:eastAsia="宋体" w:cs="宋体"/>
          <w:color w:val="auto"/>
          <w:sz w:val="24"/>
          <w:szCs w:val="24"/>
          <w:highlight w:val="none"/>
          <w:lang w:val="zh-CN" w:eastAsia="zh-CN"/>
        </w:rPr>
        <w:t>被国家有关部门予以处罚的。</w:t>
      </w:r>
    </w:p>
    <w:p w14:paraId="501248DB">
      <w:pPr>
        <w:numPr>
          <w:ilvl w:val="4"/>
          <w:numId w:val="0"/>
        </w:numPr>
        <w:snapToGrid w:val="0"/>
        <w:spacing w:line="336" w:lineRule="auto"/>
        <w:ind w:left="0" w:leftChars="0" w:firstLine="709" w:firstLineChars="0"/>
        <w:jc w:val="left"/>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kern w:val="2"/>
          <w:sz w:val="24"/>
          <w:szCs w:val="24"/>
          <w:lang w:val="zh-CN" w:eastAsia="zh-CN" w:bidi="ar-SA"/>
        </w:rPr>
        <w:t xml:space="preserve">④ </w:t>
      </w:r>
      <w:r>
        <w:rPr>
          <w:rFonts w:hint="eastAsia" w:ascii="宋体" w:hAnsi="宋体" w:eastAsia="宋体" w:cs="宋体"/>
          <w:color w:val="auto"/>
          <w:sz w:val="24"/>
          <w:szCs w:val="24"/>
          <w:highlight w:val="none"/>
          <w:lang w:val="zh-CN" w:eastAsia="zh-CN"/>
        </w:rPr>
        <w:t>在为本项目服务工作中与企业串通、违反职业道德的。</w:t>
      </w:r>
    </w:p>
    <w:p w14:paraId="2B88B9C7">
      <w:pPr>
        <w:numPr>
          <w:ilvl w:val="4"/>
          <w:numId w:val="0"/>
        </w:numPr>
        <w:snapToGrid w:val="0"/>
        <w:spacing w:line="336" w:lineRule="auto"/>
        <w:ind w:left="0" w:leftChars="0" w:firstLine="709" w:firstLineChars="0"/>
        <w:jc w:val="left"/>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kern w:val="2"/>
          <w:sz w:val="24"/>
          <w:szCs w:val="24"/>
          <w:lang w:val="zh-CN" w:eastAsia="zh-CN" w:bidi="ar-SA"/>
        </w:rPr>
        <w:t xml:space="preserve">⑤ </w:t>
      </w:r>
      <w:r>
        <w:rPr>
          <w:rFonts w:hint="eastAsia" w:ascii="宋体" w:hAnsi="宋体" w:eastAsia="宋体" w:cs="宋体"/>
          <w:color w:val="auto"/>
          <w:sz w:val="24"/>
          <w:szCs w:val="24"/>
          <w:highlight w:val="none"/>
          <w:lang w:val="zh-CN" w:eastAsia="zh-CN"/>
        </w:rPr>
        <w:t>未能保证服务质量的。</w:t>
      </w:r>
    </w:p>
    <w:p w14:paraId="501B1F08">
      <w:pPr>
        <w:numPr>
          <w:ilvl w:val="4"/>
          <w:numId w:val="0"/>
        </w:numPr>
        <w:snapToGrid w:val="0"/>
        <w:spacing w:line="336" w:lineRule="auto"/>
        <w:ind w:left="0" w:leftChars="0" w:firstLine="709" w:firstLineChars="0"/>
        <w:jc w:val="left"/>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kern w:val="2"/>
          <w:sz w:val="24"/>
          <w:szCs w:val="24"/>
          <w:lang w:val="zh-CN" w:eastAsia="zh-CN" w:bidi="ar-SA"/>
        </w:rPr>
        <w:t xml:space="preserve">⑥ </w:t>
      </w:r>
      <w:r>
        <w:rPr>
          <w:rFonts w:hint="eastAsia" w:ascii="宋体" w:hAnsi="宋体" w:eastAsia="宋体" w:cs="宋体"/>
          <w:color w:val="auto"/>
          <w:sz w:val="24"/>
          <w:szCs w:val="24"/>
          <w:highlight w:val="none"/>
          <w:lang w:val="zh-CN" w:eastAsia="zh-CN"/>
        </w:rPr>
        <w:t>严重违反保密承诺的。</w:t>
      </w:r>
    </w:p>
    <w:p w14:paraId="7ABBF050">
      <w:pPr>
        <w:numPr>
          <w:ilvl w:val="3"/>
          <w:numId w:val="0"/>
        </w:numPr>
        <w:snapToGrid w:val="0"/>
        <w:spacing w:line="336" w:lineRule="auto"/>
        <w:ind w:left="0" w:leftChars="0" w:firstLine="402" w:firstLineChars="0"/>
        <w:jc w:val="left"/>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b w:val="0"/>
          <w:bCs w:val="0"/>
          <w:color w:val="auto"/>
          <w:kern w:val="2"/>
          <w:sz w:val="24"/>
          <w:szCs w:val="24"/>
          <w:lang w:val="zh-CN" w:eastAsia="zh-CN" w:bidi="ar-SA"/>
        </w:rPr>
        <w:t>（2）</w:t>
      </w:r>
      <w:r>
        <w:rPr>
          <w:rFonts w:hint="eastAsia" w:ascii="宋体" w:hAnsi="宋体" w:eastAsia="宋体" w:cs="宋体"/>
          <w:color w:val="auto"/>
          <w:sz w:val="24"/>
          <w:szCs w:val="24"/>
          <w:highlight w:val="none"/>
          <w:lang w:val="zh-CN" w:eastAsia="zh-CN"/>
        </w:rPr>
        <w:t>供应商应该认真咨询，了解标的现状，并仔细阅读本次采购所提供的相关资料及特别规定。供应商参加投标，即表明供应商对标的的情况和特别规定的认可，投标成功后不得以未咨询或对标的不了解而提出异议或反悔。</w:t>
      </w:r>
    </w:p>
    <w:p w14:paraId="4F51F9D3">
      <w:pPr>
        <w:numPr>
          <w:ilvl w:val="3"/>
          <w:numId w:val="0"/>
        </w:numPr>
        <w:snapToGrid w:val="0"/>
        <w:spacing w:line="336" w:lineRule="auto"/>
        <w:ind w:left="0" w:leftChars="0" w:firstLine="402" w:firstLineChars="0"/>
        <w:jc w:val="left"/>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b w:val="0"/>
          <w:bCs w:val="0"/>
          <w:color w:val="auto"/>
          <w:kern w:val="2"/>
          <w:sz w:val="24"/>
          <w:szCs w:val="24"/>
          <w:lang w:val="zh-CN" w:eastAsia="zh-CN" w:bidi="ar-SA"/>
        </w:rPr>
        <w:t>（3）</w:t>
      </w:r>
      <w:r>
        <w:rPr>
          <w:rFonts w:hint="eastAsia" w:ascii="宋体" w:hAnsi="宋体" w:eastAsia="宋体" w:cs="宋体"/>
          <w:color w:val="auto"/>
          <w:sz w:val="24"/>
          <w:szCs w:val="24"/>
          <w:highlight w:val="none"/>
          <w:lang w:val="zh-CN" w:eastAsia="zh-CN"/>
        </w:rPr>
        <w:t>供应商应保证其提供的服务不违</w:t>
      </w:r>
      <w:r>
        <w:rPr>
          <w:rFonts w:hint="eastAsia" w:ascii="宋体" w:hAnsi="宋体" w:cs="宋体"/>
          <w:color w:val="auto"/>
          <w:sz w:val="24"/>
          <w:szCs w:val="24"/>
          <w:highlight w:val="none"/>
          <w:lang w:val="zh-CN" w:eastAsia="zh-CN"/>
        </w:rPr>
        <w:t>反相关</w:t>
      </w:r>
      <w:r>
        <w:rPr>
          <w:rFonts w:hint="eastAsia" w:ascii="宋体" w:hAnsi="宋体" w:eastAsia="宋体" w:cs="宋体"/>
          <w:color w:val="auto"/>
          <w:sz w:val="24"/>
          <w:szCs w:val="24"/>
          <w:highlight w:val="none"/>
          <w:lang w:val="zh-CN" w:eastAsia="zh-CN"/>
        </w:rPr>
        <w:t>法律、行政法规的规定。</w:t>
      </w:r>
    </w:p>
    <w:p w14:paraId="5971A50F">
      <w:pPr>
        <w:numPr>
          <w:ilvl w:val="3"/>
          <w:numId w:val="0"/>
        </w:numPr>
        <w:snapToGrid w:val="0"/>
        <w:spacing w:line="336" w:lineRule="auto"/>
        <w:ind w:left="0" w:leftChars="0" w:firstLine="402" w:firstLineChars="0"/>
        <w:jc w:val="left"/>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b w:val="0"/>
          <w:bCs w:val="0"/>
          <w:color w:val="auto"/>
          <w:kern w:val="2"/>
          <w:sz w:val="24"/>
          <w:szCs w:val="24"/>
          <w:lang w:val="zh-CN" w:eastAsia="zh-CN" w:bidi="ar-SA"/>
        </w:rPr>
        <w:t>（4）</w:t>
      </w:r>
      <w:r>
        <w:rPr>
          <w:rFonts w:hint="eastAsia" w:ascii="宋体" w:hAnsi="宋体" w:eastAsia="宋体" w:cs="宋体"/>
          <w:color w:val="auto"/>
          <w:sz w:val="24"/>
          <w:szCs w:val="24"/>
          <w:highlight w:val="none"/>
          <w:lang w:val="zh-CN" w:eastAsia="zh-CN"/>
        </w:rPr>
        <w:t>成交供应商在履行合同期间，应对成交供应商（或其雇佣人员）的疏忽、故意或过失而造成采购人的直接或间接损失、第三者的财产损失及安全责任事故等负责，并承担相应费用。</w:t>
      </w:r>
    </w:p>
    <w:p w14:paraId="4B8DFE17">
      <w:pPr>
        <w:numPr>
          <w:ilvl w:val="3"/>
          <w:numId w:val="0"/>
        </w:numPr>
        <w:snapToGrid w:val="0"/>
        <w:spacing w:line="336" w:lineRule="auto"/>
        <w:ind w:left="0" w:leftChars="0" w:firstLine="402" w:firstLineChars="0"/>
        <w:jc w:val="left"/>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b w:val="0"/>
          <w:bCs w:val="0"/>
          <w:color w:val="auto"/>
          <w:kern w:val="2"/>
          <w:sz w:val="24"/>
          <w:szCs w:val="24"/>
          <w:lang w:val="zh-CN" w:eastAsia="zh-CN" w:bidi="ar-SA"/>
        </w:rPr>
        <w:t>（5）</w:t>
      </w:r>
      <w:r>
        <w:rPr>
          <w:rFonts w:hint="eastAsia" w:ascii="宋体" w:hAnsi="宋体" w:eastAsia="宋体" w:cs="宋体"/>
          <w:color w:val="auto"/>
          <w:sz w:val="24"/>
          <w:szCs w:val="24"/>
          <w:highlight w:val="none"/>
          <w:lang w:val="zh-CN" w:eastAsia="zh-CN"/>
        </w:rPr>
        <w:t>其他未尽事宜可在合同中约定</w:t>
      </w:r>
    </w:p>
    <w:p w14:paraId="44991456">
      <w:pPr>
        <w:pStyle w:val="2"/>
        <w:shd w:val="clear" w:color="auto" w:fill="auto"/>
        <w:snapToGrid w:val="0"/>
        <w:spacing w:line="336" w:lineRule="auto"/>
        <w:jc w:val="left"/>
        <w:outlineLvl w:val="9"/>
        <w:rPr>
          <w:rFonts w:hint="eastAsia"/>
          <w:b/>
          <w:bCs/>
          <w:sz w:val="28"/>
          <w:szCs w:val="36"/>
          <w:lang w:val="en-US" w:eastAsia="zh-CN"/>
        </w:rPr>
      </w:pPr>
      <w:r>
        <w:rPr>
          <w:rFonts w:hint="eastAsia"/>
          <w:b/>
          <w:bCs/>
          <w:sz w:val="28"/>
          <w:szCs w:val="36"/>
          <w:lang w:val="en-US" w:eastAsia="zh-CN"/>
        </w:rPr>
        <w:t>四、评分方法</w:t>
      </w:r>
    </w:p>
    <w:p w14:paraId="5207AE6B">
      <w:pPr>
        <w:pStyle w:val="2"/>
        <w:shd w:val="clear" w:color="auto" w:fill="auto"/>
        <w:snapToGrid w:val="0"/>
        <w:spacing w:line="336" w:lineRule="auto"/>
        <w:jc w:val="left"/>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综合评分法（总分100分），评分细则（计分办法保留两位小数，四舍五入）</w:t>
      </w:r>
    </w:p>
    <w:p w14:paraId="6CA40FCD">
      <w:pPr>
        <w:widowControl/>
        <w:shd w:val="clear" w:color="auto" w:fill="auto"/>
        <w:snapToGrid w:val="0"/>
        <w:spacing w:line="336" w:lineRule="auto"/>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lang w:val="en-US" w:eastAsia="zh-CN"/>
        </w:rPr>
        <w:t>1、</w:t>
      </w:r>
      <w:r>
        <w:rPr>
          <w:rFonts w:hint="eastAsia" w:ascii="宋体" w:hAnsi="宋体" w:eastAsia="宋体" w:cs="宋体"/>
          <w:color w:val="auto"/>
          <w:spacing w:val="6"/>
          <w:sz w:val="24"/>
          <w:highlight w:val="none"/>
        </w:rPr>
        <w:t>计分细则如下：</w:t>
      </w:r>
    </w:p>
    <w:p w14:paraId="26D864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估，综合比较与评价。评标委员会应当按照招标文件中规定的评标方法和标准，对符合性审查合格的投标文件进行商务和技术评估，综合比较与评价。</w:t>
      </w:r>
    </w:p>
    <w:tbl>
      <w:tblPr>
        <w:tblStyle w:val="14"/>
        <w:tblW w:w="4988" w:type="pct"/>
        <w:jc w:val="center"/>
        <w:tblBorders>
          <w:top w:val="none" w:color="auto" w:sz="0"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259"/>
        <w:gridCol w:w="6398"/>
        <w:gridCol w:w="6"/>
        <w:gridCol w:w="996"/>
      </w:tblGrid>
      <w:tr w14:paraId="2B8F091E">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44" w:type="pct"/>
            <w:tcBorders>
              <w:top w:val="single" w:color="000000" w:sz="4" w:space="0"/>
              <w:tl2br w:val="nil"/>
              <w:tr2bl w:val="nil"/>
            </w:tcBorders>
            <w:noWrap w:val="0"/>
            <w:vAlign w:val="center"/>
          </w:tcPr>
          <w:p w14:paraId="4318248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细则</w:t>
            </w:r>
          </w:p>
          <w:p w14:paraId="7501088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3851" w:type="pct"/>
            <w:gridSpan w:val="2"/>
            <w:tcBorders>
              <w:top w:val="single" w:color="000000" w:sz="4" w:space="0"/>
              <w:tl2br w:val="nil"/>
              <w:tr2bl w:val="nil"/>
            </w:tcBorders>
            <w:noWrap w:val="0"/>
            <w:vAlign w:val="center"/>
          </w:tcPr>
          <w:p w14:paraId="70F1F3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分值细则</w:t>
            </w:r>
          </w:p>
        </w:tc>
        <w:tc>
          <w:tcPr>
            <w:tcW w:w="504" w:type="pct"/>
            <w:gridSpan w:val="2"/>
            <w:tcBorders>
              <w:top w:val="single" w:color="000000" w:sz="4" w:space="0"/>
              <w:tl2br w:val="nil"/>
              <w:tr2bl w:val="nil"/>
            </w:tcBorders>
            <w:noWrap w:val="0"/>
            <w:vAlign w:val="center"/>
          </w:tcPr>
          <w:p w14:paraId="42E74CD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r>
      <w:tr w14:paraId="0EB9B443">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44" w:type="pct"/>
            <w:tcBorders>
              <w:bottom w:val="single" w:color="auto" w:sz="4" w:space="0"/>
              <w:tl2br w:val="nil"/>
              <w:tr2bl w:val="nil"/>
            </w:tcBorders>
            <w:noWrap w:val="0"/>
            <w:vAlign w:val="center"/>
          </w:tcPr>
          <w:p w14:paraId="424BB027">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价格评分（</w:t>
            </w:r>
            <w:r>
              <w:rPr>
                <w:rFonts w:hint="eastAsia" w:ascii="宋体" w:hAnsi="宋体" w:cs="宋体"/>
                <w:sz w:val="24"/>
                <w:szCs w:val="24"/>
                <w:highlight w:val="none"/>
                <w:lang w:val="en-US" w:eastAsia="zh-CN"/>
              </w:rPr>
              <w:t>50</w:t>
            </w:r>
            <w:r>
              <w:rPr>
                <w:rFonts w:hint="eastAsia" w:ascii="宋体" w:hAnsi="宋体" w:eastAsia="宋体" w:cs="宋体"/>
                <w:sz w:val="24"/>
                <w:szCs w:val="24"/>
                <w:highlight w:val="none"/>
                <w:lang w:val="en-US" w:eastAsia="zh-CN"/>
              </w:rPr>
              <w:t>分）</w:t>
            </w:r>
          </w:p>
        </w:tc>
        <w:tc>
          <w:tcPr>
            <w:tcW w:w="3851" w:type="pct"/>
            <w:gridSpan w:val="2"/>
            <w:tcBorders>
              <w:bottom w:val="single" w:color="auto" w:sz="4" w:space="0"/>
              <w:tl2br w:val="nil"/>
              <w:tr2bl w:val="nil"/>
            </w:tcBorders>
            <w:noWrap w:val="0"/>
            <w:vAlign w:val="center"/>
          </w:tcPr>
          <w:p w14:paraId="76FEC44D">
            <w:pPr>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1、价格分采用低价优先法计算、即满足招标文件要求且投标报价最低的为评标基准价、其价格分为满分。</w:t>
            </w:r>
            <w:r>
              <w:rPr>
                <w:rFonts w:hint="eastAsia" w:ascii="宋体" w:hAnsi="宋体" w:eastAsia="宋体" w:cs="宋体"/>
                <w:b/>
                <w:bCs/>
                <w:color w:val="auto"/>
                <w:sz w:val="24"/>
                <w:szCs w:val="24"/>
                <w:highlight w:val="none"/>
              </w:rPr>
              <w:t>其它投标方的价格统一按照下列公式计算：投标报价得分=（评标基准价／投标报价）×</w:t>
            </w:r>
            <w:r>
              <w:rPr>
                <w:rFonts w:hint="eastAsia" w:ascii="宋体" w:hAnsi="宋体" w:cs="宋体"/>
                <w:b/>
                <w:bCs/>
                <w:color w:val="auto"/>
                <w:sz w:val="24"/>
                <w:szCs w:val="24"/>
                <w:highlight w:val="none"/>
                <w:lang w:val="en-US" w:eastAsia="zh-CN"/>
              </w:rPr>
              <w:t>50</w:t>
            </w:r>
            <w:r>
              <w:rPr>
                <w:rFonts w:hint="eastAsia" w:ascii="宋体" w:hAnsi="宋体" w:eastAsia="宋体" w:cs="宋体"/>
                <w:b/>
                <w:bCs/>
                <w:color w:val="auto"/>
                <w:sz w:val="24"/>
                <w:szCs w:val="24"/>
                <w:highlight w:val="none"/>
              </w:rPr>
              <w:t>，计算分数时四舍五入取小数点后两位。</w:t>
            </w:r>
          </w:p>
          <w:p w14:paraId="7008F60B">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2、若投标人投标价格超出采购预算，则该投标人被视为无效投标。</w:t>
            </w:r>
          </w:p>
          <w:p w14:paraId="090AAEA5">
            <w:pPr>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rPr>
              <w:t>3、投标人应结合实际情况合理进行报价，如评标委员会认为投标人报价明显低于其他通过符合性审查投标人的报价，有可能影响产品质量或者不能诚信履约，应当要求其在现场合理时间内提供书面说明，必要时提供相关证明材料，投标人不能证明其报价合理的，评标委员会应当将其作为无效投标处理。</w:t>
            </w:r>
          </w:p>
        </w:tc>
        <w:tc>
          <w:tcPr>
            <w:tcW w:w="504" w:type="pct"/>
            <w:gridSpan w:val="2"/>
            <w:tcBorders>
              <w:bottom w:val="single" w:color="auto" w:sz="4" w:space="0"/>
              <w:tl2br w:val="nil"/>
              <w:tr2bl w:val="nil"/>
            </w:tcBorders>
            <w:noWrap w:val="0"/>
            <w:vAlign w:val="center"/>
          </w:tcPr>
          <w:p w14:paraId="128A27A4">
            <w:pPr>
              <w:spacing w:line="360" w:lineRule="auto"/>
              <w:jc w:val="center"/>
              <w:rPr>
                <w:rFonts w:hint="eastAsia" w:ascii="宋体" w:hAnsi="宋体" w:eastAsia="宋体" w:cs="宋体"/>
                <w:kern w:val="2"/>
                <w:sz w:val="24"/>
                <w:szCs w:val="24"/>
                <w:highlight w:val="none"/>
                <w:lang w:val="zh-CN" w:eastAsia="zh-CN" w:bidi="ar-SA"/>
              </w:rPr>
            </w:pPr>
            <w:r>
              <w:rPr>
                <w:rFonts w:hint="eastAsia" w:ascii="宋体" w:hAnsi="宋体" w:cs="宋体"/>
                <w:sz w:val="24"/>
                <w:szCs w:val="24"/>
                <w:highlight w:val="none"/>
                <w:lang w:val="en-US" w:eastAsia="zh-CN"/>
              </w:rPr>
              <w:t>50</w:t>
            </w:r>
            <w:r>
              <w:rPr>
                <w:rFonts w:hint="eastAsia" w:ascii="宋体" w:hAnsi="宋体" w:eastAsia="宋体" w:cs="宋体"/>
                <w:sz w:val="24"/>
                <w:szCs w:val="24"/>
                <w:highlight w:val="none"/>
              </w:rPr>
              <w:t>分</w:t>
            </w:r>
          </w:p>
        </w:tc>
      </w:tr>
      <w:tr w14:paraId="4397AA5E">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4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BD2EECF">
            <w:pPr>
              <w:spacing w:line="360" w:lineRule="auto"/>
              <w:rPr>
                <w:rFonts w:hint="eastAsia" w:ascii="宋体" w:hAnsi="宋体" w:eastAsia="宋体" w:cs="宋体"/>
                <w:sz w:val="24"/>
                <w:szCs w:val="24"/>
                <w:highlight w:val="none"/>
                <w:lang w:val="zh-CN"/>
              </w:rPr>
            </w:pP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zh-CN"/>
              </w:rPr>
              <w:t>评分</w:t>
            </w:r>
          </w:p>
          <w:p w14:paraId="7C1F0EE5">
            <w:pPr>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zh-CN"/>
              </w:rPr>
              <w:t>分）</w:t>
            </w:r>
          </w:p>
        </w:tc>
        <w:tc>
          <w:tcPr>
            <w:tcW w:w="3854"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60363FF">
            <w:pPr>
              <w:pStyle w:val="26"/>
              <w:numPr>
                <w:ilvl w:val="0"/>
                <w:numId w:val="0"/>
              </w:numPr>
              <w:spacing w:line="360" w:lineRule="auto"/>
              <w:jc w:val="left"/>
              <w:rPr>
                <w:rFonts w:hint="eastAsia" w:ascii="宋体" w:hAnsi="宋体" w:eastAsia="宋体" w:cs="宋体"/>
                <w:sz w:val="24"/>
                <w:szCs w:val="24"/>
                <w:highlight w:val="none"/>
              </w:rPr>
            </w:pPr>
            <w:r>
              <w:rPr>
                <w:rFonts w:hint="eastAsia" w:hAnsi="宋体" w:cs="宋体"/>
                <w:sz w:val="24"/>
                <w:szCs w:val="24"/>
                <w:highlight w:val="none"/>
                <w:lang w:val="en-US" w:eastAsia="zh-CN"/>
              </w:rPr>
              <w:t>1.投标人</w:t>
            </w:r>
            <w:r>
              <w:rPr>
                <w:rFonts w:hint="eastAsia" w:ascii="宋体" w:hAnsi="宋体" w:eastAsia="宋体" w:cs="宋体"/>
                <w:sz w:val="24"/>
                <w:szCs w:val="24"/>
                <w:highlight w:val="none"/>
              </w:rPr>
              <w:t>全部满足</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第</w:t>
            </w:r>
            <w:r>
              <w:rPr>
                <w:rFonts w:hint="eastAsia" w:hAnsi="宋体" w:cs="宋体"/>
                <w:b/>
                <w:bCs/>
                <w:sz w:val="24"/>
                <w:szCs w:val="24"/>
                <w:highlight w:val="none"/>
                <w:lang w:val="en-US" w:eastAsia="zh-CN"/>
              </w:rPr>
              <w:t>三</w:t>
            </w:r>
            <w:r>
              <w:rPr>
                <w:rFonts w:hint="eastAsia" w:ascii="宋体" w:hAnsi="宋体" w:eastAsia="宋体" w:cs="宋体"/>
                <w:b/>
                <w:bCs/>
                <w:sz w:val="24"/>
                <w:szCs w:val="24"/>
                <w:highlight w:val="none"/>
              </w:rPr>
              <w:t>章</w:t>
            </w:r>
            <w:r>
              <w:rPr>
                <w:rFonts w:hint="eastAsia" w:ascii="宋体" w:hAnsi="宋体" w:eastAsia="宋体" w:cs="宋体"/>
                <w:b/>
                <w:bCs/>
                <w:sz w:val="24"/>
                <w:szCs w:val="24"/>
                <w:highlight w:val="none"/>
                <w:lang w:val="en-US" w:eastAsia="zh-CN"/>
              </w:rPr>
              <w:t xml:space="preserve"> </w:t>
            </w:r>
            <w:r>
              <w:rPr>
                <w:rFonts w:hint="eastAsia" w:hAnsi="宋体" w:cs="宋体"/>
                <w:b/>
                <w:bCs/>
                <w:sz w:val="24"/>
                <w:szCs w:val="24"/>
                <w:highlight w:val="none"/>
                <w:lang w:eastAsia="zh-CN"/>
              </w:rPr>
              <w:t>服务内容</w:t>
            </w:r>
            <w:r>
              <w:rPr>
                <w:rFonts w:hint="eastAsia" w:ascii="宋体" w:hAnsi="宋体" w:eastAsia="宋体" w:cs="宋体"/>
                <w:b/>
                <w:bCs/>
                <w:sz w:val="24"/>
                <w:szCs w:val="24"/>
                <w:highlight w:val="none"/>
              </w:rPr>
              <w:t>及商务条款</w:t>
            </w:r>
            <w:r>
              <w:rPr>
                <w:rFonts w:hint="eastAsia" w:ascii="宋体" w:hAnsi="宋体" w:eastAsia="宋体" w:cs="宋体"/>
                <w:b/>
                <w:bCs/>
                <w:sz w:val="24"/>
                <w:szCs w:val="24"/>
                <w:highlight w:val="none"/>
                <w:lang w:val="en-US" w:eastAsia="zh-CN"/>
              </w:rPr>
              <w:t xml:space="preserve"> </w:t>
            </w:r>
            <w:r>
              <w:rPr>
                <w:rFonts w:hint="eastAsia" w:hAnsi="宋体" w:cs="宋体"/>
                <w:b/>
                <w:bCs/>
                <w:sz w:val="24"/>
                <w:szCs w:val="24"/>
                <w:highlight w:val="none"/>
                <w:lang w:val="en-US" w:eastAsia="zh-CN"/>
              </w:rPr>
              <w:t>二</w:t>
            </w:r>
            <w:r>
              <w:rPr>
                <w:rFonts w:hint="eastAsia" w:ascii="宋体" w:hAnsi="宋体" w:eastAsia="宋体" w:cs="宋体"/>
                <w:b/>
                <w:bCs/>
                <w:sz w:val="24"/>
                <w:szCs w:val="24"/>
                <w:highlight w:val="none"/>
                <w:lang w:val="en-US" w:eastAsia="zh-CN"/>
              </w:rPr>
              <w:t>、</w:t>
            </w:r>
            <w:r>
              <w:rPr>
                <w:rFonts w:hint="eastAsia" w:hAnsi="宋体" w:cs="宋体"/>
                <w:b/>
                <w:bCs/>
                <w:sz w:val="24"/>
                <w:szCs w:val="24"/>
                <w:highlight w:val="none"/>
                <w:lang w:val="en-US" w:eastAsia="zh-CN"/>
              </w:rPr>
              <w:t>服务内容</w:t>
            </w:r>
            <w:r>
              <w:rPr>
                <w:rFonts w:hint="eastAsia" w:ascii="宋体" w:hAnsi="宋体" w:eastAsia="宋体" w:cs="宋体"/>
                <w:b/>
                <w:bCs/>
                <w:sz w:val="24"/>
                <w:szCs w:val="24"/>
                <w:highlight w:val="none"/>
                <w:lang w:val="en-US" w:eastAsia="zh-CN"/>
              </w:rPr>
              <w:t>”</w:t>
            </w:r>
            <w:r>
              <w:rPr>
                <w:rFonts w:hint="eastAsia" w:hAnsi="宋体" w:cs="宋体"/>
                <w:b/>
                <w:bCs/>
                <w:sz w:val="24"/>
                <w:szCs w:val="24"/>
                <w:highlight w:val="none"/>
                <w:lang w:val="en-US" w:eastAsia="zh-CN"/>
              </w:rPr>
              <w:t>的得6分</w:t>
            </w:r>
            <w:r>
              <w:rPr>
                <w:rFonts w:hint="eastAsia" w:ascii="宋体" w:hAnsi="宋体" w:eastAsia="宋体" w:cs="宋体"/>
                <w:sz w:val="24"/>
                <w:szCs w:val="24"/>
                <w:highlight w:val="none"/>
              </w:rPr>
              <w:t>，</w:t>
            </w:r>
            <w:r>
              <w:rPr>
                <w:rFonts w:hint="eastAsia" w:hAnsi="宋体" w:cs="宋体"/>
                <w:sz w:val="24"/>
                <w:szCs w:val="24"/>
                <w:highlight w:val="none"/>
                <w:lang w:val="en-US" w:eastAsia="zh-CN"/>
              </w:rPr>
              <w:t>有</w:t>
            </w:r>
            <w:r>
              <w:rPr>
                <w:rFonts w:hint="eastAsia" w:ascii="宋体" w:hAnsi="宋体" w:eastAsia="宋体" w:cs="宋体"/>
                <w:sz w:val="24"/>
                <w:szCs w:val="24"/>
                <w:highlight w:val="none"/>
              </w:rPr>
              <w:t>任意一项不满足</w:t>
            </w:r>
            <w:r>
              <w:rPr>
                <w:rFonts w:hint="eastAsia" w:ascii="宋体" w:hAnsi="宋体" w:eastAsia="宋体" w:cs="宋体"/>
                <w:sz w:val="24"/>
                <w:szCs w:val="24"/>
                <w:highlight w:val="none"/>
                <w:lang w:val="en-US" w:eastAsia="zh-CN"/>
              </w:rPr>
              <w:t>或负偏离</w:t>
            </w:r>
            <w:r>
              <w:rPr>
                <w:rFonts w:hint="eastAsia" w:ascii="宋体" w:hAnsi="宋体" w:eastAsia="宋体" w:cs="宋体"/>
                <w:sz w:val="24"/>
                <w:szCs w:val="24"/>
                <w:highlight w:val="none"/>
              </w:rPr>
              <w:t>的作无效</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处理。</w:t>
            </w:r>
          </w:p>
          <w:p w14:paraId="393C111C">
            <w:pPr>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评审依据：</w:t>
            </w:r>
            <w:r>
              <w:rPr>
                <w:rFonts w:hint="eastAsia" w:ascii="宋体" w:hAnsi="宋体" w:cs="宋体"/>
                <w:b/>
                <w:bCs/>
                <w:sz w:val="24"/>
                <w:szCs w:val="24"/>
                <w:highlight w:val="none"/>
                <w:lang w:val="en-US" w:eastAsia="zh-CN"/>
              </w:rPr>
              <w:t>投标文件中</w:t>
            </w:r>
            <w:r>
              <w:rPr>
                <w:rFonts w:hint="eastAsia" w:ascii="宋体" w:hAnsi="宋体" w:eastAsia="宋体" w:cs="宋体"/>
                <w:b/>
                <w:bCs/>
                <w:sz w:val="24"/>
                <w:szCs w:val="24"/>
                <w:highlight w:val="none"/>
              </w:rPr>
              <w:t>提供</w:t>
            </w:r>
            <w:r>
              <w:rPr>
                <w:rFonts w:hint="eastAsia" w:ascii="宋体" w:hAnsi="宋体" w:eastAsia="宋体" w:cs="宋体"/>
                <w:b/>
                <w:bCs/>
                <w:sz w:val="24"/>
                <w:szCs w:val="24"/>
                <w:highlight w:val="none"/>
                <w:lang w:val="en-US" w:eastAsia="zh-CN"/>
              </w:rPr>
              <w:t>服务</w:t>
            </w:r>
            <w:r>
              <w:rPr>
                <w:rFonts w:hint="eastAsia" w:ascii="宋体" w:hAnsi="宋体" w:eastAsia="宋体" w:cs="宋体"/>
                <w:b/>
                <w:bCs/>
                <w:sz w:val="24"/>
                <w:szCs w:val="24"/>
                <w:highlight w:val="none"/>
              </w:rPr>
              <w:t>响应/偏离表</w:t>
            </w:r>
            <w:r>
              <w:rPr>
                <w:rFonts w:hint="eastAsia" w:ascii="宋体" w:hAnsi="宋体" w:eastAsia="宋体" w:cs="宋体"/>
                <w:b/>
                <w:bCs/>
                <w:sz w:val="24"/>
                <w:szCs w:val="24"/>
                <w:highlight w:val="none"/>
                <w:lang w:eastAsia="zh-CN"/>
              </w:rPr>
              <w:t>。</w:t>
            </w:r>
            <w:r>
              <w:rPr>
                <w:rFonts w:hint="default" w:ascii="宋体" w:hAnsi="宋体" w:eastAsia="宋体" w:cs="宋体"/>
                <w:b/>
                <w:bCs/>
                <w:color w:val="auto"/>
                <w:sz w:val="24"/>
                <w:szCs w:val="24"/>
                <w:highlight w:val="none"/>
                <w:lang w:val="en-US" w:eastAsia="zh-CN"/>
              </w:rPr>
              <w:t>文件另有约定的从其约定。</w:t>
            </w:r>
          </w:p>
        </w:tc>
        <w:tc>
          <w:tcPr>
            <w:tcW w:w="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B7E37F">
            <w:pPr>
              <w:spacing w:line="360" w:lineRule="auto"/>
              <w:jc w:val="left"/>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6分</w:t>
            </w:r>
          </w:p>
        </w:tc>
      </w:tr>
      <w:tr w14:paraId="1968DC2E">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E9975E4">
            <w:pPr>
              <w:spacing w:line="360" w:lineRule="auto"/>
              <w:rPr>
                <w:rFonts w:hint="eastAsia" w:ascii="宋体" w:hAnsi="宋体" w:eastAsia="宋体" w:cs="宋体"/>
                <w:sz w:val="24"/>
                <w:szCs w:val="24"/>
                <w:highlight w:val="none"/>
                <w:lang w:val="zh-CN"/>
              </w:rPr>
            </w:pPr>
          </w:p>
        </w:tc>
        <w:tc>
          <w:tcPr>
            <w:tcW w:w="63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7545C7">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发行方案</w:t>
            </w:r>
          </w:p>
        </w:tc>
        <w:tc>
          <w:tcPr>
            <w:tcW w:w="321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95DA9C">
            <w:pPr>
              <w:snapToGrid w:val="0"/>
              <w:spacing w:line="360" w:lineRule="auto"/>
              <w:rPr>
                <w:rFonts w:hint="eastAsia" w:ascii="宋体" w:hAnsi="宋体" w:eastAsia="宋体" w:cs="宋体"/>
                <w:b/>
                <w:bCs/>
                <w:i w:val="0"/>
                <w:iCs w:val="0"/>
                <w:caps w:val="0"/>
                <w:color w:val="05073B"/>
                <w:spacing w:val="0"/>
                <w:sz w:val="24"/>
                <w:szCs w:val="24"/>
                <w:highlight w:val="none"/>
                <w:shd w:val="clear" w:color="auto" w:fill="FDFDFE"/>
                <w:lang w:val="en-US" w:eastAsia="zh-CN"/>
              </w:rPr>
            </w:pPr>
            <w:r>
              <w:rPr>
                <w:rFonts w:hint="eastAsia" w:ascii="宋体" w:hAnsi="宋体" w:eastAsia="宋体" w:cs="宋体"/>
                <w:b/>
                <w:bCs/>
                <w:i w:val="0"/>
                <w:iCs w:val="0"/>
                <w:caps w:val="0"/>
                <w:color w:val="05073B"/>
                <w:spacing w:val="0"/>
                <w:sz w:val="24"/>
                <w:szCs w:val="24"/>
                <w:highlight w:val="none"/>
                <w:shd w:val="clear" w:color="auto" w:fill="FDFDFE"/>
                <w:lang w:val="en-US" w:eastAsia="zh-CN"/>
              </w:rPr>
              <w:t>投标人根据招标人的资金需求等实际情况结合市场情况，制定发行总体方案，方案中需包含以下内容：</w:t>
            </w:r>
          </w:p>
          <w:p w14:paraId="32013B45">
            <w:pPr>
              <w:snapToGrid w:val="0"/>
              <w:spacing w:line="360" w:lineRule="auto"/>
              <w:rPr>
                <w:rFonts w:hint="eastAsia" w:ascii="宋体" w:hAnsi="宋体" w:eastAsia="宋体" w:cs="宋体"/>
                <w:b w:val="0"/>
                <w:bCs w:val="0"/>
                <w:i w:val="0"/>
                <w:iCs w:val="0"/>
                <w:caps w:val="0"/>
                <w:color w:val="05073B"/>
                <w:spacing w:val="0"/>
                <w:sz w:val="24"/>
                <w:szCs w:val="24"/>
                <w:highlight w:val="none"/>
                <w:shd w:val="clear" w:color="auto" w:fill="FDFDFE"/>
                <w:lang w:val="en-US" w:eastAsia="zh-CN"/>
              </w:rPr>
            </w:pPr>
            <w:r>
              <w:rPr>
                <w:rFonts w:hint="eastAsia" w:ascii="宋体" w:hAnsi="宋体" w:cs="宋体"/>
                <w:b w:val="0"/>
                <w:bCs w:val="0"/>
                <w:i w:val="0"/>
                <w:iCs w:val="0"/>
                <w:caps w:val="0"/>
                <w:color w:val="05073B"/>
                <w:spacing w:val="0"/>
                <w:sz w:val="24"/>
                <w:szCs w:val="24"/>
                <w:highlight w:val="none"/>
                <w:shd w:val="clear" w:color="auto" w:fill="FDFDFE"/>
                <w:lang w:val="en-US" w:eastAsia="zh-CN"/>
              </w:rPr>
              <w:t>（1）</w:t>
            </w:r>
            <w:r>
              <w:rPr>
                <w:rFonts w:hint="eastAsia" w:ascii="宋体" w:hAnsi="宋体" w:eastAsia="宋体" w:cs="宋体"/>
                <w:b w:val="0"/>
                <w:bCs w:val="0"/>
                <w:i w:val="0"/>
                <w:iCs w:val="0"/>
                <w:caps w:val="0"/>
                <w:color w:val="05073B"/>
                <w:spacing w:val="0"/>
                <w:sz w:val="24"/>
                <w:szCs w:val="24"/>
                <w:highlight w:val="none"/>
                <w:shd w:val="clear" w:color="auto" w:fill="FDFDFE"/>
                <w:lang w:val="en-US" w:eastAsia="zh-CN"/>
              </w:rPr>
              <w:t>具备可操作性的发行方案，需包含债券品种、期限、发行规模、发行架构</w:t>
            </w:r>
            <w:r>
              <w:rPr>
                <w:rFonts w:hint="eastAsia" w:ascii="宋体" w:hAnsi="宋体" w:cs="宋体"/>
                <w:b w:val="0"/>
                <w:bCs w:val="0"/>
                <w:i w:val="0"/>
                <w:iCs w:val="0"/>
                <w:caps w:val="0"/>
                <w:color w:val="05073B"/>
                <w:spacing w:val="0"/>
                <w:sz w:val="24"/>
                <w:szCs w:val="24"/>
                <w:highlight w:val="none"/>
                <w:shd w:val="clear" w:color="auto" w:fill="FDFDFE"/>
                <w:lang w:val="en-US" w:eastAsia="zh-CN"/>
              </w:rPr>
              <w:t>、</w:t>
            </w:r>
            <w:r>
              <w:rPr>
                <w:rFonts w:hint="eastAsia" w:ascii="宋体" w:hAnsi="宋体" w:eastAsia="宋体" w:cs="宋体"/>
                <w:b w:val="0"/>
                <w:bCs w:val="0"/>
                <w:i w:val="0"/>
                <w:iCs w:val="0"/>
                <w:caps w:val="0"/>
                <w:color w:val="05073B"/>
                <w:spacing w:val="0"/>
                <w:sz w:val="24"/>
                <w:szCs w:val="24"/>
                <w:highlight w:val="none"/>
                <w:shd w:val="clear" w:color="auto" w:fill="FDFDFE"/>
                <w:lang w:val="en-US" w:eastAsia="zh-CN"/>
              </w:rPr>
              <w:t>预计发行利率、发行时间窗口建议等；</w:t>
            </w:r>
          </w:p>
          <w:p w14:paraId="12B29DAC">
            <w:pPr>
              <w:snapToGrid w:val="0"/>
              <w:spacing w:line="360" w:lineRule="auto"/>
              <w:rPr>
                <w:rFonts w:hint="eastAsia" w:ascii="宋体" w:hAnsi="宋体" w:eastAsia="宋体" w:cs="宋体"/>
                <w:b w:val="0"/>
                <w:bCs w:val="0"/>
                <w:i w:val="0"/>
                <w:iCs w:val="0"/>
                <w:caps w:val="0"/>
                <w:color w:val="05073B"/>
                <w:spacing w:val="0"/>
                <w:sz w:val="24"/>
                <w:szCs w:val="24"/>
                <w:highlight w:val="none"/>
                <w:shd w:val="clear" w:color="auto" w:fill="FDFDFE"/>
                <w:lang w:val="en-US" w:eastAsia="zh-CN"/>
              </w:rPr>
            </w:pPr>
            <w:r>
              <w:rPr>
                <w:rFonts w:hint="eastAsia" w:ascii="宋体" w:hAnsi="宋体" w:cs="宋体"/>
                <w:b w:val="0"/>
                <w:bCs w:val="0"/>
                <w:i w:val="0"/>
                <w:iCs w:val="0"/>
                <w:caps w:val="0"/>
                <w:color w:val="05073B"/>
                <w:spacing w:val="0"/>
                <w:sz w:val="24"/>
                <w:szCs w:val="24"/>
                <w:highlight w:val="none"/>
                <w:shd w:val="clear" w:color="auto" w:fill="FDFDFE"/>
                <w:lang w:val="en-US" w:eastAsia="zh-CN"/>
              </w:rPr>
              <w:t>（2）</w:t>
            </w:r>
            <w:r>
              <w:rPr>
                <w:rFonts w:hint="eastAsia" w:ascii="宋体" w:hAnsi="宋体" w:eastAsia="宋体" w:cs="宋体"/>
                <w:b w:val="0"/>
                <w:bCs w:val="0"/>
                <w:i w:val="0"/>
                <w:iCs w:val="0"/>
                <w:caps w:val="0"/>
                <w:color w:val="05073B"/>
                <w:spacing w:val="0"/>
                <w:sz w:val="24"/>
                <w:szCs w:val="24"/>
                <w:highlight w:val="none"/>
                <w:shd w:val="clear" w:color="auto" w:fill="FDFDFE"/>
                <w:lang w:val="en-US" w:eastAsia="zh-CN"/>
              </w:rPr>
              <w:t>与发改委的沟通措施；</w:t>
            </w:r>
          </w:p>
          <w:p w14:paraId="20B3AA5F">
            <w:pPr>
              <w:snapToGrid w:val="0"/>
              <w:spacing w:line="360" w:lineRule="auto"/>
              <w:rPr>
                <w:rFonts w:hint="eastAsia" w:ascii="宋体" w:hAnsi="宋体" w:eastAsia="宋体" w:cs="宋体"/>
                <w:b w:val="0"/>
                <w:bCs w:val="0"/>
                <w:i w:val="0"/>
                <w:iCs w:val="0"/>
                <w:caps w:val="0"/>
                <w:color w:val="05073B"/>
                <w:spacing w:val="0"/>
                <w:sz w:val="24"/>
                <w:szCs w:val="24"/>
                <w:highlight w:val="none"/>
                <w:shd w:val="clear" w:color="auto" w:fill="FDFDFE"/>
                <w:lang w:val="en-US" w:eastAsia="zh-CN"/>
              </w:rPr>
            </w:pPr>
            <w:r>
              <w:rPr>
                <w:rFonts w:hint="eastAsia" w:ascii="宋体" w:hAnsi="宋体" w:cs="宋体"/>
                <w:b w:val="0"/>
                <w:bCs w:val="0"/>
                <w:i w:val="0"/>
                <w:iCs w:val="0"/>
                <w:caps w:val="0"/>
                <w:color w:val="05073B"/>
                <w:spacing w:val="0"/>
                <w:sz w:val="24"/>
                <w:szCs w:val="24"/>
                <w:highlight w:val="none"/>
                <w:shd w:val="clear" w:color="auto" w:fill="FDFDFE"/>
                <w:lang w:val="en-US" w:eastAsia="zh-CN"/>
              </w:rPr>
              <w:t>（3）</w:t>
            </w:r>
            <w:r>
              <w:rPr>
                <w:rFonts w:hint="eastAsia" w:ascii="宋体" w:hAnsi="宋体" w:eastAsia="宋体" w:cs="宋体"/>
                <w:b w:val="0"/>
                <w:bCs w:val="0"/>
                <w:i w:val="0"/>
                <w:iCs w:val="0"/>
                <w:caps w:val="0"/>
                <w:color w:val="05073B"/>
                <w:spacing w:val="0"/>
                <w:sz w:val="24"/>
                <w:szCs w:val="24"/>
                <w:highlight w:val="none"/>
                <w:shd w:val="clear" w:color="auto" w:fill="FDFDFE"/>
                <w:lang w:val="en-US" w:eastAsia="zh-CN"/>
              </w:rPr>
              <w:t>发行成本测算；</w:t>
            </w:r>
          </w:p>
          <w:p w14:paraId="434635F8">
            <w:pPr>
              <w:snapToGrid w:val="0"/>
              <w:spacing w:line="360" w:lineRule="auto"/>
              <w:rPr>
                <w:rFonts w:hint="eastAsia" w:ascii="宋体" w:hAnsi="宋体" w:eastAsia="宋体" w:cs="宋体"/>
                <w:b w:val="0"/>
                <w:bCs w:val="0"/>
                <w:i w:val="0"/>
                <w:iCs w:val="0"/>
                <w:caps w:val="0"/>
                <w:color w:val="05073B"/>
                <w:spacing w:val="0"/>
                <w:sz w:val="24"/>
                <w:szCs w:val="24"/>
                <w:highlight w:val="none"/>
                <w:shd w:val="clear" w:color="auto" w:fill="FDFDFE"/>
                <w:lang w:val="en-US" w:eastAsia="zh-CN"/>
              </w:rPr>
            </w:pPr>
            <w:r>
              <w:rPr>
                <w:rFonts w:hint="eastAsia" w:ascii="宋体" w:hAnsi="宋体" w:cs="宋体"/>
                <w:b w:val="0"/>
                <w:bCs w:val="0"/>
                <w:i w:val="0"/>
                <w:iCs w:val="0"/>
                <w:caps w:val="0"/>
                <w:color w:val="05073B"/>
                <w:spacing w:val="0"/>
                <w:sz w:val="24"/>
                <w:szCs w:val="24"/>
                <w:highlight w:val="none"/>
                <w:shd w:val="clear" w:color="auto" w:fill="FDFDFE"/>
                <w:lang w:val="en-US" w:eastAsia="zh-CN"/>
              </w:rPr>
              <w:t>（4）</w:t>
            </w:r>
            <w:r>
              <w:rPr>
                <w:rFonts w:hint="eastAsia" w:ascii="宋体" w:hAnsi="宋体" w:eastAsia="宋体" w:cs="宋体"/>
                <w:b w:val="0"/>
                <w:bCs w:val="0"/>
                <w:i w:val="0"/>
                <w:iCs w:val="0"/>
                <w:caps w:val="0"/>
                <w:color w:val="05073B"/>
                <w:spacing w:val="0"/>
                <w:sz w:val="24"/>
                <w:szCs w:val="24"/>
                <w:highlight w:val="none"/>
                <w:shd w:val="clear" w:color="auto" w:fill="FDFDFE"/>
                <w:lang w:val="en-US" w:eastAsia="zh-CN"/>
              </w:rPr>
              <w:t>销售策略；</w:t>
            </w:r>
          </w:p>
          <w:p w14:paraId="45EBD93D">
            <w:pPr>
              <w:snapToGrid w:val="0"/>
              <w:spacing w:line="360" w:lineRule="auto"/>
              <w:rPr>
                <w:rFonts w:hint="eastAsia" w:ascii="宋体" w:hAnsi="宋体" w:eastAsia="宋体" w:cs="宋体"/>
                <w:b w:val="0"/>
                <w:bCs w:val="0"/>
                <w:i w:val="0"/>
                <w:iCs w:val="0"/>
                <w:caps w:val="0"/>
                <w:color w:val="05073B"/>
                <w:spacing w:val="0"/>
                <w:sz w:val="24"/>
                <w:szCs w:val="24"/>
                <w:highlight w:val="none"/>
                <w:shd w:val="clear" w:color="auto" w:fill="FDFDFE"/>
                <w:lang w:val="en-US" w:eastAsia="zh-CN"/>
              </w:rPr>
            </w:pPr>
            <w:r>
              <w:rPr>
                <w:rFonts w:hint="eastAsia" w:ascii="宋体" w:hAnsi="宋体" w:cs="宋体"/>
                <w:b w:val="0"/>
                <w:bCs w:val="0"/>
                <w:i w:val="0"/>
                <w:iCs w:val="0"/>
                <w:caps w:val="0"/>
                <w:color w:val="05073B"/>
                <w:spacing w:val="0"/>
                <w:sz w:val="24"/>
                <w:szCs w:val="24"/>
                <w:highlight w:val="none"/>
                <w:shd w:val="clear" w:color="auto" w:fill="FDFDFE"/>
                <w:lang w:val="en-US" w:eastAsia="zh-CN"/>
              </w:rPr>
              <w:t>（5）</w:t>
            </w:r>
            <w:r>
              <w:rPr>
                <w:rFonts w:hint="eastAsia" w:ascii="宋体" w:hAnsi="宋体" w:eastAsia="宋体" w:cs="宋体"/>
                <w:b w:val="0"/>
                <w:bCs w:val="0"/>
                <w:i w:val="0"/>
                <w:iCs w:val="0"/>
                <w:caps w:val="0"/>
                <w:color w:val="05073B"/>
                <w:spacing w:val="0"/>
                <w:sz w:val="24"/>
                <w:szCs w:val="24"/>
                <w:highlight w:val="none"/>
                <w:shd w:val="clear" w:color="auto" w:fill="FDFDFE"/>
                <w:lang w:val="en-US" w:eastAsia="zh-CN"/>
              </w:rPr>
              <w:t>路演上市安排；</w:t>
            </w:r>
          </w:p>
          <w:p w14:paraId="4B646850">
            <w:pPr>
              <w:snapToGrid w:val="0"/>
              <w:spacing w:line="360" w:lineRule="auto"/>
              <w:rPr>
                <w:rFonts w:hint="eastAsia" w:ascii="宋体" w:hAnsi="宋体" w:eastAsia="宋体" w:cs="宋体"/>
                <w:b w:val="0"/>
                <w:bCs w:val="0"/>
                <w:i w:val="0"/>
                <w:iCs w:val="0"/>
                <w:caps w:val="0"/>
                <w:color w:val="05073B"/>
                <w:spacing w:val="0"/>
                <w:sz w:val="24"/>
                <w:szCs w:val="24"/>
                <w:highlight w:val="none"/>
                <w:shd w:val="clear" w:color="auto" w:fill="FDFDFE"/>
                <w:lang w:val="en-US" w:eastAsia="zh-CN"/>
              </w:rPr>
            </w:pPr>
            <w:r>
              <w:rPr>
                <w:rFonts w:hint="eastAsia" w:ascii="宋体" w:hAnsi="宋体" w:cs="宋体"/>
                <w:b w:val="0"/>
                <w:bCs w:val="0"/>
                <w:i w:val="0"/>
                <w:iCs w:val="0"/>
                <w:caps w:val="0"/>
                <w:color w:val="05073B"/>
                <w:spacing w:val="0"/>
                <w:sz w:val="24"/>
                <w:szCs w:val="24"/>
                <w:highlight w:val="none"/>
                <w:shd w:val="clear" w:color="auto" w:fill="FDFDFE"/>
                <w:lang w:val="en-US" w:eastAsia="zh-CN"/>
              </w:rPr>
              <w:t>（6）</w:t>
            </w:r>
            <w:r>
              <w:rPr>
                <w:rFonts w:hint="eastAsia" w:ascii="宋体" w:hAnsi="宋体" w:eastAsia="宋体" w:cs="宋体"/>
                <w:b w:val="0"/>
                <w:bCs w:val="0"/>
                <w:i w:val="0"/>
                <w:iCs w:val="0"/>
                <w:caps w:val="0"/>
                <w:color w:val="05073B"/>
                <w:spacing w:val="0"/>
                <w:sz w:val="24"/>
                <w:szCs w:val="24"/>
                <w:highlight w:val="none"/>
                <w:shd w:val="clear" w:color="auto" w:fill="FDFDFE"/>
                <w:lang w:val="en-US" w:eastAsia="zh-CN"/>
              </w:rPr>
              <w:t>汇率管理方案；</w:t>
            </w:r>
          </w:p>
          <w:p w14:paraId="24E3E077">
            <w:pPr>
              <w:snapToGrid w:val="0"/>
              <w:spacing w:line="360" w:lineRule="auto"/>
              <w:rPr>
                <w:rFonts w:hint="eastAsia" w:ascii="宋体" w:hAnsi="宋体" w:eastAsia="宋体" w:cs="宋体"/>
                <w:b w:val="0"/>
                <w:bCs w:val="0"/>
                <w:i w:val="0"/>
                <w:iCs w:val="0"/>
                <w:caps w:val="0"/>
                <w:color w:val="05073B"/>
                <w:spacing w:val="0"/>
                <w:sz w:val="24"/>
                <w:szCs w:val="24"/>
                <w:highlight w:val="none"/>
                <w:shd w:val="clear" w:color="auto" w:fill="FDFDFE"/>
                <w:lang w:val="en-US" w:eastAsia="zh-CN"/>
              </w:rPr>
            </w:pPr>
            <w:r>
              <w:rPr>
                <w:rFonts w:hint="eastAsia" w:ascii="宋体" w:hAnsi="宋体" w:cs="宋体"/>
                <w:b w:val="0"/>
                <w:bCs w:val="0"/>
                <w:i w:val="0"/>
                <w:iCs w:val="0"/>
                <w:caps w:val="0"/>
                <w:color w:val="05073B"/>
                <w:spacing w:val="0"/>
                <w:sz w:val="24"/>
                <w:szCs w:val="24"/>
                <w:highlight w:val="none"/>
                <w:shd w:val="clear" w:color="auto" w:fill="FDFDFE"/>
                <w:lang w:val="en-US" w:eastAsia="zh-CN"/>
              </w:rPr>
              <w:t>（7）</w:t>
            </w:r>
            <w:r>
              <w:rPr>
                <w:rFonts w:hint="eastAsia" w:ascii="宋体" w:hAnsi="宋体" w:eastAsia="宋体" w:cs="宋体"/>
                <w:b w:val="0"/>
                <w:bCs w:val="0"/>
                <w:i w:val="0"/>
                <w:iCs w:val="0"/>
                <w:caps w:val="0"/>
                <w:color w:val="05073B"/>
                <w:spacing w:val="0"/>
                <w:sz w:val="24"/>
                <w:szCs w:val="24"/>
                <w:highlight w:val="none"/>
                <w:shd w:val="clear" w:color="auto" w:fill="FDFDFE"/>
                <w:lang w:val="en-US" w:eastAsia="zh-CN"/>
              </w:rPr>
              <w:t>后续服务安排及承诺</w:t>
            </w:r>
          </w:p>
          <w:p w14:paraId="73F5D9ED">
            <w:pPr>
              <w:pStyle w:val="2"/>
              <w:rPr>
                <w:rFonts w:hint="default"/>
                <w:b w:val="0"/>
                <w:bCs w:val="0"/>
                <w:lang w:val="en-US" w:eastAsia="zh-CN"/>
              </w:rPr>
            </w:pPr>
            <w:r>
              <w:rPr>
                <w:rFonts w:hint="eastAsia" w:hAnsi="宋体" w:cs="宋体"/>
                <w:b w:val="0"/>
                <w:bCs w:val="0"/>
                <w:i w:val="0"/>
                <w:iCs w:val="0"/>
                <w:caps w:val="0"/>
                <w:color w:val="05073B"/>
                <w:spacing w:val="0"/>
                <w:sz w:val="24"/>
                <w:szCs w:val="24"/>
                <w:highlight w:val="none"/>
                <w:shd w:val="clear" w:color="auto" w:fill="FDFDFE"/>
                <w:lang w:val="en-US" w:eastAsia="zh-CN"/>
              </w:rPr>
              <w:t>（8）项目团队安排</w:t>
            </w:r>
          </w:p>
          <w:p w14:paraId="35C6E0A4">
            <w:pPr>
              <w:snapToGrid w:val="0"/>
              <w:spacing w:line="360" w:lineRule="auto"/>
              <w:rPr>
                <w:rFonts w:hint="default" w:ascii="宋体" w:hAnsi="宋体" w:eastAsia="宋体" w:cs="宋体"/>
                <w:b w:val="0"/>
                <w:bCs w:val="0"/>
                <w:i w:val="0"/>
                <w:iCs w:val="0"/>
                <w:caps w:val="0"/>
                <w:color w:val="05073B"/>
                <w:spacing w:val="0"/>
                <w:sz w:val="24"/>
                <w:szCs w:val="24"/>
                <w:highlight w:val="none"/>
                <w:shd w:val="clear" w:color="auto" w:fill="FDFDFE"/>
                <w:lang w:val="en-US" w:eastAsia="zh-CN"/>
              </w:rPr>
            </w:pPr>
            <w:r>
              <w:rPr>
                <w:rFonts w:hint="eastAsia" w:ascii="宋体" w:hAnsi="宋体" w:cs="宋体"/>
                <w:b w:val="0"/>
                <w:bCs w:val="0"/>
                <w:i w:val="0"/>
                <w:iCs w:val="0"/>
                <w:caps w:val="0"/>
                <w:color w:val="05073B"/>
                <w:spacing w:val="0"/>
                <w:sz w:val="24"/>
                <w:szCs w:val="24"/>
                <w:highlight w:val="none"/>
                <w:shd w:val="clear" w:color="auto" w:fill="FDFDFE"/>
                <w:lang w:val="en-US" w:eastAsia="zh-CN"/>
              </w:rPr>
              <w:t>以上每提供1项得3分，最高24分</w:t>
            </w:r>
          </w:p>
          <w:p w14:paraId="7892B5F5">
            <w:pPr>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05073B"/>
                <w:spacing w:val="0"/>
                <w:sz w:val="24"/>
                <w:szCs w:val="24"/>
                <w:highlight w:val="none"/>
                <w:shd w:val="clear" w:color="auto" w:fill="FDFDFE"/>
                <w:lang w:val="en-US" w:eastAsia="zh-CN"/>
              </w:rPr>
              <w:t>评审依据：提供方案加盖投标人公章。</w:t>
            </w:r>
          </w:p>
        </w:tc>
        <w:tc>
          <w:tcPr>
            <w:tcW w:w="50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A87ADA0">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lang w:val="en-US" w:eastAsia="zh-CN"/>
              </w:rPr>
              <w:t>分</w:t>
            </w:r>
          </w:p>
        </w:tc>
      </w:tr>
      <w:tr w14:paraId="652AD5FC">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vMerge w:val="restart"/>
            <w:tcBorders>
              <w:top w:val="single" w:color="000000" w:sz="4" w:space="0"/>
              <w:left w:val="single" w:color="000000" w:sz="4" w:space="0"/>
              <w:right w:val="single" w:color="000000" w:sz="4" w:space="0"/>
              <w:tl2br w:val="nil"/>
              <w:tr2bl w:val="nil"/>
            </w:tcBorders>
            <w:noWrap w:val="0"/>
            <w:vAlign w:val="center"/>
          </w:tcPr>
          <w:p w14:paraId="2EE098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商务评分</w:t>
            </w:r>
          </w:p>
          <w:p w14:paraId="52B2697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分）</w:t>
            </w:r>
          </w:p>
        </w:tc>
        <w:tc>
          <w:tcPr>
            <w:tcW w:w="3851" w:type="pct"/>
            <w:gridSpan w:val="2"/>
            <w:tcBorders>
              <w:left w:val="single" w:color="000000" w:sz="4" w:space="0"/>
              <w:bottom w:val="single" w:color="000000" w:sz="4" w:space="0"/>
              <w:tl2br w:val="nil"/>
              <w:tr2bl w:val="nil"/>
            </w:tcBorders>
            <w:noWrap w:val="0"/>
            <w:vAlign w:val="center"/>
          </w:tcPr>
          <w:p w14:paraId="2C8E8E36">
            <w:pPr>
              <w:spacing w:line="360" w:lineRule="auto"/>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投标人全部</w:t>
            </w:r>
            <w:r>
              <w:rPr>
                <w:rFonts w:hint="eastAsia" w:ascii="宋体" w:hAnsi="宋体" w:eastAsia="宋体" w:cs="宋体"/>
                <w:sz w:val="24"/>
                <w:szCs w:val="24"/>
                <w:highlight w:val="none"/>
              </w:rPr>
              <w:t>满足</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第</w:t>
            </w:r>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rPr>
              <w:t>章</w:t>
            </w:r>
            <w:r>
              <w:rPr>
                <w:rFonts w:hint="eastAsia" w:ascii="宋体" w:hAnsi="宋体" w:eastAsia="宋体" w:cs="宋体"/>
                <w:b/>
                <w:bCs/>
                <w:sz w:val="24"/>
                <w:szCs w:val="24"/>
                <w:highlight w:val="none"/>
                <w:lang w:val="en-US" w:eastAsia="zh-CN"/>
              </w:rPr>
              <w:t xml:space="preserve"> </w:t>
            </w:r>
            <w:r>
              <w:rPr>
                <w:rFonts w:hint="eastAsia" w:ascii="宋体" w:hAnsi="宋体" w:cs="宋体"/>
                <w:b/>
                <w:bCs/>
                <w:sz w:val="24"/>
                <w:szCs w:val="24"/>
                <w:highlight w:val="none"/>
                <w:lang w:eastAsia="zh-CN"/>
              </w:rPr>
              <w:t>服务内容</w:t>
            </w:r>
            <w:r>
              <w:rPr>
                <w:rFonts w:hint="eastAsia" w:ascii="宋体" w:hAnsi="宋体" w:eastAsia="宋体" w:cs="宋体"/>
                <w:b/>
                <w:bCs/>
                <w:sz w:val="24"/>
                <w:szCs w:val="24"/>
                <w:highlight w:val="none"/>
              </w:rPr>
              <w:t>及商务条款</w:t>
            </w:r>
            <w:r>
              <w:rPr>
                <w:rFonts w:hint="eastAsia" w:ascii="宋体" w:hAnsi="宋体" w:eastAsia="宋体" w:cs="宋体"/>
                <w:b/>
                <w:bCs/>
                <w:sz w:val="24"/>
                <w:szCs w:val="24"/>
                <w:highlight w:val="none"/>
                <w:lang w:val="en-US" w:eastAsia="zh-CN"/>
              </w:rPr>
              <w:t xml:space="preserve"> </w:t>
            </w:r>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商务条款</w:t>
            </w: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的得7分</w:t>
            </w:r>
            <w:r>
              <w:rPr>
                <w:rFonts w:hint="eastAsia" w:ascii="宋体" w:hAnsi="宋体" w:eastAsia="宋体" w:cs="宋体"/>
                <w:sz w:val="24"/>
                <w:szCs w:val="24"/>
                <w:highlight w:val="none"/>
              </w:rPr>
              <w:t>，</w:t>
            </w:r>
            <w:r>
              <w:rPr>
                <w:rFonts w:hint="eastAsia" w:hAnsi="宋体" w:cs="宋体"/>
                <w:sz w:val="24"/>
                <w:szCs w:val="24"/>
                <w:highlight w:val="none"/>
                <w:lang w:val="en-US" w:eastAsia="zh-CN"/>
              </w:rPr>
              <w:t>有</w:t>
            </w:r>
            <w:r>
              <w:rPr>
                <w:rFonts w:hint="eastAsia" w:ascii="宋体" w:hAnsi="宋体" w:eastAsia="宋体" w:cs="宋体"/>
                <w:sz w:val="24"/>
                <w:szCs w:val="24"/>
                <w:highlight w:val="none"/>
              </w:rPr>
              <w:t>任意一项不满足</w:t>
            </w:r>
            <w:r>
              <w:rPr>
                <w:rFonts w:hint="eastAsia" w:ascii="宋体" w:hAnsi="宋体" w:eastAsia="宋体" w:cs="宋体"/>
                <w:sz w:val="24"/>
                <w:szCs w:val="24"/>
                <w:highlight w:val="none"/>
                <w:lang w:val="en-US" w:eastAsia="zh-CN"/>
              </w:rPr>
              <w:t>或负偏离</w:t>
            </w:r>
            <w:r>
              <w:rPr>
                <w:rFonts w:hint="eastAsia" w:ascii="宋体" w:hAnsi="宋体" w:eastAsia="宋体" w:cs="宋体"/>
                <w:sz w:val="24"/>
                <w:szCs w:val="24"/>
                <w:highlight w:val="none"/>
              </w:rPr>
              <w:t>的作无效</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处理。</w:t>
            </w:r>
          </w:p>
          <w:p w14:paraId="0FABCFA3">
            <w:pPr>
              <w:spacing w:line="360" w:lineRule="auto"/>
              <w:jc w:val="left"/>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评审</w:t>
            </w:r>
            <w:r>
              <w:rPr>
                <w:rFonts w:hint="eastAsia" w:ascii="宋体" w:hAnsi="宋体" w:eastAsia="宋体" w:cs="宋体"/>
                <w:b/>
                <w:bCs/>
                <w:sz w:val="24"/>
                <w:szCs w:val="24"/>
                <w:highlight w:val="none"/>
              </w:rPr>
              <w:t>依据：</w:t>
            </w:r>
            <w:r>
              <w:rPr>
                <w:rFonts w:hint="eastAsia" w:ascii="宋体" w:hAnsi="宋体" w:cs="宋体"/>
                <w:b/>
                <w:bCs/>
                <w:sz w:val="24"/>
                <w:szCs w:val="24"/>
                <w:highlight w:val="none"/>
                <w:lang w:val="en-US" w:eastAsia="zh-CN"/>
              </w:rPr>
              <w:t>投标文件中提供</w:t>
            </w:r>
            <w:r>
              <w:rPr>
                <w:rFonts w:hint="eastAsia" w:ascii="宋体" w:hAnsi="宋体" w:eastAsia="宋体" w:cs="宋体"/>
                <w:b/>
                <w:bCs/>
                <w:sz w:val="24"/>
                <w:szCs w:val="24"/>
                <w:highlight w:val="none"/>
              </w:rPr>
              <w:t>商务条款响应/偏离表</w:t>
            </w:r>
            <w:r>
              <w:rPr>
                <w:rFonts w:hint="eastAsia" w:ascii="宋体" w:hAnsi="宋体" w:eastAsia="宋体" w:cs="宋体"/>
                <w:b/>
                <w:bCs/>
                <w:sz w:val="24"/>
                <w:szCs w:val="24"/>
                <w:highlight w:val="none"/>
                <w:lang w:eastAsia="zh-CN"/>
              </w:rPr>
              <w:t>。</w:t>
            </w:r>
            <w:r>
              <w:rPr>
                <w:rFonts w:hint="default" w:ascii="宋体" w:hAnsi="宋体" w:eastAsia="宋体" w:cs="宋体"/>
                <w:b/>
                <w:bCs/>
                <w:color w:val="auto"/>
                <w:sz w:val="24"/>
                <w:szCs w:val="24"/>
                <w:highlight w:val="none"/>
                <w:lang w:val="en-US" w:eastAsia="zh-CN"/>
              </w:rPr>
              <w:t>文件另有约定的从其约定。</w:t>
            </w:r>
          </w:p>
        </w:tc>
        <w:tc>
          <w:tcPr>
            <w:tcW w:w="504" w:type="pct"/>
            <w:gridSpan w:val="2"/>
            <w:tcBorders>
              <w:left w:val="single" w:color="auto" w:sz="4" w:space="0"/>
              <w:bottom w:val="single" w:color="000000" w:sz="4" w:space="0"/>
              <w:tl2br w:val="nil"/>
              <w:tr2bl w:val="nil"/>
            </w:tcBorders>
            <w:noWrap w:val="0"/>
            <w:vAlign w:val="center"/>
          </w:tcPr>
          <w:p w14:paraId="622A9E57">
            <w:pPr>
              <w:spacing w:line="360" w:lineRule="auto"/>
              <w:jc w:val="left"/>
              <w:rPr>
                <w:rFonts w:hint="default" w:ascii="宋体" w:hAnsi="宋体" w:eastAsia="宋体" w:cs="宋体"/>
                <w:b/>
                <w:bCs/>
                <w:sz w:val="24"/>
                <w:szCs w:val="24"/>
                <w:highlight w:val="none"/>
                <w:lang w:val="en-US" w:eastAsia="zh-CN"/>
              </w:rPr>
            </w:pPr>
            <w:r>
              <w:rPr>
                <w:rFonts w:hint="eastAsia" w:ascii="宋体" w:hAnsi="宋体" w:cs="宋体"/>
                <w:b w:val="0"/>
                <w:bCs w:val="0"/>
                <w:sz w:val="24"/>
                <w:szCs w:val="24"/>
                <w:highlight w:val="none"/>
                <w:lang w:val="en-US" w:eastAsia="zh-CN"/>
              </w:rPr>
              <w:t>7分</w:t>
            </w:r>
          </w:p>
        </w:tc>
      </w:tr>
      <w:tr w14:paraId="34F07663">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44" w:type="pct"/>
            <w:vMerge w:val="continue"/>
            <w:tcBorders>
              <w:left w:val="single" w:color="000000" w:sz="4" w:space="0"/>
              <w:right w:val="single" w:color="000000" w:sz="4" w:space="0"/>
              <w:tl2br w:val="nil"/>
              <w:tr2bl w:val="nil"/>
            </w:tcBorders>
            <w:noWrap w:val="0"/>
            <w:vAlign w:val="center"/>
          </w:tcPr>
          <w:p w14:paraId="3E85AFB5">
            <w:pPr>
              <w:spacing w:line="360" w:lineRule="auto"/>
              <w:rPr>
                <w:rFonts w:hint="eastAsia" w:ascii="宋体" w:hAnsi="宋体" w:eastAsia="宋体" w:cs="宋体"/>
                <w:sz w:val="24"/>
                <w:szCs w:val="24"/>
                <w:highlight w:val="none"/>
              </w:rPr>
            </w:pPr>
          </w:p>
        </w:tc>
        <w:tc>
          <w:tcPr>
            <w:tcW w:w="633" w:type="pct"/>
            <w:tcBorders>
              <w:top w:val="single" w:color="000000" w:sz="4" w:space="0"/>
              <w:left w:val="single" w:color="000000" w:sz="4" w:space="0"/>
              <w:tl2br w:val="nil"/>
              <w:tr2bl w:val="nil"/>
            </w:tcBorders>
            <w:noWrap w:val="0"/>
            <w:vAlign w:val="center"/>
          </w:tcPr>
          <w:p w14:paraId="00B16FA1">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业绩</w:t>
            </w:r>
          </w:p>
        </w:tc>
        <w:tc>
          <w:tcPr>
            <w:tcW w:w="3218" w:type="pct"/>
            <w:tcBorders>
              <w:top w:val="single" w:color="000000" w:sz="4" w:space="0"/>
              <w:left w:val="single" w:color="000000" w:sz="4" w:space="0"/>
              <w:tl2br w:val="nil"/>
              <w:tr2bl w:val="nil"/>
            </w:tcBorders>
            <w:noWrap w:val="0"/>
            <w:vAlign w:val="top"/>
          </w:tcPr>
          <w:p w14:paraId="3AF5EC42">
            <w:pPr>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投标人自</w:t>
            </w:r>
            <w:r>
              <w:rPr>
                <w:rFonts w:hint="eastAsia" w:ascii="宋体" w:hAnsi="宋体" w:eastAsia="宋体" w:cs="宋体"/>
                <w:color w:val="auto"/>
                <w:sz w:val="24"/>
                <w:szCs w:val="24"/>
                <w:highlight w:val="none"/>
                <w:lang w:val="en-US" w:eastAsia="zh-CN"/>
              </w:rPr>
              <w:t>2021年1月1日</w:t>
            </w:r>
            <w:r>
              <w:rPr>
                <w:rFonts w:hint="eastAsia" w:ascii="宋体" w:hAnsi="宋体" w:cs="宋体"/>
                <w:color w:val="auto"/>
                <w:sz w:val="24"/>
                <w:szCs w:val="24"/>
                <w:highlight w:val="none"/>
                <w:lang w:val="en-US" w:eastAsia="zh-CN"/>
              </w:rPr>
              <w:t>起至开标截止日前</w:t>
            </w:r>
            <w:r>
              <w:rPr>
                <w:rFonts w:hint="eastAsia" w:ascii="宋体" w:hAnsi="宋体" w:eastAsia="宋体" w:cs="宋体"/>
                <w:color w:val="auto"/>
                <w:sz w:val="24"/>
                <w:szCs w:val="24"/>
                <w:highlight w:val="none"/>
                <w:lang w:val="en-US" w:eastAsia="zh-CN"/>
              </w:rPr>
              <w:t>，投标人作为全球协调人参与中资境外债发行</w:t>
            </w:r>
            <w:r>
              <w:rPr>
                <w:rFonts w:hint="eastAsia" w:ascii="宋体" w:hAnsi="宋体" w:cs="宋体"/>
                <w:color w:val="auto"/>
                <w:sz w:val="24"/>
                <w:szCs w:val="24"/>
                <w:highlight w:val="none"/>
                <w:lang w:val="en-US" w:eastAsia="zh-CN"/>
              </w:rPr>
              <w:t>单</w:t>
            </w:r>
            <w:r>
              <w:rPr>
                <w:rFonts w:hint="eastAsia" w:ascii="宋体" w:hAnsi="宋体" w:eastAsia="宋体" w:cs="宋体"/>
                <w:color w:val="auto"/>
                <w:sz w:val="24"/>
                <w:szCs w:val="24"/>
                <w:highlight w:val="none"/>
                <w:lang w:val="en-US" w:eastAsia="zh-CN"/>
              </w:rPr>
              <w:t>数：发行</w:t>
            </w:r>
            <w:r>
              <w:rPr>
                <w:rFonts w:hint="eastAsia" w:ascii="宋体" w:hAnsi="宋体" w:cs="宋体"/>
                <w:color w:val="auto"/>
                <w:sz w:val="24"/>
                <w:szCs w:val="24"/>
                <w:highlight w:val="none"/>
                <w:lang w:val="en-US" w:eastAsia="zh-CN"/>
              </w:rPr>
              <w:t>单</w:t>
            </w:r>
            <w:r>
              <w:rPr>
                <w:rFonts w:hint="eastAsia" w:ascii="宋体" w:hAnsi="宋体" w:eastAsia="宋体" w:cs="宋体"/>
                <w:color w:val="auto"/>
                <w:sz w:val="24"/>
                <w:szCs w:val="24"/>
                <w:highlight w:val="none"/>
                <w:lang w:val="en-US" w:eastAsia="zh-CN"/>
              </w:rPr>
              <w:t>数≥</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单</w:t>
            </w:r>
            <w:r>
              <w:rPr>
                <w:rFonts w:hint="eastAsia" w:ascii="宋体" w:hAnsi="宋体" w:eastAsia="宋体" w:cs="宋体"/>
                <w:color w:val="auto"/>
                <w:sz w:val="24"/>
                <w:szCs w:val="24"/>
                <w:highlight w:val="none"/>
                <w:lang w:val="en-US" w:eastAsia="zh-CN"/>
              </w:rPr>
              <w:t xml:space="preserve">得 </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分，发行</w:t>
            </w:r>
            <w:r>
              <w:rPr>
                <w:rFonts w:hint="eastAsia" w:ascii="宋体" w:hAnsi="宋体" w:cs="宋体"/>
                <w:color w:val="auto"/>
                <w:sz w:val="24"/>
                <w:szCs w:val="24"/>
                <w:highlight w:val="none"/>
                <w:lang w:val="en-US" w:eastAsia="zh-CN"/>
              </w:rPr>
              <w:t>单</w:t>
            </w:r>
            <w:r>
              <w:rPr>
                <w:rFonts w:hint="eastAsia" w:ascii="宋体" w:hAnsi="宋体" w:eastAsia="宋体" w:cs="宋体"/>
                <w:color w:val="auto"/>
                <w:sz w:val="24"/>
                <w:szCs w:val="24"/>
                <w:highlight w:val="none"/>
                <w:lang w:val="en-US" w:eastAsia="zh-CN"/>
              </w:rPr>
              <w:t>数在</w:t>
            </w:r>
            <w:r>
              <w:rPr>
                <w:rFonts w:hint="eastAsia" w:ascii="宋体" w:hAnsi="宋体" w:cs="宋体"/>
                <w:color w:val="auto"/>
                <w:sz w:val="24"/>
                <w:szCs w:val="24"/>
                <w:highlight w:val="none"/>
                <w:lang w:val="en-US" w:eastAsia="zh-CN"/>
              </w:rPr>
              <w:t>10单以下</w:t>
            </w:r>
            <w:r>
              <w:rPr>
                <w:rFonts w:hint="eastAsia" w:ascii="宋体" w:hAnsi="宋体" w:eastAsia="宋体" w:cs="宋体"/>
                <w:color w:val="auto"/>
                <w:sz w:val="24"/>
                <w:szCs w:val="24"/>
                <w:highlight w:val="none"/>
                <w:lang w:val="en-US" w:eastAsia="zh-CN"/>
              </w:rPr>
              <w:t>得4分。</w:t>
            </w:r>
          </w:p>
          <w:p w14:paraId="37209BE2">
            <w:pPr>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评审依据</w:t>
            </w:r>
            <w:r>
              <w:rPr>
                <w:rFonts w:hint="eastAsia" w:ascii="宋体" w:hAnsi="宋体" w:eastAsia="宋体" w:cs="宋体"/>
                <w:b/>
                <w:bCs/>
                <w:color w:val="auto"/>
                <w:sz w:val="24"/>
                <w:szCs w:val="24"/>
                <w:highlight w:val="none"/>
                <w:lang w:val="en-US" w:eastAsia="zh-CN"/>
              </w:rPr>
              <w:t>：提供承销</w:t>
            </w:r>
            <w:r>
              <w:rPr>
                <w:rFonts w:hint="eastAsia" w:ascii="宋体" w:hAnsi="宋体" w:cs="宋体"/>
                <w:b/>
                <w:bCs/>
                <w:color w:val="auto"/>
                <w:sz w:val="24"/>
                <w:szCs w:val="24"/>
                <w:highlight w:val="none"/>
                <w:lang w:val="en-US" w:eastAsia="zh-CN"/>
              </w:rPr>
              <w:t>业绩</w:t>
            </w:r>
            <w:r>
              <w:rPr>
                <w:rFonts w:hint="eastAsia" w:ascii="宋体" w:hAnsi="宋体" w:eastAsia="宋体" w:cs="宋体"/>
                <w:b/>
                <w:bCs/>
                <w:color w:val="auto"/>
                <w:sz w:val="24"/>
                <w:szCs w:val="24"/>
                <w:highlight w:val="none"/>
                <w:lang w:val="en-US" w:eastAsia="zh-CN"/>
              </w:rPr>
              <w:t>汇总清单和</w:t>
            </w:r>
            <w:r>
              <w:rPr>
                <w:rFonts w:hint="eastAsia" w:ascii="宋体" w:hAnsi="宋体" w:cs="宋体"/>
                <w:b/>
                <w:bCs/>
                <w:color w:val="auto"/>
                <w:sz w:val="24"/>
                <w:szCs w:val="24"/>
                <w:highlight w:val="none"/>
                <w:lang w:val="en-US" w:eastAsia="zh-CN"/>
              </w:rPr>
              <w:t>承销协议</w:t>
            </w:r>
            <w:r>
              <w:rPr>
                <w:rFonts w:hint="eastAsia" w:ascii="宋体" w:hAnsi="宋体" w:eastAsia="宋体" w:cs="宋体"/>
                <w:b/>
                <w:bCs/>
                <w:color w:val="auto"/>
                <w:sz w:val="24"/>
                <w:szCs w:val="24"/>
                <w:highlight w:val="none"/>
                <w:lang w:val="en-US" w:eastAsia="zh-CN"/>
              </w:rPr>
              <w:t>并加盖投标人公章。</w:t>
            </w:r>
          </w:p>
        </w:tc>
        <w:tc>
          <w:tcPr>
            <w:tcW w:w="504" w:type="pct"/>
            <w:gridSpan w:val="2"/>
            <w:tcBorders>
              <w:top w:val="single" w:color="000000" w:sz="4" w:space="0"/>
              <w:tl2br w:val="nil"/>
              <w:tr2bl w:val="nil"/>
            </w:tcBorders>
            <w:noWrap w:val="0"/>
            <w:vAlign w:val="center"/>
          </w:tcPr>
          <w:p w14:paraId="61B3A6D6">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8分</w:t>
            </w:r>
          </w:p>
        </w:tc>
      </w:tr>
      <w:tr w14:paraId="38C5626D">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4" w:type="pct"/>
            <w:vMerge w:val="continue"/>
            <w:tcBorders>
              <w:left w:val="single" w:color="000000" w:sz="4" w:space="0"/>
              <w:bottom w:val="single" w:color="000000" w:sz="4" w:space="0"/>
              <w:right w:val="single" w:color="000000" w:sz="4" w:space="0"/>
              <w:tl2br w:val="nil"/>
              <w:tr2bl w:val="nil"/>
            </w:tcBorders>
            <w:noWrap w:val="0"/>
            <w:vAlign w:val="center"/>
          </w:tcPr>
          <w:p w14:paraId="348D60EC">
            <w:pPr>
              <w:spacing w:line="360" w:lineRule="auto"/>
              <w:rPr>
                <w:rFonts w:hint="eastAsia" w:ascii="宋体" w:hAnsi="宋体" w:eastAsia="宋体" w:cs="宋体"/>
                <w:sz w:val="24"/>
                <w:szCs w:val="24"/>
                <w:highlight w:val="none"/>
              </w:rPr>
            </w:pPr>
          </w:p>
        </w:tc>
        <w:tc>
          <w:tcPr>
            <w:tcW w:w="633" w:type="pct"/>
            <w:tcBorders>
              <w:left w:val="single" w:color="000000" w:sz="4" w:space="0"/>
              <w:bottom w:val="single" w:color="000000" w:sz="4" w:space="0"/>
              <w:tl2br w:val="nil"/>
              <w:tr2bl w:val="nil"/>
            </w:tcBorders>
            <w:noWrap w:val="0"/>
            <w:vAlign w:val="center"/>
          </w:tcPr>
          <w:p w14:paraId="4BBB0F55">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服务响应</w:t>
            </w:r>
          </w:p>
        </w:tc>
        <w:tc>
          <w:tcPr>
            <w:tcW w:w="3218" w:type="pct"/>
            <w:tcBorders>
              <w:left w:val="single" w:color="000000" w:sz="4" w:space="0"/>
              <w:bottom w:val="single" w:color="000000" w:sz="4" w:space="0"/>
              <w:tl2br w:val="nil"/>
              <w:tr2bl w:val="nil"/>
            </w:tcBorders>
            <w:noWrap w:val="0"/>
            <w:vAlign w:val="top"/>
          </w:tcPr>
          <w:p w14:paraId="001842C4">
            <w:pPr>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投标人能够安排专职人员驻场</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的得5分。</w:t>
            </w:r>
          </w:p>
          <w:p w14:paraId="08E8B65E">
            <w:pPr>
              <w:snapToGrid w:val="0"/>
              <w:spacing w:line="360" w:lineRule="auto"/>
              <w:jc w:val="left"/>
              <w:rPr>
                <w:rFonts w:hint="default"/>
                <w:lang w:val="en-US" w:eastAsia="zh-CN"/>
              </w:rPr>
            </w:pPr>
            <w:r>
              <w:rPr>
                <w:rFonts w:hint="eastAsia" w:ascii="宋体" w:hAnsi="宋体" w:eastAsia="宋体" w:cs="宋体"/>
                <w:color w:val="auto"/>
                <w:sz w:val="24"/>
                <w:szCs w:val="24"/>
                <w:highlight w:val="none"/>
                <w:lang w:val="en-US" w:eastAsia="zh-CN"/>
              </w:rPr>
              <w:t>评审依据：</w:t>
            </w:r>
            <w:r>
              <w:rPr>
                <w:rFonts w:hint="eastAsia" w:ascii="宋体" w:hAnsi="宋体" w:cs="宋体"/>
                <w:color w:val="auto"/>
                <w:sz w:val="24"/>
                <w:szCs w:val="24"/>
                <w:highlight w:val="none"/>
                <w:lang w:val="en-US" w:eastAsia="zh-CN"/>
              </w:rPr>
              <w:t>提供承诺书加盖投标人公章</w:t>
            </w:r>
          </w:p>
        </w:tc>
        <w:tc>
          <w:tcPr>
            <w:tcW w:w="504" w:type="pct"/>
            <w:gridSpan w:val="2"/>
            <w:tcBorders>
              <w:bottom w:val="single" w:color="000000" w:sz="4" w:space="0"/>
              <w:tl2br w:val="nil"/>
              <w:tr2bl w:val="nil"/>
            </w:tcBorders>
            <w:noWrap w:val="0"/>
            <w:vAlign w:val="center"/>
          </w:tcPr>
          <w:p w14:paraId="0AAC5104">
            <w:pPr>
              <w:spacing w:line="36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5分</w:t>
            </w:r>
          </w:p>
        </w:tc>
      </w:tr>
    </w:tbl>
    <w:p w14:paraId="60777B72">
      <w:pPr>
        <w:pStyle w:val="2"/>
        <w:snapToGrid w:val="0"/>
        <w:spacing w:line="336" w:lineRule="auto"/>
        <w:jc w:val="left"/>
        <w:rPr>
          <w:rFonts w:hint="eastAsia" w:ascii="宋体" w:hAnsi="宋体" w:eastAsia="宋体" w:cs="宋体"/>
          <w:b w:val="0"/>
          <w:bCs w:val="0"/>
          <w:sz w:val="24"/>
          <w:highlight w:val="none"/>
          <w:lang w:val="en-US" w:eastAsia="zh-CN"/>
        </w:rPr>
      </w:pPr>
    </w:p>
    <w:p w14:paraId="25902E75">
      <w:pPr>
        <w:bidi w:val="0"/>
        <w:rPr>
          <w:rFonts w:hint="eastAsia"/>
          <w:b/>
          <w:bCs/>
          <w:sz w:val="28"/>
          <w:szCs w:val="36"/>
          <w:lang w:val="en-US" w:eastAsia="zh-CN"/>
        </w:rPr>
      </w:pPr>
    </w:p>
    <w:sectPr>
      <w:footerReference r:id="rId3" w:type="default"/>
      <w:pgSz w:w="11907" w:h="16839"/>
      <w:pgMar w:top="1440" w:right="1080" w:bottom="1440" w:left="1080" w:header="851" w:footer="992" w:gutter="0"/>
      <w:pgNumType w:fmt="decimal"/>
      <w:cols w:space="0" w:num="1"/>
      <w:rtlGutter w:val="0"/>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C90C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55CB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E55CB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CF5E98"/>
    <w:multiLevelType w:val="singleLevel"/>
    <w:tmpl w:val="75CF5E9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MGVlZjQ1ZTYyMWE0Y2JlZTVjMGJmM2ZiZmU0NTYifQ=="/>
  </w:docVars>
  <w:rsids>
    <w:rsidRoot w:val="30E824F1"/>
    <w:rsid w:val="0B6F575C"/>
    <w:rsid w:val="0C88739E"/>
    <w:rsid w:val="0D336E17"/>
    <w:rsid w:val="11CB2654"/>
    <w:rsid w:val="141A1E64"/>
    <w:rsid w:val="1732540E"/>
    <w:rsid w:val="18D00C4D"/>
    <w:rsid w:val="1D644781"/>
    <w:rsid w:val="1D6C7183"/>
    <w:rsid w:val="25B55AFD"/>
    <w:rsid w:val="30E824F1"/>
    <w:rsid w:val="33746867"/>
    <w:rsid w:val="3AA1555E"/>
    <w:rsid w:val="43340CAB"/>
    <w:rsid w:val="454E0805"/>
    <w:rsid w:val="64AE7377"/>
    <w:rsid w:val="76714C4F"/>
    <w:rsid w:val="7C464664"/>
    <w:rsid w:val="7D5B7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Cs w:val="21"/>
    </w:rPr>
  </w:style>
  <w:style w:type="paragraph" w:styleId="6">
    <w:name w:val="Normal Indent"/>
    <w:basedOn w:val="1"/>
    <w:qFormat/>
    <w:uiPriority w:val="0"/>
    <w:pPr>
      <w:spacing w:beforeLines="25" w:afterLines="25" w:line="360" w:lineRule="exact"/>
      <w:jc w:val="center"/>
    </w:pPr>
    <w:rPr>
      <w:rFonts w:ascii="仿宋_GB2312" w:hAnsi="宋体" w:eastAsia="仿宋_GB2312"/>
      <w:color w:val="000000"/>
      <w:kern w:val="44"/>
      <w:sz w:val="32"/>
      <w:szCs w:val="32"/>
    </w:rPr>
  </w:style>
  <w:style w:type="paragraph" w:styleId="7">
    <w:name w:val="Body Text"/>
    <w:basedOn w:val="1"/>
    <w:qFormat/>
    <w:uiPriority w:val="0"/>
    <w:pPr>
      <w:spacing w:after="120"/>
    </w:pPr>
  </w:style>
  <w:style w:type="paragraph" w:styleId="8">
    <w:name w:val="Body Text Indent"/>
    <w:basedOn w:val="1"/>
    <w:unhideWhenUsed/>
    <w:qFormat/>
    <w:uiPriority w:val="99"/>
    <w:pPr>
      <w:spacing w:after="120"/>
      <w:ind w:left="420" w:leftChars="200"/>
    </w:p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8"/>
    <w:next w:val="13"/>
    <w:qFormat/>
    <w:uiPriority w:val="0"/>
    <w:pPr>
      <w:spacing w:after="0"/>
      <w:ind w:firstLine="420" w:firstLineChars="200"/>
    </w:pPr>
    <w:rPr>
      <w:rFonts w:hAnsi="宋体"/>
      <w:szCs w:val="22"/>
    </w:rPr>
  </w:style>
  <w:style w:type="paragraph" w:customStyle="1" w:styleId="13">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5">
    <w:name w:val="Table Grid"/>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正文缩进1"/>
    <w:basedOn w:val="1"/>
    <w:qFormat/>
    <w:uiPriority w:val="0"/>
    <w:pPr>
      <w:ind w:firstLine="420" w:firstLineChars="200"/>
    </w:pPr>
  </w:style>
  <w:style w:type="paragraph" w:customStyle="1" w:styleId="18">
    <w:name w:val="Default"/>
    <w:basedOn w:val="19"/>
    <w:qFormat/>
    <w:uiPriority w:val="0"/>
    <w:pPr>
      <w:widowControl w:val="0"/>
      <w:autoSpaceDE w:val="0"/>
      <w:autoSpaceDN w:val="0"/>
      <w:adjustRightInd w:val="0"/>
    </w:pPr>
    <w:rPr>
      <w:rFonts w:ascii="仿宋_GB2312" w:hAnsi="Times New Roman" w:eastAsia="仿宋_GB2312" w:cs="仿宋_GB2312"/>
      <w:sz w:val="24"/>
      <w:szCs w:val="24"/>
      <w:lang w:val="en-US" w:eastAsia="zh-CN" w:bidi="ar-SA"/>
    </w:rPr>
  </w:style>
  <w:style w:type="paragraph" w:customStyle="1" w:styleId="19">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0">
    <w:name w:val="Heading 6"/>
    <w:basedOn w:val="1"/>
    <w:autoRedefine/>
    <w:qFormat/>
    <w:uiPriority w:val="1"/>
    <w:pPr>
      <w:spacing w:before="14"/>
      <w:jc w:val="left"/>
      <w:outlineLvl w:val="6"/>
    </w:pPr>
    <w:rPr>
      <w:rFonts w:ascii="宋体" w:hAnsi="宋体"/>
      <w:kern w:val="0"/>
      <w:sz w:val="28"/>
      <w:szCs w:val="28"/>
      <w:lang w:eastAsia="en-US"/>
    </w:rPr>
  </w:style>
  <w:style w:type="paragraph" w:customStyle="1" w:styleId="21">
    <w:name w:val="表格文本"/>
    <w:basedOn w:val="1"/>
    <w:qFormat/>
    <w:uiPriority w:val="0"/>
    <w:pPr>
      <w:jc w:val="center"/>
    </w:pPr>
    <w:rPr>
      <w:rFonts w:ascii="宋体" w:hAnsi="宋体"/>
      <w:bCs/>
      <w:szCs w:val="21"/>
    </w:rPr>
  </w:style>
  <w:style w:type="paragraph" w:customStyle="1" w:styleId="22">
    <w:name w:val="CZG正文"/>
    <w:basedOn w:val="1"/>
    <w:qFormat/>
    <w:uiPriority w:val="0"/>
    <w:pPr>
      <w:spacing w:line="440" w:lineRule="exact"/>
    </w:pPr>
    <w:rPr>
      <w:rFonts w:ascii="幼圆" w:eastAsia="幼圆"/>
      <w:sz w:val="24"/>
      <w:szCs w:val="24"/>
    </w:rPr>
  </w:style>
  <w:style w:type="paragraph" w:customStyle="1" w:styleId="23">
    <w:name w:val="表格文字"/>
    <w:basedOn w:val="1"/>
    <w:qFormat/>
    <w:uiPriority w:val="0"/>
    <w:pPr>
      <w:spacing w:before="25" w:after="25"/>
      <w:jc w:val="left"/>
    </w:pPr>
    <w:rPr>
      <w:bCs/>
      <w:spacing w:val="10"/>
      <w:kern w:val="0"/>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msolistparagraph"/>
    <w:basedOn w:val="1"/>
    <w:qFormat/>
    <w:uiPriority w:val="0"/>
    <w:pPr>
      <w:widowControl/>
      <w:jc w:val="left"/>
    </w:pPr>
    <w:rPr>
      <w:rFonts w:ascii="宋体" w:hAnsi="宋体" w:cs="宋体"/>
      <w:kern w:val="0"/>
      <w:sz w:val="24"/>
      <w:szCs w:val="24"/>
    </w:rPr>
  </w:style>
  <w:style w:type="paragraph" w:customStyle="1" w:styleId="26">
    <w:name w:val="PlainText"/>
    <w:basedOn w:val="1"/>
    <w:qFormat/>
    <w:uiPriority w:val="0"/>
    <w:pPr>
      <w:jc w:val="both"/>
      <w:textAlignment w:val="baseline"/>
    </w:pPr>
    <w:rPr>
      <w:rFonts w:ascii="宋体" w:hAnsi="Courier New"/>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2923</Words>
  <Characters>2990</Characters>
  <Lines>0</Lines>
  <Paragraphs>0</Paragraphs>
  <TotalTime>1</TotalTime>
  <ScaleCrop>false</ScaleCrop>
  <LinksUpToDate>false</LinksUpToDate>
  <CharactersWithSpaces>3014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2024-08-29T02:02:00Z</dcterms:created>
  <dc:creator>AB</dc:creator>
  <cp:lastModifiedBy>Clytze</cp:lastModifiedBy>
  <dcterms:modified xsi:type="dcterms:W3CDTF">2024-11-11T02:04:19Z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84A38FA04B1D4C3AB303C7147D4065CC_13</vt:lpwstr>
  </property>
</Properties>
</file>