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A74C8">
      <w:pPr>
        <w:pStyle w:val="4"/>
      </w:pPr>
    </w:p>
    <w:p w14:paraId="1463EEAB"/>
    <w:p w14:paraId="6CD4E5AD">
      <w:pPr>
        <w:pStyle w:val="2"/>
      </w:pPr>
    </w:p>
    <w:p w14:paraId="1089F684">
      <w:pPr>
        <w:pStyle w:val="2"/>
      </w:pPr>
    </w:p>
    <w:p w14:paraId="580490EB">
      <w:pPr>
        <w:pStyle w:val="2"/>
      </w:pPr>
    </w:p>
    <w:p w14:paraId="3881D9F6">
      <w:pPr>
        <w:pStyle w:val="2"/>
      </w:pPr>
    </w:p>
    <w:p w14:paraId="47684328">
      <w:pPr>
        <w:pStyle w:val="2"/>
      </w:pPr>
    </w:p>
    <w:p w14:paraId="7139819F">
      <w:pPr>
        <w:snapToGrid w:val="0"/>
        <w:ind w:left="0" w:leftChars="0" w:firstLine="0" w:firstLineChars="0"/>
        <w:jc w:val="center"/>
        <w:textAlignment w:val="baseline"/>
        <w:rPr>
          <w:rFonts w:hAnsi="宋体"/>
          <w:b/>
          <w:sz w:val="84"/>
          <w:szCs w:val="84"/>
        </w:rPr>
      </w:pPr>
      <w:r>
        <w:rPr>
          <w:rFonts w:hint="eastAsia" w:hAnsi="宋体"/>
          <w:b/>
          <w:sz w:val="84"/>
          <w:szCs w:val="84"/>
        </w:rPr>
        <w:t>阳光采购</w:t>
      </w:r>
    </w:p>
    <w:p w14:paraId="6EC9A19E">
      <w:pPr>
        <w:pStyle w:val="3"/>
        <w:ind w:left="0" w:leftChars="0" w:firstLine="0" w:firstLineChars="0"/>
      </w:pPr>
    </w:p>
    <w:p w14:paraId="4E1C0DD4">
      <w:pPr>
        <w:snapToGrid w:val="0"/>
        <w:ind w:left="0" w:leftChars="0" w:firstLine="0" w:firstLineChars="0"/>
        <w:jc w:val="center"/>
        <w:textAlignment w:val="baseline"/>
        <w:rPr>
          <w:rFonts w:hAnsi="宋体"/>
          <w:b/>
          <w:sz w:val="84"/>
          <w:szCs w:val="84"/>
        </w:rPr>
      </w:pPr>
      <w:r>
        <w:rPr>
          <w:rFonts w:hint="eastAsia" w:hAnsi="宋体"/>
          <w:b/>
          <w:sz w:val="84"/>
          <w:szCs w:val="84"/>
        </w:rPr>
        <w:t>公开招标文件</w:t>
      </w:r>
    </w:p>
    <w:p w14:paraId="26BE3F9A">
      <w:pPr>
        <w:widowControl/>
        <w:snapToGrid w:val="0"/>
        <w:spacing w:line="480" w:lineRule="auto"/>
        <w:ind w:right="1139"/>
        <w:textAlignment w:val="baseline"/>
        <w:rPr>
          <w:rFonts w:ascii="黑体" w:hAnsi="黑体" w:eastAsia="黑体"/>
          <w:sz w:val="28"/>
          <w:szCs w:val="30"/>
        </w:rPr>
      </w:pPr>
    </w:p>
    <w:p w14:paraId="643817FC">
      <w:pPr>
        <w:pStyle w:val="2"/>
      </w:pPr>
    </w:p>
    <w:p w14:paraId="322B962F">
      <w:pPr>
        <w:widowControl/>
        <w:snapToGrid w:val="0"/>
        <w:spacing w:line="480" w:lineRule="auto"/>
        <w:ind w:right="1139"/>
        <w:textAlignment w:val="baseline"/>
      </w:pPr>
      <w:bookmarkStart w:id="0" w:name="_Toc22540"/>
      <w:r>
        <w:rPr>
          <w:rFonts w:hint="eastAsia" w:ascii="黑体" w:hAnsi="黑体" w:eastAsia="黑体"/>
          <w:sz w:val="28"/>
          <w:szCs w:val="30"/>
        </w:rPr>
        <w:t>项目名称：</w:t>
      </w:r>
      <w:bookmarkEnd w:id="0"/>
      <w:bookmarkStart w:id="212" w:name="_GoBack"/>
      <w:r>
        <w:rPr>
          <w:rFonts w:hint="eastAsia" w:ascii="黑体" w:hAnsi="黑体" w:eastAsia="黑体"/>
          <w:sz w:val="28"/>
          <w:szCs w:val="30"/>
        </w:rPr>
        <w:t>上饶经济技术开发区凤凰西大道延伸段道路工程（四期）跟踪审计（含一审）服务采购</w:t>
      </w:r>
    </w:p>
    <w:bookmarkEnd w:id="212"/>
    <w:p w14:paraId="78748254">
      <w:pPr>
        <w:widowControl/>
        <w:snapToGrid w:val="0"/>
        <w:spacing w:line="480" w:lineRule="auto"/>
        <w:ind w:right="1139"/>
        <w:textAlignment w:val="baseline"/>
        <w:rPr>
          <w:rFonts w:ascii="黑体" w:hAnsi="黑体" w:eastAsia="黑体"/>
          <w:sz w:val="28"/>
          <w:szCs w:val="30"/>
        </w:rPr>
      </w:pPr>
      <w:r>
        <w:rPr>
          <w:rFonts w:hint="eastAsia" w:ascii="黑体" w:hAnsi="黑体" w:eastAsia="黑体"/>
          <w:sz w:val="28"/>
          <w:szCs w:val="30"/>
        </w:rPr>
        <w:t>招标编号：</w:t>
      </w:r>
      <w:r>
        <w:rPr>
          <w:rFonts w:hint="eastAsia" w:ascii="黑体" w:hAnsi="黑体" w:eastAsia="黑体"/>
          <w:sz w:val="28"/>
          <w:szCs w:val="30"/>
          <w:lang w:eastAsia="zh-CN"/>
        </w:rPr>
        <w:t>ZJJKYGCG-2024-0521#</w:t>
      </w:r>
    </w:p>
    <w:p w14:paraId="6FD37B9D">
      <w:pPr>
        <w:widowControl/>
        <w:tabs>
          <w:tab w:val="left" w:pos="1418"/>
        </w:tabs>
        <w:snapToGrid w:val="0"/>
        <w:spacing w:line="480" w:lineRule="auto"/>
        <w:ind w:right="1139"/>
        <w:jc w:val="left"/>
        <w:textAlignment w:val="baseline"/>
        <w:rPr>
          <w:rFonts w:hint="eastAsia" w:ascii="黑体" w:hAnsi="黑体" w:eastAsia="黑体"/>
          <w:sz w:val="28"/>
          <w:szCs w:val="30"/>
          <w:lang w:eastAsia="zh-CN"/>
        </w:rPr>
      </w:pPr>
      <w:r>
        <w:rPr>
          <w:rFonts w:hint="eastAsia" w:ascii="黑体" w:hAnsi="黑体" w:eastAsia="黑体"/>
          <w:sz w:val="28"/>
          <w:szCs w:val="30"/>
        </w:rPr>
        <w:t>招标单位：</w:t>
      </w:r>
      <w:r>
        <w:rPr>
          <w:rFonts w:hint="eastAsia" w:ascii="黑体" w:hAnsi="黑体" w:eastAsia="黑体"/>
          <w:sz w:val="28"/>
          <w:szCs w:val="30"/>
          <w:lang w:eastAsia="zh-CN"/>
        </w:rPr>
        <w:t>江西云济投资有限公司</w:t>
      </w:r>
    </w:p>
    <w:p w14:paraId="57921624">
      <w:pPr>
        <w:widowControl/>
        <w:tabs>
          <w:tab w:val="left" w:pos="1418"/>
        </w:tabs>
        <w:snapToGrid w:val="0"/>
        <w:spacing w:line="480" w:lineRule="auto"/>
        <w:ind w:right="1139"/>
        <w:jc w:val="left"/>
        <w:textAlignment w:val="baseline"/>
        <w:rPr>
          <w:rFonts w:hint="eastAsia" w:ascii="黑体" w:hAnsi="黑体" w:eastAsia="黑体"/>
          <w:sz w:val="28"/>
          <w:szCs w:val="30"/>
          <w:lang w:eastAsia="zh-CN"/>
        </w:rPr>
      </w:pPr>
      <w:r>
        <w:rPr>
          <w:rFonts w:hint="eastAsia" w:ascii="黑体" w:hAnsi="黑体" w:eastAsia="黑体"/>
          <w:sz w:val="28"/>
          <w:szCs w:val="30"/>
        </w:rPr>
        <w:t>代理机构：</w:t>
      </w:r>
      <w:r>
        <w:rPr>
          <w:rFonts w:hint="eastAsia" w:ascii="黑体" w:hAnsi="黑体" w:eastAsia="黑体"/>
          <w:sz w:val="28"/>
          <w:szCs w:val="30"/>
          <w:lang w:eastAsia="zh-CN"/>
        </w:rPr>
        <w:t>浙江建科工程项目管理有限公司</w:t>
      </w:r>
    </w:p>
    <w:p w14:paraId="08EAFB26">
      <w:pPr>
        <w:snapToGrid w:val="0"/>
        <w:spacing w:line="480" w:lineRule="auto"/>
        <w:jc w:val="center"/>
        <w:textAlignment w:val="baseline"/>
        <w:rPr>
          <w:rFonts w:hAnsi="宋体"/>
          <w:sz w:val="48"/>
        </w:rPr>
      </w:pPr>
    </w:p>
    <w:p w14:paraId="403D18E8">
      <w:pPr>
        <w:pStyle w:val="2"/>
        <w:rPr>
          <w:rFonts w:hAnsi="宋体"/>
          <w:sz w:val="48"/>
        </w:rPr>
      </w:pPr>
    </w:p>
    <w:p w14:paraId="2968561D">
      <w:pPr>
        <w:pStyle w:val="2"/>
        <w:rPr>
          <w:rFonts w:hAnsi="宋体"/>
          <w:sz w:val="48"/>
        </w:rPr>
      </w:pPr>
    </w:p>
    <w:p w14:paraId="31C4D84E">
      <w:pPr>
        <w:snapToGrid w:val="0"/>
        <w:spacing w:line="480" w:lineRule="auto"/>
        <w:jc w:val="center"/>
        <w:textAlignment w:val="baseline"/>
        <w:rPr>
          <w:rFonts w:hAnsi="宋体"/>
          <w:b/>
          <w:sz w:val="36"/>
        </w:rPr>
      </w:pPr>
    </w:p>
    <w:p w14:paraId="16835956">
      <w:pPr>
        <w:widowControl/>
        <w:ind w:right="1139" w:rightChars="335"/>
        <w:jc w:val="center"/>
        <w:rPr>
          <w:rFonts w:ascii="黑体" w:hAnsi="黑体" w:eastAsia="黑体"/>
          <w:sz w:val="28"/>
          <w:szCs w:val="30"/>
        </w:rPr>
      </w:pPr>
      <w:r>
        <w:rPr>
          <w:rFonts w:hint="eastAsia" w:ascii="黑体" w:hAnsi="黑体" w:eastAsia="黑体"/>
          <w:sz w:val="28"/>
          <w:szCs w:val="30"/>
        </w:rPr>
        <w:t>二0二</w:t>
      </w:r>
      <w:r>
        <w:rPr>
          <w:rFonts w:hint="eastAsia" w:ascii="黑体" w:hAnsi="黑体" w:eastAsia="黑体"/>
          <w:sz w:val="28"/>
          <w:szCs w:val="30"/>
          <w:lang w:eastAsia="zh-CN"/>
        </w:rPr>
        <w:t>四</w:t>
      </w:r>
      <w:r>
        <w:rPr>
          <w:rFonts w:hint="eastAsia" w:ascii="黑体" w:hAnsi="黑体" w:eastAsia="黑体"/>
          <w:sz w:val="28"/>
          <w:szCs w:val="30"/>
        </w:rPr>
        <w:t>年</w:t>
      </w:r>
      <w:r>
        <w:rPr>
          <w:rFonts w:hint="eastAsia" w:ascii="黑体" w:hAnsi="黑体" w:eastAsia="黑体"/>
          <w:sz w:val="28"/>
          <w:szCs w:val="30"/>
          <w:lang w:eastAsia="zh-CN"/>
        </w:rPr>
        <w:t>六</w:t>
      </w:r>
      <w:r>
        <w:rPr>
          <w:rFonts w:hint="eastAsia" w:ascii="黑体" w:hAnsi="黑体" w:eastAsia="黑体"/>
          <w:sz w:val="28"/>
          <w:szCs w:val="30"/>
        </w:rPr>
        <w:t>月</w:t>
      </w:r>
    </w:p>
    <w:p w14:paraId="18397FBB">
      <w:pPr>
        <w:widowControl/>
        <w:snapToGrid w:val="0"/>
        <w:ind w:left="2366" w:leftChars="696" w:right="1139" w:firstLine="226" w:firstLineChars="81"/>
        <w:jc w:val="center"/>
        <w:textAlignment w:val="baseline"/>
        <w:rPr>
          <w:rFonts w:ascii="黑体" w:hAnsi="黑体" w:eastAsia="黑体"/>
          <w:sz w:val="28"/>
          <w:szCs w:val="30"/>
        </w:rPr>
      </w:pPr>
    </w:p>
    <w:p w14:paraId="21E9C195">
      <w:pPr>
        <w:snapToGrid w:val="0"/>
        <w:spacing w:line="480" w:lineRule="auto"/>
        <w:jc w:val="center"/>
        <w:textAlignment w:val="baseline"/>
        <w:rPr>
          <w:rFonts w:hAnsi="宋体"/>
          <w:b/>
          <w:sz w:val="36"/>
        </w:rPr>
      </w:pPr>
    </w:p>
    <w:p w14:paraId="285AACD5">
      <w:pPr>
        <w:pStyle w:val="2"/>
        <w:rPr>
          <w:rFonts w:hAnsi="宋体"/>
          <w:b/>
          <w:sz w:val="36"/>
        </w:rPr>
      </w:pPr>
    </w:p>
    <w:p w14:paraId="37251493">
      <w:pPr>
        <w:pStyle w:val="2"/>
        <w:rPr>
          <w:rFonts w:hAnsi="宋体"/>
          <w:b/>
          <w:sz w:val="36"/>
        </w:rPr>
      </w:pPr>
    </w:p>
    <w:p w14:paraId="05CF80BC">
      <w:pPr>
        <w:spacing w:line="500" w:lineRule="exact"/>
        <w:jc w:val="center"/>
        <w:rPr>
          <w:rFonts w:ascii="Times New Roman"/>
          <w:b/>
          <w:bCs/>
          <w:kern w:val="2"/>
          <w:sz w:val="28"/>
        </w:rPr>
      </w:pPr>
      <w:bookmarkStart w:id="1" w:name="_Toc339"/>
      <w:bookmarkStart w:id="2" w:name="_Toc30686"/>
      <w:bookmarkStart w:id="3" w:name="_Toc8239"/>
      <w:bookmarkStart w:id="4" w:name="_Toc83626617"/>
      <w:bookmarkStart w:id="5" w:name="_Toc83627155"/>
      <w:bookmarkStart w:id="6" w:name="_Toc3545"/>
      <w:r>
        <w:rPr>
          <w:rFonts w:hint="eastAsia" w:ascii="Times New Roman"/>
          <w:b/>
          <w:bCs/>
          <w:kern w:val="2"/>
          <w:sz w:val="28"/>
        </w:rPr>
        <w:t>第一章　投标邀请</w:t>
      </w:r>
      <w:bookmarkEnd w:id="1"/>
      <w:bookmarkEnd w:id="2"/>
    </w:p>
    <w:p w14:paraId="4F81994E">
      <w:pPr>
        <w:keepNext w:val="0"/>
        <w:keepLines w:val="0"/>
        <w:pageBreakBefore w:val="0"/>
        <w:widowControl w:val="0"/>
        <w:numPr>
          <w:ilvl w:val="0"/>
          <w:numId w:val="1"/>
        </w:numPr>
        <w:kinsoku/>
        <w:wordWrap/>
        <w:overflowPunct/>
        <w:topLinePunct w:val="0"/>
        <w:autoSpaceDE/>
        <w:autoSpaceDN/>
        <w:bidi w:val="0"/>
        <w:adjustRightInd/>
        <w:spacing w:line="460" w:lineRule="exact"/>
        <w:ind w:firstLine="284" w:firstLineChars="118"/>
        <w:jc w:val="left"/>
        <w:textAlignment w:val="auto"/>
        <w:rPr>
          <w:rFonts w:hAnsi="宋体"/>
          <w:b/>
          <w:color w:val="000000"/>
          <w:kern w:val="2"/>
          <w:sz w:val="24"/>
          <w:szCs w:val="24"/>
          <w:shd w:val="clear" w:color="auto" w:fill="FFFFFF"/>
        </w:rPr>
      </w:pPr>
      <w:r>
        <w:rPr>
          <w:rFonts w:hint="eastAsia" w:hAnsi="宋体"/>
          <w:b/>
          <w:color w:val="000000"/>
          <w:kern w:val="2"/>
          <w:sz w:val="24"/>
          <w:szCs w:val="24"/>
          <w:shd w:val="clear" w:color="auto" w:fill="FFFFFF"/>
        </w:rPr>
        <w:t>项目概况：</w:t>
      </w:r>
    </w:p>
    <w:p w14:paraId="5BA72F72">
      <w:pPr>
        <w:keepNext w:val="0"/>
        <w:keepLines w:val="0"/>
        <w:pageBreakBefore w:val="0"/>
        <w:widowControl w:val="0"/>
        <w:kinsoku/>
        <w:wordWrap/>
        <w:overflowPunct/>
        <w:topLinePunct w:val="0"/>
        <w:autoSpaceDE/>
        <w:autoSpaceDN/>
        <w:bidi w:val="0"/>
        <w:adjustRightInd/>
        <w:spacing w:line="460" w:lineRule="exact"/>
        <w:ind w:firstLine="480" w:firstLineChars="200"/>
        <w:jc w:val="left"/>
        <w:textAlignment w:val="auto"/>
        <w:rPr>
          <w:rFonts w:hAnsi="宋体"/>
          <w:sz w:val="24"/>
          <w:szCs w:val="24"/>
        </w:rPr>
      </w:pPr>
      <w:r>
        <w:rPr>
          <w:rFonts w:hint="eastAsia" w:hAnsi="宋体"/>
          <w:color w:val="000000"/>
          <w:kern w:val="2"/>
          <w:sz w:val="24"/>
          <w:szCs w:val="24"/>
          <w:shd w:val="clear" w:color="auto" w:fill="FFFFFF"/>
          <w:lang w:eastAsia="zh-CN"/>
        </w:rPr>
        <w:t>上饶经济技术开发区凤凰西大道延伸段道路工程（四期）跟踪审计（含一审）服务采购</w:t>
      </w:r>
      <w:r>
        <w:rPr>
          <w:rFonts w:hint="eastAsia" w:hAnsi="宋体"/>
          <w:color w:val="000000"/>
          <w:kern w:val="2"/>
          <w:sz w:val="24"/>
          <w:szCs w:val="24"/>
          <w:shd w:val="clear" w:color="auto" w:fill="FFFFFF"/>
        </w:rPr>
        <w:t>，</w:t>
      </w:r>
      <w:r>
        <w:rPr>
          <w:rFonts w:hint="eastAsia" w:hAnsi="宋体"/>
          <w:sz w:val="24"/>
          <w:szCs w:val="24"/>
        </w:rPr>
        <w:t>潜在供应商应在上饶市阳光采购平台获取招标文件，并于</w:t>
      </w:r>
      <w:r>
        <w:rPr>
          <w:rFonts w:hint="eastAsia" w:hAnsi="宋体"/>
          <w:sz w:val="24"/>
          <w:szCs w:val="24"/>
          <w:lang w:val="en-US" w:eastAsia="zh-CN"/>
        </w:rPr>
        <w:t>2024</w:t>
      </w:r>
      <w:r>
        <w:rPr>
          <w:rFonts w:hint="eastAsia" w:hAnsi="宋体"/>
          <w:sz w:val="24"/>
          <w:szCs w:val="24"/>
        </w:rPr>
        <w:t>年</w:t>
      </w:r>
      <w:r>
        <w:rPr>
          <w:rFonts w:hint="eastAsia" w:hAnsi="宋体"/>
          <w:sz w:val="24"/>
          <w:szCs w:val="24"/>
          <w:lang w:val="en-US" w:eastAsia="zh-CN"/>
        </w:rPr>
        <w:t xml:space="preserve">  </w:t>
      </w:r>
      <w:r>
        <w:rPr>
          <w:rFonts w:hint="eastAsia" w:hAnsi="宋体"/>
          <w:sz w:val="24"/>
          <w:szCs w:val="24"/>
        </w:rPr>
        <w:t>月</w:t>
      </w:r>
      <w:r>
        <w:rPr>
          <w:rFonts w:hint="eastAsia" w:hAnsi="宋体"/>
          <w:sz w:val="24"/>
          <w:szCs w:val="24"/>
          <w:lang w:val="en-US" w:eastAsia="zh-CN"/>
        </w:rPr>
        <w:t xml:space="preserve">  </w:t>
      </w:r>
      <w:r>
        <w:rPr>
          <w:rFonts w:hint="eastAsia" w:hAnsi="宋体"/>
          <w:sz w:val="24"/>
          <w:szCs w:val="24"/>
        </w:rPr>
        <w:t>日</w:t>
      </w:r>
      <w:r>
        <w:rPr>
          <w:rFonts w:hint="eastAsia" w:hAnsi="宋体"/>
          <w:sz w:val="24"/>
          <w:szCs w:val="24"/>
          <w:lang w:val="en-US" w:eastAsia="zh-CN"/>
        </w:rPr>
        <w:t xml:space="preserve">  </w:t>
      </w:r>
      <w:r>
        <w:rPr>
          <w:rFonts w:hint="eastAsia" w:hAnsi="宋体"/>
          <w:sz w:val="24"/>
          <w:szCs w:val="24"/>
        </w:rPr>
        <w:t>点</w:t>
      </w:r>
      <w:r>
        <w:rPr>
          <w:rFonts w:hint="eastAsia" w:hAnsi="宋体"/>
          <w:sz w:val="24"/>
          <w:szCs w:val="24"/>
          <w:lang w:val="en-US" w:eastAsia="zh-CN"/>
        </w:rPr>
        <w:t xml:space="preserve"> </w:t>
      </w:r>
      <w:r>
        <w:rPr>
          <w:rFonts w:hint="eastAsia" w:hAnsi="宋体"/>
          <w:sz w:val="24"/>
          <w:szCs w:val="24"/>
        </w:rPr>
        <w:t>分（北京时间）前递交响应文件。</w:t>
      </w:r>
    </w:p>
    <w:p w14:paraId="707D47F1">
      <w:pPr>
        <w:keepNext w:val="0"/>
        <w:keepLines w:val="0"/>
        <w:pageBreakBefore w:val="0"/>
        <w:widowControl w:val="0"/>
        <w:kinsoku/>
        <w:wordWrap/>
        <w:overflowPunct/>
        <w:topLinePunct w:val="0"/>
        <w:autoSpaceDE/>
        <w:autoSpaceDN/>
        <w:bidi w:val="0"/>
        <w:adjustRightInd/>
        <w:spacing w:line="460" w:lineRule="exact"/>
        <w:ind w:firstLine="284" w:firstLineChars="118"/>
        <w:jc w:val="left"/>
        <w:textAlignment w:val="auto"/>
        <w:rPr>
          <w:rFonts w:ascii="Times New Roman"/>
          <w:kern w:val="2"/>
          <w:sz w:val="24"/>
          <w:szCs w:val="20"/>
        </w:rPr>
      </w:pPr>
      <w:r>
        <w:rPr>
          <w:rFonts w:hint="eastAsia" w:hAnsi="宋体"/>
          <w:b/>
          <w:bCs/>
          <w:sz w:val="24"/>
          <w:szCs w:val="24"/>
        </w:rPr>
        <w:t>二、项目基本情况：</w:t>
      </w:r>
    </w:p>
    <w:p w14:paraId="6E2D89D2">
      <w:pPr>
        <w:keepNext w:val="0"/>
        <w:keepLines w:val="0"/>
        <w:pageBreakBefore w:val="0"/>
        <w:widowControl w:val="0"/>
        <w:kinsoku/>
        <w:wordWrap/>
        <w:overflowPunct/>
        <w:topLinePunct w:val="0"/>
        <w:autoSpaceDE/>
        <w:autoSpaceDN/>
        <w:bidi w:val="0"/>
        <w:adjustRightInd/>
        <w:spacing w:line="460" w:lineRule="exact"/>
        <w:ind w:firstLine="480" w:firstLineChars="200"/>
        <w:jc w:val="left"/>
        <w:textAlignment w:val="auto"/>
        <w:rPr>
          <w:rFonts w:hint="eastAsia" w:hAnsi="宋体" w:eastAsia="宋体"/>
          <w:color w:val="auto"/>
          <w:sz w:val="24"/>
          <w:szCs w:val="24"/>
          <w:highlight w:val="none"/>
          <w:lang w:eastAsia="zh-CN"/>
        </w:rPr>
      </w:pPr>
      <w:r>
        <w:rPr>
          <w:rFonts w:hint="eastAsia" w:hAnsi="宋体"/>
          <w:sz w:val="24"/>
          <w:szCs w:val="24"/>
        </w:rPr>
        <w:t>1、项目编号：</w:t>
      </w:r>
      <w:r>
        <w:rPr>
          <w:rFonts w:hint="eastAsia" w:hAnsi="宋体"/>
          <w:sz w:val="24"/>
          <w:szCs w:val="24"/>
          <w:lang w:eastAsia="zh-CN"/>
        </w:rPr>
        <w:t>ZJJKYGCG-2024-0521#</w:t>
      </w:r>
    </w:p>
    <w:p w14:paraId="48264C3B">
      <w:pPr>
        <w:keepNext w:val="0"/>
        <w:keepLines w:val="0"/>
        <w:pageBreakBefore w:val="0"/>
        <w:widowControl w:val="0"/>
        <w:kinsoku/>
        <w:wordWrap/>
        <w:overflowPunct/>
        <w:topLinePunct w:val="0"/>
        <w:autoSpaceDE/>
        <w:autoSpaceDN/>
        <w:bidi w:val="0"/>
        <w:adjustRightInd/>
        <w:spacing w:line="460" w:lineRule="exact"/>
        <w:ind w:firstLine="480" w:firstLineChars="200"/>
        <w:jc w:val="left"/>
        <w:textAlignment w:val="auto"/>
        <w:rPr>
          <w:rFonts w:hint="eastAsia" w:hAnsi="宋体" w:eastAsia="宋体"/>
          <w:color w:val="auto"/>
          <w:sz w:val="24"/>
          <w:szCs w:val="24"/>
          <w:highlight w:val="none"/>
          <w:lang w:eastAsia="zh-CN"/>
        </w:rPr>
      </w:pPr>
      <w:r>
        <w:rPr>
          <w:rFonts w:hint="eastAsia" w:hAnsi="宋体"/>
          <w:color w:val="auto"/>
          <w:sz w:val="24"/>
          <w:szCs w:val="24"/>
          <w:highlight w:val="none"/>
        </w:rPr>
        <w:t>2、项目名称：</w:t>
      </w:r>
      <w:r>
        <w:rPr>
          <w:rFonts w:hint="eastAsia" w:hAnsi="宋体"/>
          <w:color w:val="auto"/>
          <w:sz w:val="24"/>
          <w:szCs w:val="24"/>
          <w:highlight w:val="none"/>
          <w:lang w:eastAsia="zh-CN"/>
        </w:rPr>
        <w:t>上饶经济技术开发区凤凰西大道延伸段道路工程（四期）跟踪审计（含一审）服务采购</w:t>
      </w:r>
    </w:p>
    <w:p w14:paraId="2C22B261">
      <w:pPr>
        <w:keepNext w:val="0"/>
        <w:keepLines w:val="0"/>
        <w:pageBreakBefore w:val="0"/>
        <w:widowControl w:val="0"/>
        <w:kinsoku/>
        <w:wordWrap/>
        <w:overflowPunct/>
        <w:topLinePunct w:val="0"/>
        <w:autoSpaceDE/>
        <w:autoSpaceDN/>
        <w:bidi w:val="0"/>
        <w:adjustRightInd/>
        <w:spacing w:line="460" w:lineRule="exact"/>
        <w:ind w:firstLine="480" w:firstLineChars="200"/>
        <w:jc w:val="left"/>
        <w:textAlignment w:val="auto"/>
        <w:rPr>
          <w:rFonts w:hAnsi="宋体"/>
          <w:color w:val="auto"/>
          <w:sz w:val="24"/>
          <w:szCs w:val="24"/>
          <w:highlight w:val="none"/>
        </w:rPr>
      </w:pPr>
      <w:r>
        <w:rPr>
          <w:rFonts w:hint="eastAsia" w:hAnsi="宋体"/>
          <w:color w:val="auto"/>
          <w:sz w:val="24"/>
          <w:szCs w:val="24"/>
          <w:highlight w:val="none"/>
        </w:rPr>
        <w:t>3、采购方式：公开招标</w:t>
      </w:r>
    </w:p>
    <w:p w14:paraId="72380269">
      <w:pPr>
        <w:keepNext w:val="0"/>
        <w:keepLines w:val="0"/>
        <w:pageBreakBefore w:val="0"/>
        <w:widowControl w:val="0"/>
        <w:kinsoku/>
        <w:wordWrap/>
        <w:overflowPunct/>
        <w:topLinePunct w:val="0"/>
        <w:autoSpaceDE/>
        <w:autoSpaceDN/>
        <w:bidi w:val="0"/>
        <w:adjustRightInd/>
        <w:spacing w:line="460" w:lineRule="exact"/>
        <w:ind w:firstLine="480" w:firstLineChars="200"/>
        <w:jc w:val="left"/>
        <w:textAlignment w:val="auto"/>
        <w:rPr>
          <w:rFonts w:hAnsi="宋体"/>
          <w:color w:val="auto"/>
          <w:sz w:val="24"/>
          <w:szCs w:val="24"/>
          <w:highlight w:val="none"/>
        </w:rPr>
      </w:pPr>
      <w:r>
        <w:rPr>
          <w:rFonts w:hint="eastAsia" w:hAnsi="宋体"/>
          <w:color w:val="auto"/>
          <w:sz w:val="24"/>
          <w:szCs w:val="24"/>
          <w:highlight w:val="none"/>
        </w:rPr>
        <w:t>4、采购内容：详见招标文件</w:t>
      </w:r>
    </w:p>
    <w:p w14:paraId="641F24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Ansi="宋体"/>
          <w:color w:val="auto"/>
          <w:sz w:val="24"/>
          <w:szCs w:val="24"/>
          <w:highlight w:val="none"/>
        </w:rPr>
      </w:pPr>
      <w:r>
        <w:rPr>
          <w:rFonts w:hint="eastAsia" w:hAnsi="宋体"/>
          <w:color w:val="auto"/>
          <w:sz w:val="24"/>
          <w:szCs w:val="24"/>
          <w:highlight w:val="none"/>
        </w:rPr>
        <w:t>5、预算金额：</w:t>
      </w:r>
      <w:r>
        <w:rPr>
          <w:rFonts w:hint="eastAsia" w:hAnsi="宋体"/>
          <w:color w:val="auto"/>
          <w:sz w:val="24"/>
          <w:szCs w:val="24"/>
          <w:highlight w:val="yellow"/>
        </w:rPr>
        <w:t>跟踪审计费用（含一审）基本费用按合同造价总额的2.8‰计取，一审核减收费按核减工程款5%计取。</w:t>
      </w:r>
    </w:p>
    <w:p w14:paraId="6BC73F58">
      <w:pPr>
        <w:keepNext w:val="0"/>
        <w:keepLines w:val="0"/>
        <w:pageBreakBefore w:val="0"/>
        <w:widowControl w:val="0"/>
        <w:kinsoku/>
        <w:wordWrap/>
        <w:overflowPunct/>
        <w:topLinePunct w:val="0"/>
        <w:autoSpaceDE/>
        <w:autoSpaceDN/>
        <w:bidi w:val="0"/>
        <w:adjustRightInd/>
        <w:spacing w:line="460" w:lineRule="exact"/>
        <w:ind w:firstLine="241" w:firstLineChars="100"/>
        <w:jc w:val="left"/>
        <w:textAlignment w:val="auto"/>
        <w:rPr>
          <w:rFonts w:hAnsi="宋体"/>
          <w:b/>
          <w:bCs/>
          <w:color w:val="auto"/>
          <w:sz w:val="24"/>
          <w:szCs w:val="24"/>
          <w:highlight w:val="none"/>
        </w:rPr>
      </w:pPr>
      <w:r>
        <w:rPr>
          <w:rFonts w:hint="eastAsia" w:hAnsi="宋体"/>
          <w:b/>
          <w:bCs/>
          <w:color w:val="auto"/>
          <w:sz w:val="24"/>
          <w:szCs w:val="24"/>
          <w:highlight w:val="none"/>
        </w:rPr>
        <w:t>三、供应商资格条件：</w:t>
      </w:r>
    </w:p>
    <w:p w14:paraId="64679708">
      <w:pPr>
        <w:keepNext w:val="0"/>
        <w:keepLines w:val="0"/>
        <w:pageBreakBefore w:val="0"/>
        <w:widowControl w:val="0"/>
        <w:kinsoku/>
        <w:wordWrap/>
        <w:overflowPunct/>
        <w:topLinePunct w:val="0"/>
        <w:autoSpaceDE/>
        <w:autoSpaceDN/>
        <w:bidi w:val="0"/>
        <w:adjustRightInd/>
        <w:spacing w:line="460" w:lineRule="exact"/>
        <w:ind w:firstLine="520" w:firstLineChars="217"/>
        <w:jc w:val="left"/>
        <w:textAlignment w:val="auto"/>
        <w:rPr>
          <w:rFonts w:hAnsi="宋体"/>
          <w:bCs/>
          <w:color w:val="auto"/>
          <w:kern w:val="2"/>
          <w:sz w:val="24"/>
          <w:szCs w:val="24"/>
          <w:highlight w:val="none"/>
          <w:shd w:val="clear" w:color="auto" w:fill="FFFFFF"/>
        </w:rPr>
      </w:pPr>
      <w:r>
        <w:rPr>
          <w:rFonts w:hint="eastAsia" w:hAnsi="宋体"/>
          <w:bCs/>
          <w:color w:val="auto"/>
          <w:kern w:val="2"/>
          <w:sz w:val="24"/>
          <w:szCs w:val="24"/>
          <w:highlight w:val="none"/>
          <w:shd w:val="clear" w:color="auto" w:fill="FFFFFF"/>
          <w:lang w:val="en-US" w:eastAsia="zh-CN"/>
        </w:rPr>
        <w:t>1.</w:t>
      </w:r>
      <w:r>
        <w:rPr>
          <w:rFonts w:hint="eastAsia" w:hAnsi="宋体"/>
          <w:bCs/>
          <w:color w:val="auto"/>
          <w:kern w:val="2"/>
          <w:sz w:val="24"/>
          <w:szCs w:val="24"/>
          <w:highlight w:val="none"/>
          <w:shd w:val="clear" w:color="auto" w:fill="FFFFFF"/>
        </w:rPr>
        <w:t>具有独立承担民事责任的能力【供应商须是中华人民共和国境内注册的具有独立承担民事责任的供应商。供应商须提供有效期内的营业执照副本复印件；提供法定代表人授权委托书原件（</w:t>
      </w:r>
      <w:r>
        <w:rPr>
          <w:rFonts w:hint="eastAsia" w:hAnsi="宋体"/>
          <w:bCs/>
          <w:color w:val="auto"/>
          <w:kern w:val="2"/>
          <w:sz w:val="24"/>
          <w:szCs w:val="24"/>
          <w:highlight w:val="none"/>
          <w:shd w:val="clear" w:color="auto" w:fill="FFFFFF"/>
          <w:lang w:eastAsia="zh-CN"/>
        </w:rPr>
        <w:t>或</w:t>
      </w:r>
      <w:r>
        <w:rPr>
          <w:rFonts w:hint="eastAsia" w:hAnsi="宋体"/>
          <w:bCs/>
          <w:color w:val="auto"/>
          <w:kern w:val="2"/>
          <w:sz w:val="24"/>
          <w:szCs w:val="24"/>
          <w:highlight w:val="none"/>
          <w:shd w:val="clear" w:color="auto" w:fill="FFFFFF"/>
        </w:rPr>
        <w:t>法定代表人证明书）及被授权人身份证复印件】；</w:t>
      </w:r>
    </w:p>
    <w:p w14:paraId="24DEC1AA">
      <w:pPr>
        <w:keepNext w:val="0"/>
        <w:keepLines w:val="0"/>
        <w:pageBreakBefore w:val="0"/>
        <w:widowControl w:val="0"/>
        <w:kinsoku/>
        <w:wordWrap/>
        <w:overflowPunct/>
        <w:topLinePunct w:val="0"/>
        <w:autoSpaceDE/>
        <w:autoSpaceDN/>
        <w:bidi w:val="0"/>
        <w:adjustRightInd/>
        <w:spacing w:line="460" w:lineRule="exact"/>
        <w:ind w:firstLine="520" w:firstLineChars="217"/>
        <w:jc w:val="left"/>
        <w:textAlignment w:val="auto"/>
        <w:rPr>
          <w:rFonts w:hint="eastAsia" w:hAnsi="宋体"/>
          <w:bCs/>
          <w:color w:val="auto"/>
          <w:kern w:val="2"/>
          <w:sz w:val="24"/>
          <w:szCs w:val="24"/>
          <w:highlight w:val="none"/>
          <w:shd w:val="clear" w:color="auto" w:fill="FFFFFF"/>
        </w:rPr>
      </w:pPr>
      <w:r>
        <w:rPr>
          <w:rFonts w:hint="eastAsia" w:hAnsi="宋体"/>
          <w:bCs/>
          <w:color w:val="auto"/>
          <w:kern w:val="2"/>
          <w:sz w:val="24"/>
          <w:szCs w:val="24"/>
          <w:highlight w:val="none"/>
          <w:shd w:val="clear" w:color="auto" w:fill="FFFFFF"/>
          <w:lang w:val="en-US" w:eastAsia="zh-CN"/>
        </w:rPr>
        <w:t>2.</w:t>
      </w:r>
      <w:r>
        <w:rPr>
          <w:rFonts w:hint="eastAsia" w:hAnsi="宋体"/>
          <w:bCs/>
          <w:color w:val="auto"/>
          <w:kern w:val="2"/>
          <w:sz w:val="24"/>
          <w:szCs w:val="24"/>
          <w:highlight w:val="none"/>
          <w:shd w:val="clear" w:color="auto" w:fill="FFFFFF"/>
        </w:rPr>
        <w:t>具有良好的商业信誉和健全的财务会计制度 （提供投标前三个年度内任一年度经审计的财务状况报告或在开标前6个月内（</w:t>
      </w:r>
      <w:r>
        <w:rPr>
          <w:rFonts w:hint="eastAsia" w:hAnsi="宋体"/>
          <w:bCs/>
          <w:color w:val="auto"/>
          <w:kern w:val="2"/>
          <w:sz w:val="24"/>
          <w:szCs w:val="24"/>
          <w:highlight w:val="none"/>
          <w:shd w:val="clear" w:color="auto" w:fill="FFFFFF"/>
          <w:lang w:val="en-US" w:eastAsia="zh-CN"/>
        </w:rPr>
        <w:t>不</w:t>
      </w:r>
      <w:r>
        <w:rPr>
          <w:rFonts w:hint="eastAsia" w:hAnsi="宋体"/>
          <w:bCs/>
          <w:color w:val="auto"/>
          <w:kern w:val="2"/>
          <w:sz w:val="24"/>
          <w:szCs w:val="24"/>
          <w:highlight w:val="none"/>
          <w:shd w:val="clear" w:color="auto" w:fill="FFFFFF"/>
        </w:rPr>
        <w:t>含开标当月）其基本开户银行出具的资信证明；其他组织和自然人，没有经审计的财务报告，可以提供在开标前6个月内（</w:t>
      </w:r>
      <w:r>
        <w:rPr>
          <w:rFonts w:hint="eastAsia" w:hAnsi="宋体"/>
          <w:bCs/>
          <w:color w:val="auto"/>
          <w:kern w:val="2"/>
          <w:sz w:val="24"/>
          <w:szCs w:val="24"/>
          <w:highlight w:val="none"/>
          <w:shd w:val="clear" w:color="auto" w:fill="FFFFFF"/>
          <w:lang w:val="en-US" w:eastAsia="zh-CN"/>
        </w:rPr>
        <w:t>不</w:t>
      </w:r>
      <w:r>
        <w:rPr>
          <w:rFonts w:hint="eastAsia" w:hAnsi="宋体"/>
          <w:bCs/>
          <w:color w:val="auto"/>
          <w:kern w:val="2"/>
          <w:sz w:val="24"/>
          <w:szCs w:val="24"/>
          <w:highlight w:val="none"/>
          <w:shd w:val="clear" w:color="auto" w:fill="FFFFFF"/>
        </w:rPr>
        <w:t>含开标当月）开户行出具的资信证明）；</w:t>
      </w:r>
    </w:p>
    <w:p w14:paraId="279A13C0">
      <w:pPr>
        <w:keepNext w:val="0"/>
        <w:keepLines w:val="0"/>
        <w:pageBreakBefore w:val="0"/>
        <w:widowControl w:val="0"/>
        <w:kinsoku/>
        <w:wordWrap/>
        <w:overflowPunct/>
        <w:topLinePunct w:val="0"/>
        <w:autoSpaceDE/>
        <w:autoSpaceDN/>
        <w:bidi w:val="0"/>
        <w:adjustRightInd/>
        <w:spacing w:line="460" w:lineRule="exact"/>
        <w:ind w:firstLine="520" w:firstLineChars="217"/>
        <w:jc w:val="left"/>
        <w:textAlignment w:val="auto"/>
        <w:rPr>
          <w:rFonts w:hint="eastAsia" w:hAnsi="宋体"/>
          <w:bCs/>
          <w:color w:val="auto"/>
          <w:kern w:val="2"/>
          <w:sz w:val="24"/>
          <w:szCs w:val="24"/>
          <w:highlight w:val="none"/>
          <w:shd w:val="clear" w:color="auto" w:fill="FFFFFF"/>
        </w:rPr>
      </w:pPr>
      <w:r>
        <w:rPr>
          <w:rFonts w:hint="eastAsia" w:hAnsi="宋体"/>
          <w:bCs/>
          <w:color w:val="auto"/>
          <w:kern w:val="2"/>
          <w:sz w:val="24"/>
          <w:szCs w:val="24"/>
          <w:highlight w:val="none"/>
          <w:shd w:val="clear" w:color="auto" w:fill="FFFFFF"/>
          <w:lang w:val="en-US" w:eastAsia="zh-CN"/>
        </w:rPr>
        <w:t>3.</w:t>
      </w:r>
      <w:r>
        <w:rPr>
          <w:rFonts w:hint="eastAsia" w:hAnsi="宋体"/>
          <w:bCs/>
          <w:color w:val="auto"/>
          <w:kern w:val="2"/>
          <w:sz w:val="24"/>
          <w:szCs w:val="24"/>
          <w:highlight w:val="none"/>
          <w:shd w:val="clear" w:color="auto" w:fill="FFFFFF"/>
        </w:rPr>
        <w:t>具有履行合同所必需的设备和专业技术能力，并提供声明函；</w:t>
      </w:r>
    </w:p>
    <w:p w14:paraId="1A13E2C7">
      <w:pPr>
        <w:keepNext w:val="0"/>
        <w:keepLines w:val="0"/>
        <w:pageBreakBefore w:val="0"/>
        <w:widowControl w:val="0"/>
        <w:kinsoku/>
        <w:wordWrap/>
        <w:overflowPunct/>
        <w:topLinePunct w:val="0"/>
        <w:autoSpaceDE/>
        <w:autoSpaceDN/>
        <w:bidi w:val="0"/>
        <w:adjustRightInd/>
        <w:spacing w:line="460" w:lineRule="exact"/>
        <w:ind w:firstLine="520" w:firstLineChars="217"/>
        <w:jc w:val="left"/>
        <w:textAlignment w:val="auto"/>
        <w:rPr>
          <w:rFonts w:hAnsi="宋体"/>
          <w:bCs/>
          <w:color w:val="auto"/>
          <w:kern w:val="2"/>
          <w:sz w:val="24"/>
          <w:szCs w:val="24"/>
          <w:highlight w:val="none"/>
          <w:shd w:val="clear" w:color="auto" w:fill="FFFFFF"/>
        </w:rPr>
      </w:pPr>
      <w:r>
        <w:rPr>
          <w:rFonts w:hint="eastAsia" w:hAnsi="宋体"/>
          <w:bCs/>
          <w:color w:val="auto"/>
          <w:kern w:val="2"/>
          <w:sz w:val="24"/>
          <w:szCs w:val="24"/>
          <w:highlight w:val="none"/>
          <w:shd w:val="clear" w:color="auto" w:fill="FFFFFF"/>
          <w:lang w:val="en-US" w:eastAsia="zh-CN"/>
        </w:rPr>
        <w:t>4.</w:t>
      </w:r>
      <w:r>
        <w:rPr>
          <w:rFonts w:hint="eastAsia" w:hAnsi="宋体"/>
          <w:bCs/>
          <w:color w:val="auto"/>
          <w:kern w:val="2"/>
          <w:sz w:val="24"/>
          <w:szCs w:val="24"/>
          <w:highlight w:val="none"/>
          <w:shd w:val="clear" w:color="auto" w:fill="FFFFFF"/>
        </w:rPr>
        <w:t>有依法缴纳税收和社会保障资金的良好记录【提供开标前6个月内（</w:t>
      </w:r>
      <w:r>
        <w:rPr>
          <w:rFonts w:hint="eastAsia" w:hAnsi="宋体"/>
          <w:bCs/>
          <w:color w:val="auto"/>
          <w:kern w:val="2"/>
          <w:sz w:val="24"/>
          <w:szCs w:val="24"/>
          <w:highlight w:val="none"/>
          <w:shd w:val="clear" w:color="auto" w:fill="FFFFFF"/>
          <w:lang w:val="en-US" w:eastAsia="zh-CN"/>
        </w:rPr>
        <w:t>不</w:t>
      </w:r>
      <w:r>
        <w:rPr>
          <w:rFonts w:hint="eastAsia" w:hAnsi="宋体"/>
          <w:bCs/>
          <w:color w:val="auto"/>
          <w:kern w:val="2"/>
          <w:sz w:val="24"/>
          <w:szCs w:val="24"/>
          <w:highlight w:val="none"/>
          <w:shd w:val="clear" w:color="auto" w:fill="FFFFFF"/>
        </w:rPr>
        <w:t>含开标当月）任意一个月的缴纳税收（纳税发票、银行纳税转账凭证、税务局出具的纳税证明，提供任意种均可，若为委托第三方缴纳的还须提供第三方委托证明）及社保的证明（社保缴纳发票、缴纳社保的银行转账凭证、社保局或税务局出具的正常缴纳社保证明，提供任一种均可，若为委托第三方缴纳的还须提供第三方委托证明）的相关材料复印件】；</w:t>
      </w:r>
    </w:p>
    <w:p w14:paraId="11634271">
      <w:pPr>
        <w:keepNext w:val="0"/>
        <w:keepLines w:val="0"/>
        <w:pageBreakBefore w:val="0"/>
        <w:widowControl w:val="0"/>
        <w:kinsoku/>
        <w:wordWrap/>
        <w:overflowPunct/>
        <w:topLinePunct w:val="0"/>
        <w:autoSpaceDE/>
        <w:autoSpaceDN/>
        <w:bidi w:val="0"/>
        <w:adjustRightInd/>
        <w:spacing w:line="460" w:lineRule="exact"/>
        <w:ind w:firstLine="520" w:firstLineChars="217"/>
        <w:jc w:val="left"/>
        <w:textAlignment w:val="auto"/>
        <w:rPr>
          <w:rFonts w:hAnsi="宋体"/>
          <w:bCs/>
          <w:color w:val="auto"/>
          <w:kern w:val="2"/>
          <w:sz w:val="24"/>
          <w:szCs w:val="24"/>
          <w:highlight w:val="none"/>
          <w:shd w:val="clear" w:color="auto" w:fill="FFFFFF"/>
        </w:rPr>
      </w:pPr>
      <w:r>
        <w:rPr>
          <w:rFonts w:hint="eastAsia" w:hAnsi="宋体"/>
          <w:bCs/>
          <w:color w:val="auto"/>
          <w:kern w:val="2"/>
          <w:sz w:val="24"/>
          <w:szCs w:val="24"/>
          <w:highlight w:val="none"/>
          <w:shd w:val="clear" w:color="auto" w:fill="FFFFFF"/>
          <w:lang w:val="en-US" w:eastAsia="zh-CN"/>
        </w:rPr>
        <w:t>5.</w:t>
      </w:r>
      <w:r>
        <w:rPr>
          <w:rFonts w:hint="eastAsia" w:ascii="Times New Roman" w:hAnsi="宋体" w:cs="宋体"/>
          <w:color w:val="auto"/>
          <w:kern w:val="2"/>
          <w:sz w:val="24"/>
          <w:szCs w:val="20"/>
          <w:highlight w:val="none"/>
        </w:rPr>
        <w:t>参加本次采购活动前三年内</w:t>
      </w:r>
      <w:r>
        <w:rPr>
          <w:rFonts w:hint="eastAsia" w:ascii="Times New Roman" w:hAnsi="宋体" w:cs="宋体"/>
          <w:color w:val="auto"/>
          <w:kern w:val="2"/>
          <w:sz w:val="24"/>
          <w:szCs w:val="20"/>
          <w:highlight w:val="none"/>
          <w:lang w:eastAsia="zh-CN"/>
        </w:rPr>
        <w:t>，</w:t>
      </w:r>
      <w:r>
        <w:rPr>
          <w:rFonts w:hint="eastAsia" w:ascii="Times New Roman" w:hAnsi="宋体" w:cs="宋体"/>
          <w:color w:val="auto"/>
          <w:kern w:val="2"/>
          <w:sz w:val="24"/>
          <w:szCs w:val="20"/>
          <w:highlight w:val="none"/>
        </w:rPr>
        <w:t>在经营活动中没有重大违法记录，并自行声明；</w:t>
      </w:r>
    </w:p>
    <w:p w14:paraId="22FDABBE">
      <w:pPr>
        <w:keepNext w:val="0"/>
        <w:keepLines w:val="0"/>
        <w:pageBreakBefore w:val="0"/>
        <w:widowControl w:val="0"/>
        <w:kinsoku/>
        <w:wordWrap/>
        <w:overflowPunct/>
        <w:topLinePunct w:val="0"/>
        <w:autoSpaceDE/>
        <w:autoSpaceDN/>
        <w:bidi w:val="0"/>
        <w:adjustRightInd/>
        <w:spacing w:line="460" w:lineRule="exact"/>
        <w:ind w:firstLine="520" w:firstLineChars="217"/>
        <w:jc w:val="left"/>
        <w:textAlignment w:val="auto"/>
        <w:rPr>
          <w:rFonts w:hAnsi="宋体"/>
          <w:bCs/>
          <w:color w:val="auto"/>
          <w:kern w:val="2"/>
          <w:sz w:val="24"/>
          <w:szCs w:val="24"/>
          <w:highlight w:val="none"/>
          <w:shd w:val="clear" w:color="auto" w:fill="FFFFFF"/>
        </w:rPr>
      </w:pPr>
      <w:r>
        <w:rPr>
          <w:rFonts w:hint="eastAsia" w:hAnsi="宋体"/>
          <w:bCs/>
          <w:color w:val="auto"/>
          <w:kern w:val="2"/>
          <w:sz w:val="24"/>
          <w:szCs w:val="24"/>
          <w:highlight w:val="none"/>
          <w:shd w:val="clear" w:color="auto" w:fill="FFFFFF"/>
          <w:lang w:val="en-US" w:eastAsia="zh-CN"/>
        </w:rPr>
        <w:t>6.</w:t>
      </w:r>
      <w:r>
        <w:rPr>
          <w:rFonts w:hint="eastAsia" w:hAnsi="宋体"/>
          <w:bCs/>
          <w:color w:val="auto"/>
          <w:kern w:val="2"/>
          <w:sz w:val="24"/>
          <w:szCs w:val="24"/>
          <w:highlight w:val="none"/>
          <w:shd w:val="clear" w:color="auto" w:fill="FFFFFF"/>
        </w:rPr>
        <w:t>法律、行政法规规定的其他条件：</w:t>
      </w:r>
    </w:p>
    <w:p w14:paraId="2CBC5F01">
      <w:pPr>
        <w:keepNext w:val="0"/>
        <w:keepLines w:val="0"/>
        <w:pageBreakBefore w:val="0"/>
        <w:widowControl w:val="0"/>
        <w:kinsoku/>
        <w:wordWrap/>
        <w:overflowPunct/>
        <w:topLinePunct w:val="0"/>
        <w:autoSpaceDE/>
        <w:autoSpaceDN/>
        <w:bidi w:val="0"/>
        <w:adjustRightInd/>
        <w:spacing w:line="460" w:lineRule="exact"/>
        <w:ind w:firstLine="520" w:firstLineChars="217"/>
        <w:jc w:val="left"/>
        <w:textAlignment w:val="auto"/>
        <w:rPr>
          <w:rFonts w:hAnsi="宋体"/>
          <w:bCs/>
          <w:color w:val="auto"/>
          <w:kern w:val="2"/>
          <w:sz w:val="24"/>
          <w:szCs w:val="24"/>
          <w:highlight w:val="none"/>
          <w:shd w:val="clear" w:color="auto" w:fill="FFFFFF"/>
        </w:rPr>
      </w:pPr>
      <w:r>
        <w:rPr>
          <w:rFonts w:hint="eastAsia" w:hAnsi="宋体"/>
          <w:bCs/>
          <w:color w:val="auto"/>
          <w:kern w:val="2"/>
          <w:sz w:val="24"/>
          <w:szCs w:val="24"/>
          <w:highlight w:val="none"/>
          <w:shd w:val="clear" w:color="auto" w:fill="FFFFFF"/>
          <w:lang w:val="en-US" w:eastAsia="zh-CN"/>
        </w:rPr>
        <w:t>6.1.</w:t>
      </w:r>
      <w:r>
        <w:rPr>
          <w:rFonts w:hint="eastAsia" w:hAnsi="宋体"/>
          <w:bCs/>
          <w:color w:val="auto"/>
          <w:kern w:val="2"/>
          <w:sz w:val="24"/>
          <w:szCs w:val="24"/>
          <w:highlight w:val="none"/>
          <w:shd w:val="clear" w:color="auto" w:fill="FFFFFF"/>
        </w:rPr>
        <w:t>单位负责人为同一人或者存在直接控股、管理关系的不同投标人，不得参加同一合同项下的采购活动（提供承诺函）；</w:t>
      </w:r>
    </w:p>
    <w:p w14:paraId="10FE2BE7">
      <w:pPr>
        <w:keepNext w:val="0"/>
        <w:keepLines w:val="0"/>
        <w:pageBreakBefore w:val="0"/>
        <w:widowControl w:val="0"/>
        <w:kinsoku/>
        <w:wordWrap/>
        <w:overflowPunct/>
        <w:topLinePunct w:val="0"/>
        <w:autoSpaceDE/>
        <w:autoSpaceDN/>
        <w:bidi w:val="0"/>
        <w:adjustRightInd/>
        <w:spacing w:line="460" w:lineRule="exact"/>
        <w:ind w:firstLine="520" w:firstLineChars="217"/>
        <w:jc w:val="left"/>
        <w:textAlignment w:val="auto"/>
        <w:rPr>
          <w:rFonts w:hAnsi="宋体"/>
          <w:bCs/>
          <w:color w:val="auto"/>
          <w:kern w:val="2"/>
          <w:sz w:val="24"/>
          <w:szCs w:val="24"/>
          <w:highlight w:val="none"/>
          <w:shd w:val="clear" w:color="auto" w:fill="FFFFFF"/>
        </w:rPr>
      </w:pPr>
      <w:r>
        <w:rPr>
          <w:rFonts w:hint="eastAsia" w:hAnsi="宋体"/>
          <w:bCs/>
          <w:color w:val="auto"/>
          <w:kern w:val="2"/>
          <w:sz w:val="24"/>
          <w:szCs w:val="24"/>
          <w:highlight w:val="none"/>
          <w:shd w:val="clear" w:color="auto" w:fill="FFFFFF"/>
          <w:lang w:val="en-US" w:eastAsia="zh-CN"/>
        </w:rPr>
        <w:t>6.2.</w:t>
      </w:r>
      <w:r>
        <w:rPr>
          <w:rFonts w:hint="eastAsia" w:hAnsi="宋体"/>
          <w:bCs/>
          <w:color w:val="auto"/>
          <w:kern w:val="2"/>
          <w:sz w:val="24"/>
          <w:szCs w:val="24"/>
          <w:highlight w:val="none"/>
          <w:shd w:val="clear" w:color="auto" w:fill="FFFFFF"/>
        </w:rPr>
        <w:t>为本项目提供整体设计、规范编制或者项目管理、施工、检测</w:t>
      </w:r>
      <w:r>
        <w:rPr>
          <w:rFonts w:hint="eastAsia" w:hAnsi="宋体"/>
          <w:bCs/>
          <w:color w:val="auto"/>
          <w:kern w:val="2"/>
          <w:sz w:val="24"/>
          <w:szCs w:val="24"/>
          <w:highlight w:val="none"/>
          <w:shd w:val="clear" w:color="auto" w:fill="FFFFFF"/>
          <w:lang w:eastAsia="zh-CN"/>
        </w:rPr>
        <w:t>、预算编制</w:t>
      </w:r>
      <w:r>
        <w:rPr>
          <w:rFonts w:hint="eastAsia" w:hAnsi="宋体"/>
          <w:bCs/>
          <w:color w:val="auto"/>
          <w:kern w:val="2"/>
          <w:sz w:val="24"/>
          <w:szCs w:val="24"/>
          <w:highlight w:val="none"/>
          <w:shd w:val="clear" w:color="auto" w:fill="FFFFFF"/>
        </w:rPr>
        <w:t>等服务的投标人，不得再参加本次采购活动（提供承诺函）；</w:t>
      </w:r>
    </w:p>
    <w:p w14:paraId="10FEE97D">
      <w:pPr>
        <w:keepNext w:val="0"/>
        <w:keepLines w:val="0"/>
        <w:pageBreakBefore w:val="0"/>
        <w:widowControl w:val="0"/>
        <w:kinsoku/>
        <w:wordWrap/>
        <w:overflowPunct/>
        <w:topLinePunct w:val="0"/>
        <w:autoSpaceDE/>
        <w:autoSpaceDN/>
        <w:bidi w:val="0"/>
        <w:adjustRightInd/>
        <w:spacing w:line="460" w:lineRule="exact"/>
        <w:ind w:firstLine="520" w:firstLineChars="217"/>
        <w:jc w:val="left"/>
        <w:textAlignment w:val="auto"/>
        <w:rPr>
          <w:rFonts w:hint="eastAsia" w:hAnsi="宋体"/>
          <w:bCs/>
          <w:color w:val="auto"/>
          <w:kern w:val="2"/>
          <w:sz w:val="24"/>
          <w:szCs w:val="24"/>
          <w:highlight w:val="none"/>
          <w:shd w:val="clear" w:color="auto" w:fill="FFFFFF"/>
        </w:rPr>
      </w:pPr>
      <w:r>
        <w:rPr>
          <w:rFonts w:hint="eastAsia" w:hAnsi="宋体"/>
          <w:bCs/>
          <w:color w:val="auto"/>
          <w:kern w:val="2"/>
          <w:sz w:val="24"/>
          <w:szCs w:val="24"/>
          <w:highlight w:val="none"/>
          <w:shd w:val="clear" w:color="auto" w:fill="FFFFFF"/>
          <w:lang w:val="en-US" w:eastAsia="zh-CN"/>
        </w:rPr>
        <w:t>6.3.</w:t>
      </w:r>
      <w:r>
        <w:rPr>
          <w:rFonts w:hint="eastAsia" w:hAnsi="宋体"/>
          <w:bCs/>
          <w:color w:val="auto"/>
          <w:kern w:val="2"/>
          <w:sz w:val="24"/>
          <w:szCs w:val="24"/>
          <w:highlight w:val="none"/>
          <w:shd w:val="clear" w:color="auto" w:fill="FFFFFF"/>
        </w:rPr>
        <w:t>投标人近三年内（本项目投标截止期前）被《信用中国》（网站：www.creditchina.gov.cn)列入失信被执行人及重大税收违法失信主体、被《中国政府采购网》（网</w:t>
      </w:r>
      <w:r>
        <w:rPr>
          <w:rFonts w:hint="eastAsia" w:ascii="宋体" w:hAnsi="宋体" w:eastAsia="宋体"/>
          <w:bCs/>
          <w:color w:val="auto"/>
          <w:kern w:val="2"/>
          <w:sz w:val="24"/>
          <w:szCs w:val="24"/>
          <w:highlight w:val="none"/>
          <w:shd w:val="clear" w:color="auto" w:fill="FFFFFF"/>
        </w:rPr>
        <w:t>站：</w:t>
      </w:r>
      <w:r>
        <w:rPr>
          <w:rFonts w:hint="eastAsia" w:ascii="宋体" w:hAnsi="宋体" w:eastAsia="宋体"/>
          <w:bCs/>
          <w:color w:val="auto"/>
          <w:kern w:val="2"/>
          <w:sz w:val="24"/>
          <w:szCs w:val="24"/>
          <w:highlight w:val="none"/>
          <w:shd w:val="clear" w:color="auto" w:fill="FFFFFF"/>
        </w:rPr>
        <w:fldChar w:fldCharType="begin"/>
      </w:r>
      <w:r>
        <w:rPr>
          <w:rFonts w:hint="eastAsia" w:ascii="宋体" w:hAnsi="宋体" w:eastAsia="宋体"/>
          <w:bCs/>
          <w:color w:val="auto"/>
          <w:kern w:val="2"/>
          <w:sz w:val="24"/>
          <w:szCs w:val="24"/>
          <w:highlight w:val="none"/>
          <w:shd w:val="clear" w:color="auto" w:fill="FFFFFF"/>
        </w:rPr>
        <w:instrText xml:space="preserve"> HYPERLINK "http://www.ccgp.gov.cn）列入政府采购严重违法失信行为记录名单（处罚期限尚未届满的），不得参与本项目的采购活动【提供以上两个网站的相关查询结果截图加盖公章】。" </w:instrText>
      </w:r>
      <w:r>
        <w:rPr>
          <w:rFonts w:hint="eastAsia" w:ascii="宋体" w:hAnsi="宋体" w:eastAsia="宋体"/>
          <w:bCs/>
          <w:color w:val="auto"/>
          <w:kern w:val="2"/>
          <w:sz w:val="24"/>
          <w:szCs w:val="24"/>
          <w:highlight w:val="none"/>
          <w:shd w:val="clear" w:color="auto" w:fill="FFFFFF"/>
        </w:rPr>
        <w:fldChar w:fldCharType="separate"/>
      </w:r>
      <w:r>
        <w:rPr>
          <w:rFonts w:hint="eastAsia" w:ascii="宋体" w:hAnsi="宋体" w:eastAsia="宋体"/>
          <w:bCs/>
          <w:color w:val="auto"/>
          <w:kern w:val="2"/>
          <w:sz w:val="24"/>
          <w:szCs w:val="24"/>
          <w:highlight w:val="none"/>
          <w:shd w:val="clear" w:color="auto" w:fill="FFFFFF"/>
        </w:rPr>
        <w:t>www.ccgp.gov.cn）列入政府采购严重违法失信行为记录名单（处罚期限尚未届满的），不得参与本项目的采购活动【提供以上两个网站的相关查询结果截图加盖公章】。</w:t>
      </w:r>
      <w:r>
        <w:rPr>
          <w:rFonts w:hint="eastAsia" w:ascii="宋体" w:hAnsi="宋体" w:eastAsia="宋体"/>
          <w:bCs/>
          <w:color w:val="auto"/>
          <w:kern w:val="2"/>
          <w:sz w:val="24"/>
          <w:szCs w:val="24"/>
          <w:highlight w:val="none"/>
          <w:shd w:val="clear" w:color="auto" w:fill="FFFFFF"/>
        </w:rPr>
        <w:fldChar w:fldCharType="end"/>
      </w:r>
    </w:p>
    <w:p w14:paraId="01E285D5">
      <w:pPr>
        <w:keepNext w:val="0"/>
        <w:keepLines w:val="0"/>
        <w:pageBreakBefore w:val="0"/>
        <w:widowControl w:val="0"/>
        <w:kinsoku/>
        <w:wordWrap/>
        <w:overflowPunct/>
        <w:topLinePunct w:val="0"/>
        <w:autoSpaceDE/>
        <w:autoSpaceDN/>
        <w:bidi w:val="0"/>
        <w:adjustRightInd/>
        <w:spacing w:line="460" w:lineRule="exact"/>
        <w:ind w:firstLine="520" w:firstLineChars="217"/>
        <w:jc w:val="left"/>
        <w:textAlignment w:val="auto"/>
        <w:rPr>
          <w:rFonts w:hint="eastAsia" w:hAnsi="宋体"/>
          <w:bCs/>
          <w:color w:val="auto"/>
          <w:sz w:val="24"/>
          <w:szCs w:val="24"/>
          <w:highlight w:val="none"/>
          <w:shd w:val="clear" w:color="auto" w:fill="FFFFFF"/>
        </w:rPr>
      </w:pPr>
      <w:r>
        <w:rPr>
          <w:rFonts w:hint="eastAsia" w:hAnsi="宋体"/>
          <w:bCs/>
          <w:color w:val="auto"/>
          <w:sz w:val="24"/>
          <w:szCs w:val="24"/>
          <w:highlight w:val="none"/>
          <w:shd w:val="clear" w:color="auto" w:fill="FFFFFF"/>
          <w:lang w:val="en-US" w:eastAsia="zh-CN"/>
        </w:rPr>
        <w:t>7.</w:t>
      </w:r>
      <w:r>
        <w:rPr>
          <w:rFonts w:hint="eastAsia" w:hAnsi="宋体"/>
          <w:bCs/>
          <w:color w:val="auto"/>
          <w:sz w:val="24"/>
          <w:szCs w:val="24"/>
          <w:highlight w:val="none"/>
          <w:shd w:val="clear" w:color="auto" w:fill="FFFFFF"/>
        </w:rPr>
        <w:t>本项目不接受联合体投标</w:t>
      </w:r>
      <w:r>
        <w:rPr>
          <w:rFonts w:hint="eastAsia" w:hAnsi="宋体"/>
          <w:bCs/>
          <w:color w:val="auto"/>
          <w:kern w:val="2"/>
          <w:sz w:val="24"/>
          <w:szCs w:val="24"/>
          <w:highlight w:val="none"/>
          <w:shd w:val="clear" w:color="auto" w:fill="FFFFFF"/>
        </w:rPr>
        <w:t>（提供承诺函）</w:t>
      </w:r>
      <w:r>
        <w:rPr>
          <w:rFonts w:hint="eastAsia" w:hAnsi="宋体"/>
          <w:bCs/>
          <w:color w:val="auto"/>
          <w:sz w:val="24"/>
          <w:szCs w:val="24"/>
          <w:highlight w:val="none"/>
          <w:shd w:val="clear" w:color="auto" w:fill="FFFFFF"/>
        </w:rPr>
        <w:t>。</w:t>
      </w:r>
    </w:p>
    <w:p w14:paraId="18939736">
      <w:pPr>
        <w:keepNext w:val="0"/>
        <w:keepLines w:val="0"/>
        <w:pageBreakBefore w:val="0"/>
        <w:widowControl w:val="0"/>
        <w:kinsoku/>
        <w:wordWrap/>
        <w:overflowPunct/>
        <w:topLinePunct w:val="0"/>
        <w:autoSpaceDE/>
        <w:autoSpaceDN/>
        <w:bidi w:val="0"/>
        <w:adjustRightInd/>
        <w:spacing w:line="460" w:lineRule="exact"/>
        <w:ind w:firstLine="523" w:firstLineChars="217"/>
        <w:jc w:val="left"/>
        <w:textAlignment w:val="auto"/>
        <w:rPr>
          <w:rFonts w:hAnsi="宋体" w:cs="宋体"/>
          <w:b/>
          <w:bCs/>
          <w:color w:val="auto"/>
          <w:sz w:val="24"/>
          <w:szCs w:val="20"/>
          <w:highlight w:val="none"/>
        </w:rPr>
      </w:pPr>
      <w:r>
        <w:rPr>
          <w:rFonts w:hint="eastAsia" w:hAnsi="宋体" w:cs="宋体"/>
          <w:b/>
          <w:bCs/>
          <w:color w:val="auto"/>
          <w:sz w:val="24"/>
          <w:szCs w:val="20"/>
          <w:highlight w:val="none"/>
        </w:rPr>
        <w:t>四、采购文件领取：</w:t>
      </w:r>
    </w:p>
    <w:p w14:paraId="02EF3738">
      <w:pPr>
        <w:keepNext w:val="0"/>
        <w:keepLines w:val="0"/>
        <w:pageBreakBefore w:val="0"/>
        <w:widowControl w:val="0"/>
        <w:kinsoku/>
        <w:wordWrap/>
        <w:overflowPunct/>
        <w:topLinePunct w:val="0"/>
        <w:autoSpaceDE/>
        <w:autoSpaceDN/>
        <w:bidi w:val="0"/>
        <w:adjustRightInd/>
        <w:spacing w:line="460" w:lineRule="exact"/>
        <w:ind w:firstLine="520" w:firstLineChars="217"/>
        <w:jc w:val="left"/>
        <w:textAlignment w:val="auto"/>
        <w:rPr>
          <w:rFonts w:hAnsi="宋体" w:cs="宋体"/>
          <w:color w:val="auto"/>
          <w:sz w:val="24"/>
          <w:szCs w:val="20"/>
          <w:highlight w:val="none"/>
        </w:rPr>
      </w:pPr>
      <w:r>
        <w:rPr>
          <w:rFonts w:hint="eastAsia" w:hAnsi="宋体" w:cs="宋体"/>
          <w:color w:val="auto"/>
          <w:sz w:val="24"/>
          <w:szCs w:val="20"/>
          <w:highlight w:val="none"/>
        </w:rPr>
        <w:t>1、采购文件领取方式：线上</w:t>
      </w:r>
    </w:p>
    <w:p w14:paraId="02DFBF9A">
      <w:pPr>
        <w:keepNext w:val="0"/>
        <w:keepLines w:val="0"/>
        <w:pageBreakBefore w:val="0"/>
        <w:widowControl w:val="0"/>
        <w:kinsoku/>
        <w:wordWrap/>
        <w:overflowPunct/>
        <w:topLinePunct w:val="0"/>
        <w:autoSpaceDE/>
        <w:autoSpaceDN/>
        <w:bidi w:val="0"/>
        <w:adjustRightInd/>
        <w:spacing w:line="460" w:lineRule="exact"/>
        <w:ind w:firstLine="520" w:firstLineChars="217"/>
        <w:jc w:val="left"/>
        <w:textAlignment w:val="auto"/>
        <w:rPr>
          <w:rFonts w:hint="eastAsia" w:hAnsi="宋体" w:eastAsia="宋体" w:cs="宋体"/>
          <w:color w:val="auto"/>
          <w:sz w:val="24"/>
          <w:szCs w:val="20"/>
          <w:highlight w:val="none"/>
          <w:lang w:eastAsia="zh-CN"/>
        </w:rPr>
      </w:pPr>
      <w:r>
        <w:rPr>
          <w:rFonts w:hint="eastAsia" w:hAnsi="宋体" w:cs="宋体"/>
          <w:color w:val="auto"/>
          <w:sz w:val="24"/>
          <w:szCs w:val="20"/>
          <w:highlight w:val="none"/>
        </w:rPr>
        <w:t>2、采购文件领取截止时间：</w:t>
      </w:r>
      <w:r>
        <w:rPr>
          <w:rFonts w:hint="eastAsia" w:hAnsi="宋体" w:cs="宋体"/>
          <w:color w:val="auto"/>
          <w:sz w:val="24"/>
          <w:szCs w:val="20"/>
          <w:highlight w:val="none"/>
          <w:lang w:val="en-US" w:eastAsia="zh-CN"/>
        </w:rPr>
        <w:t>2024</w:t>
      </w:r>
      <w:r>
        <w:rPr>
          <w:rFonts w:hint="eastAsia" w:hAnsi="宋体" w:cs="宋体"/>
          <w:color w:val="auto"/>
          <w:sz w:val="24"/>
          <w:szCs w:val="20"/>
          <w:highlight w:val="none"/>
        </w:rPr>
        <w:t>年</w:t>
      </w:r>
      <w:r>
        <w:rPr>
          <w:rFonts w:hint="eastAsia" w:hAnsi="宋体" w:cs="宋体"/>
          <w:color w:val="auto"/>
          <w:sz w:val="24"/>
          <w:szCs w:val="20"/>
          <w:highlight w:val="none"/>
          <w:lang w:val="en-US" w:eastAsia="zh-CN"/>
        </w:rPr>
        <w:t xml:space="preserve">   </w:t>
      </w:r>
      <w:r>
        <w:rPr>
          <w:rFonts w:hint="eastAsia" w:hAnsi="宋体" w:cs="宋体"/>
          <w:color w:val="auto"/>
          <w:sz w:val="24"/>
          <w:szCs w:val="20"/>
          <w:highlight w:val="none"/>
        </w:rPr>
        <w:t>月</w:t>
      </w:r>
      <w:r>
        <w:rPr>
          <w:rFonts w:hint="eastAsia" w:hAnsi="宋体" w:cs="宋体"/>
          <w:color w:val="auto"/>
          <w:sz w:val="24"/>
          <w:szCs w:val="20"/>
          <w:highlight w:val="none"/>
          <w:lang w:val="en-US" w:eastAsia="zh-CN"/>
        </w:rPr>
        <w:t xml:space="preserve">   </w:t>
      </w:r>
      <w:r>
        <w:rPr>
          <w:rFonts w:hint="eastAsia" w:hAnsi="宋体" w:cs="宋体"/>
          <w:color w:val="auto"/>
          <w:sz w:val="24"/>
          <w:szCs w:val="20"/>
          <w:highlight w:val="none"/>
        </w:rPr>
        <w:t xml:space="preserve">日 </w:t>
      </w:r>
      <w:r>
        <w:rPr>
          <w:rFonts w:hint="eastAsia" w:hAnsi="宋体" w:cs="宋体"/>
          <w:color w:val="auto"/>
          <w:sz w:val="24"/>
          <w:szCs w:val="20"/>
          <w:highlight w:val="none"/>
          <w:lang w:val="en-US" w:eastAsia="zh-CN"/>
        </w:rPr>
        <w:t xml:space="preserve">  </w:t>
      </w:r>
      <w:r>
        <w:rPr>
          <w:rFonts w:hint="eastAsia" w:hAnsi="宋体" w:cs="宋体"/>
          <w:color w:val="auto"/>
          <w:sz w:val="24"/>
          <w:szCs w:val="20"/>
          <w:highlight w:val="none"/>
        </w:rPr>
        <w:t>：</w:t>
      </w:r>
      <w:r>
        <w:rPr>
          <w:rFonts w:hint="eastAsia" w:hAnsi="宋体" w:cs="宋体"/>
          <w:color w:val="auto"/>
          <w:sz w:val="24"/>
          <w:szCs w:val="20"/>
          <w:highlight w:val="none"/>
          <w:lang w:val="en-US" w:eastAsia="zh-CN"/>
        </w:rPr>
        <w:t xml:space="preserve"> </w:t>
      </w:r>
    </w:p>
    <w:p w14:paraId="4596E1B5">
      <w:pPr>
        <w:keepNext w:val="0"/>
        <w:keepLines w:val="0"/>
        <w:pageBreakBefore w:val="0"/>
        <w:widowControl w:val="0"/>
        <w:kinsoku/>
        <w:wordWrap/>
        <w:overflowPunct/>
        <w:topLinePunct w:val="0"/>
        <w:autoSpaceDE/>
        <w:autoSpaceDN/>
        <w:bidi w:val="0"/>
        <w:adjustRightInd/>
        <w:spacing w:line="460" w:lineRule="exact"/>
        <w:ind w:firstLine="520" w:firstLineChars="217"/>
        <w:jc w:val="left"/>
        <w:textAlignment w:val="auto"/>
        <w:rPr>
          <w:rFonts w:hAnsi="宋体" w:cs="宋体"/>
          <w:color w:val="auto"/>
          <w:sz w:val="24"/>
          <w:szCs w:val="20"/>
          <w:highlight w:val="none"/>
        </w:rPr>
      </w:pPr>
      <w:r>
        <w:rPr>
          <w:rFonts w:hint="eastAsia" w:hAnsi="宋体" w:cs="宋体"/>
          <w:color w:val="auto"/>
          <w:sz w:val="24"/>
          <w:szCs w:val="20"/>
          <w:highlight w:val="none"/>
        </w:rPr>
        <w:t>3、采购文件领取地点：登录</w:t>
      </w:r>
      <w:r>
        <w:rPr>
          <w:rFonts w:hint="eastAsia" w:hAnsi="宋体" w:cs="宋体"/>
          <w:color w:val="auto"/>
          <w:sz w:val="24"/>
          <w:szCs w:val="20"/>
          <w:highlight w:val="none"/>
          <w:lang w:eastAsia="zh-CN"/>
        </w:rPr>
        <w:t>上饶市阳光采购平台（https://www.ygcgfwpt.com/）</w:t>
      </w:r>
      <w:r>
        <w:rPr>
          <w:rFonts w:hint="eastAsia" w:hAnsi="宋体" w:cs="宋体"/>
          <w:color w:val="auto"/>
          <w:sz w:val="24"/>
          <w:szCs w:val="20"/>
          <w:highlight w:val="none"/>
        </w:rPr>
        <w:t>下载。</w:t>
      </w:r>
    </w:p>
    <w:p w14:paraId="2C0DCADA">
      <w:pPr>
        <w:keepNext w:val="0"/>
        <w:keepLines w:val="0"/>
        <w:pageBreakBefore w:val="0"/>
        <w:widowControl w:val="0"/>
        <w:kinsoku/>
        <w:wordWrap/>
        <w:overflowPunct/>
        <w:topLinePunct w:val="0"/>
        <w:autoSpaceDE/>
        <w:autoSpaceDN/>
        <w:bidi w:val="0"/>
        <w:adjustRightInd/>
        <w:spacing w:line="460" w:lineRule="exact"/>
        <w:ind w:firstLine="523" w:firstLineChars="217"/>
        <w:jc w:val="left"/>
        <w:textAlignment w:val="auto"/>
        <w:rPr>
          <w:rFonts w:hAnsi="宋体" w:cs="宋体"/>
          <w:b/>
          <w:bCs/>
          <w:color w:val="auto"/>
          <w:sz w:val="24"/>
          <w:szCs w:val="20"/>
          <w:highlight w:val="none"/>
        </w:rPr>
      </w:pPr>
      <w:r>
        <w:rPr>
          <w:rFonts w:hint="eastAsia" w:hAnsi="宋体" w:cs="宋体"/>
          <w:b/>
          <w:bCs/>
          <w:color w:val="auto"/>
          <w:sz w:val="24"/>
          <w:szCs w:val="20"/>
          <w:highlight w:val="none"/>
        </w:rPr>
        <w:t>五、响应文件的提交：</w:t>
      </w:r>
    </w:p>
    <w:p w14:paraId="66A25DF6">
      <w:pPr>
        <w:keepNext w:val="0"/>
        <w:keepLines w:val="0"/>
        <w:pageBreakBefore w:val="0"/>
        <w:widowControl w:val="0"/>
        <w:kinsoku/>
        <w:wordWrap/>
        <w:overflowPunct/>
        <w:topLinePunct w:val="0"/>
        <w:autoSpaceDE/>
        <w:autoSpaceDN/>
        <w:bidi w:val="0"/>
        <w:adjustRightInd/>
        <w:spacing w:line="460" w:lineRule="exact"/>
        <w:ind w:firstLine="520" w:firstLineChars="217"/>
        <w:jc w:val="left"/>
        <w:textAlignment w:val="auto"/>
        <w:rPr>
          <w:rFonts w:hAnsi="宋体" w:cs="宋体"/>
          <w:color w:val="auto"/>
          <w:sz w:val="24"/>
          <w:szCs w:val="20"/>
          <w:highlight w:val="none"/>
        </w:rPr>
      </w:pPr>
      <w:bookmarkStart w:id="7" w:name="_Toc35393625"/>
      <w:bookmarkStart w:id="8" w:name="_Toc28359084"/>
      <w:bookmarkStart w:id="9" w:name="_Toc8753"/>
      <w:bookmarkStart w:id="10" w:name="_Toc28359007"/>
      <w:bookmarkStart w:id="11" w:name="_Toc35393794"/>
      <w:bookmarkStart w:id="12" w:name="_Toc12960"/>
      <w:r>
        <w:rPr>
          <w:rFonts w:hint="eastAsia" w:hAnsi="宋体" w:cs="宋体"/>
          <w:color w:val="auto"/>
          <w:sz w:val="24"/>
          <w:szCs w:val="20"/>
          <w:highlight w:val="none"/>
        </w:rPr>
        <w:t>1、递交方式：现场递交</w:t>
      </w:r>
    </w:p>
    <w:p w14:paraId="5E65C39E">
      <w:pPr>
        <w:keepNext w:val="0"/>
        <w:keepLines w:val="0"/>
        <w:pageBreakBefore w:val="0"/>
        <w:widowControl w:val="0"/>
        <w:kinsoku/>
        <w:wordWrap/>
        <w:overflowPunct/>
        <w:topLinePunct w:val="0"/>
        <w:autoSpaceDE/>
        <w:autoSpaceDN/>
        <w:bidi w:val="0"/>
        <w:adjustRightInd/>
        <w:spacing w:line="460" w:lineRule="exact"/>
        <w:ind w:firstLine="520" w:firstLineChars="217"/>
        <w:jc w:val="left"/>
        <w:textAlignment w:val="auto"/>
        <w:rPr>
          <w:rFonts w:hint="eastAsia" w:hAnsi="宋体" w:cs="宋体"/>
          <w:color w:val="auto"/>
          <w:sz w:val="24"/>
          <w:szCs w:val="20"/>
          <w:highlight w:val="none"/>
          <w:lang w:val="en-US" w:eastAsia="zh-CN"/>
        </w:rPr>
      </w:pPr>
      <w:r>
        <w:rPr>
          <w:rFonts w:hint="eastAsia" w:hAnsi="宋体" w:cs="宋体"/>
          <w:color w:val="auto"/>
          <w:sz w:val="24"/>
          <w:szCs w:val="20"/>
          <w:highlight w:val="none"/>
        </w:rPr>
        <w:t>2、递交截止时间：202</w:t>
      </w:r>
      <w:r>
        <w:rPr>
          <w:rFonts w:hint="eastAsia" w:hAnsi="宋体" w:cs="宋体"/>
          <w:color w:val="auto"/>
          <w:sz w:val="24"/>
          <w:szCs w:val="20"/>
          <w:highlight w:val="none"/>
          <w:lang w:val="en-US" w:eastAsia="zh-CN"/>
        </w:rPr>
        <w:t>4</w:t>
      </w:r>
      <w:r>
        <w:rPr>
          <w:rFonts w:hint="eastAsia" w:hAnsi="宋体" w:cs="宋体"/>
          <w:color w:val="auto"/>
          <w:sz w:val="24"/>
          <w:szCs w:val="20"/>
          <w:highlight w:val="none"/>
        </w:rPr>
        <w:t>年</w:t>
      </w:r>
      <w:r>
        <w:rPr>
          <w:rFonts w:hint="eastAsia" w:hAnsi="宋体" w:cs="宋体"/>
          <w:color w:val="auto"/>
          <w:sz w:val="24"/>
          <w:szCs w:val="20"/>
          <w:highlight w:val="none"/>
          <w:lang w:val="en-US" w:eastAsia="zh-CN"/>
        </w:rPr>
        <w:t xml:space="preserve">   </w:t>
      </w:r>
      <w:r>
        <w:rPr>
          <w:rFonts w:hint="eastAsia" w:hAnsi="宋体" w:cs="宋体"/>
          <w:color w:val="auto"/>
          <w:sz w:val="24"/>
          <w:szCs w:val="20"/>
          <w:highlight w:val="none"/>
        </w:rPr>
        <w:t>月</w:t>
      </w:r>
      <w:r>
        <w:rPr>
          <w:rFonts w:hint="eastAsia" w:hAnsi="宋体" w:cs="宋体"/>
          <w:color w:val="auto"/>
          <w:sz w:val="24"/>
          <w:szCs w:val="20"/>
          <w:highlight w:val="none"/>
          <w:lang w:val="en-US" w:eastAsia="zh-CN"/>
        </w:rPr>
        <w:t xml:space="preserve">   </w:t>
      </w:r>
      <w:r>
        <w:rPr>
          <w:rFonts w:hint="eastAsia" w:hAnsi="宋体" w:cs="宋体"/>
          <w:color w:val="auto"/>
          <w:sz w:val="24"/>
          <w:szCs w:val="20"/>
          <w:highlight w:val="none"/>
        </w:rPr>
        <w:t>日</w:t>
      </w:r>
      <w:r>
        <w:rPr>
          <w:rFonts w:hint="eastAsia" w:hAnsi="宋体" w:cs="宋体"/>
          <w:color w:val="auto"/>
          <w:sz w:val="24"/>
          <w:szCs w:val="20"/>
          <w:highlight w:val="none"/>
          <w:lang w:val="en-US" w:eastAsia="zh-CN"/>
        </w:rPr>
        <w:t xml:space="preserve">   </w:t>
      </w:r>
      <w:r>
        <w:rPr>
          <w:rFonts w:hint="eastAsia" w:hAnsi="宋体" w:cs="宋体"/>
          <w:color w:val="auto"/>
          <w:sz w:val="24"/>
          <w:szCs w:val="20"/>
          <w:highlight w:val="none"/>
        </w:rPr>
        <w:t>：</w:t>
      </w:r>
      <w:r>
        <w:rPr>
          <w:rFonts w:hint="eastAsia" w:hAnsi="宋体" w:cs="宋体"/>
          <w:color w:val="auto"/>
          <w:sz w:val="24"/>
          <w:szCs w:val="20"/>
          <w:highlight w:val="none"/>
          <w:lang w:val="en-US" w:eastAsia="zh-CN"/>
        </w:rPr>
        <w:t xml:space="preserve"> </w:t>
      </w:r>
    </w:p>
    <w:p w14:paraId="7B2AA5F5">
      <w:pPr>
        <w:keepNext w:val="0"/>
        <w:keepLines w:val="0"/>
        <w:pageBreakBefore w:val="0"/>
        <w:widowControl w:val="0"/>
        <w:kinsoku/>
        <w:wordWrap/>
        <w:overflowPunct/>
        <w:topLinePunct w:val="0"/>
        <w:autoSpaceDE/>
        <w:autoSpaceDN/>
        <w:bidi w:val="0"/>
        <w:adjustRightInd/>
        <w:spacing w:line="460" w:lineRule="exact"/>
        <w:ind w:firstLine="520" w:firstLineChars="217"/>
        <w:jc w:val="left"/>
        <w:textAlignment w:val="auto"/>
        <w:rPr>
          <w:rFonts w:hAnsi="宋体" w:cs="宋体"/>
          <w:color w:val="auto"/>
          <w:sz w:val="24"/>
          <w:szCs w:val="20"/>
          <w:highlight w:val="none"/>
        </w:rPr>
      </w:pPr>
      <w:r>
        <w:rPr>
          <w:rFonts w:hint="eastAsia" w:hAnsi="宋体" w:cs="宋体"/>
          <w:color w:val="auto"/>
          <w:sz w:val="24"/>
          <w:szCs w:val="20"/>
          <w:highlight w:val="none"/>
        </w:rPr>
        <w:t>3、递交地点：上饶市信州区锦绣路2号广信大厦东楼（A）3楼</w:t>
      </w:r>
    </w:p>
    <w:p w14:paraId="03E5B841">
      <w:pPr>
        <w:keepNext w:val="0"/>
        <w:keepLines w:val="0"/>
        <w:pageBreakBefore w:val="0"/>
        <w:widowControl w:val="0"/>
        <w:kinsoku/>
        <w:wordWrap/>
        <w:overflowPunct/>
        <w:topLinePunct w:val="0"/>
        <w:autoSpaceDE/>
        <w:autoSpaceDN/>
        <w:bidi w:val="0"/>
        <w:adjustRightInd/>
        <w:spacing w:line="460" w:lineRule="exact"/>
        <w:ind w:firstLine="523" w:firstLineChars="217"/>
        <w:jc w:val="left"/>
        <w:textAlignment w:val="auto"/>
        <w:rPr>
          <w:rFonts w:hAnsi="宋体" w:cs="宋体"/>
          <w:b/>
          <w:bCs/>
          <w:color w:val="auto"/>
          <w:sz w:val="24"/>
          <w:szCs w:val="20"/>
          <w:highlight w:val="none"/>
        </w:rPr>
      </w:pPr>
      <w:r>
        <w:rPr>
          <w:rFonts w:hint="eastAsia" w:hAnsi="宋体" w:cs="宋体"/>
          <w:b/>
          <w:bCs/>
          <w:color w:val="auto"/>
          <w:sz w:val="24"/>
          <w:szCs w:val="20"/>
          <w:highlight w:val="none"/>
        </w:rPr>
        <w:t>六、开标时间和地点：</w:t>
      </w:r>
    </w:p>
    <w:bookmarkEnd w:id="7"/>
    <w:bookmarkEnd w:id="8"/>
    <w:bookmarkEnd w:id="9"/>
    <w:bookmarkEnd w:id="10"/>
    <w:bookmarkEnd w:id="11"/>
    <w:bookmarkEnd w:id="12"/>
    <w:p w14:paraId="03229006">
      <w:pPr>
        <w:keepNext w:val="0"/>
        <w:keepLines w:val="0"/>
        <w:pageBreakBefore w:val="0"/>
        <w:widowControl w:val="0"/>
        <w:kinsoku/>
        <w:wordWrap/>
        <w:overflowPunct/>
        <w:topLinePunct w:val="0"/>
        <w:autoSpaceDE/>
        <w:autoSpaceDN/>
        <w:bidi w:val="0"/>
        <w:adjustRightInd/>
        <w:spacing w:line="460" w:lineRule="exact"/>
        <w:ind w:firstLine="520" w:firstLineChars="217"/>
        <w:jc w:val="left"/>
        <w:textAlignment w:val="auto"/>
        <w:rPr>
          <w:rFonts w:hAnsi="宋体" w:cs="宋体"/>
          <w:color w:val="000000"/>
          <w:sz w:val="24"/>
          <w:szCs w:val="20"/>
        </w:rPr>
      </w:pPr>
      <w:r>
        <w:rPr>
          <w:rFonts w:hint="eastAsia" w:hAnsi="宋体" w:cs="宋体"/>
          <w:color w:val="000000"/>
          <w:sz w:val="24"/>
          <w:szCs w:val="20"/>
        </w:rPr>
        <w:t>1、开标时间：</w:t>
      </w:r>
      <w:r>
        <w:rPr>
          <w:rFonts w:hint="eastAsia" w:hAnsi="宋体" w:cs="宋体"/>
          <w:color w:val="000000"/>
          <w:sz w:val="24"/>
          <w:szCs w:val="20"/>
          <w:lang w:val="en-US" w:eastAsia="zh-CN"/>
        </w:rPr>
        <w:t>2024</w:t>
      </w:r>
      <w:r>
        <w:rPr>
          <w:rFonts w:hint="eastAsia" w:hAnsi="宋体" w:cs="宋体"/>
          <w:color w:val="000000"/>
          <w:sz w:val="24"/>
          <w:szCs w:val="20"/>
        </w:rPr>
        <w:t>-</w:t>
      </w:r>
      <w:r>
        <w:rPr>
          <w:rFonts w:hint="eastAsia" w:hAnsi="宋体" w:cs="宋体"/>
          <w:color w:val="000000"/>
          <w:sz w:val="24"/>
          <w:szCs w:val="20"/>
          <w:lang w:val="en-US" w:eastAsia="zh-CN"/>
        </w:rPr>
        <w:t xml:space="preserve">   </w:t>
      </w:r>
      <w:r>
        <w:rPr>
          <w:rFonts w:hint="eastAsia" w:hAnsi="宋体" w:cs="宋体"/>
          <w:color w:val="000000"/>
          <w:sz w:val="24"/>
          <w:szCs w:val="20"/>
        </w:rPr>
        <w:t>-</w:t>
      </w:r>
      <w:r>
        <w:rPr>
          <w:rFonts w:hint="eastAsia" w:hAnsi="宋体" w:cs="宋体"/>
          <w:color w:val="000000"/>
          <w:sz w:val="24"/>
          <w:szCs w:val="20"/>
          <w:lang w:val="en-US" w:eastAsia="zh-CN"/>
        </w:rPr>
        <w:t xml:space="preserve">  </w:t>
      </w:r>
      <w:r>
        <w:rPr>
          <w:rFonts w:hint="eastAsia" w:hAnsi="宋体" w:cs="宋体"/>
          <w:color w:val="000000"/>
          <w:sz w:val="24"/>
          <w:szCs w:val="20"/>
        </w:rPr>
        <w:t xml:space="preserve">    </w:t>
      </w:r>
      <w:r>
        <w:rPr>
          <w:rFonts w:hint="eastAsia" w:hAnsi="宋体" w:cs="宋体"/>
          <w:color w:val="000000"/>
          <w:sz w:val="24"/>
          <w:szCs w:val="20"/>
          <w:lang w:val="en-US" w:eastAsia="zh-CN"/>
        </w:rPr>
        <w:t xml:space="preserve">  </w:t>
      </w:r>
      <w:r>
        <w:rPr>
          <w:rFonts w:hint="eastAsia" w:hAnsi="宋体" w:cs="宋体"/>
          <w:color w:val="000000"/>
          <w:sz w:val="24"/>
          <w:szCs w:val="20"/>
        </w:rPr>
        <w:t>:</w:t>
      </w:r>
      <w:r>
        <w:rPr>
          <w:rFonts w:hint="eastAsia" w:hAnsi="宋体" w:cs="宋体"/>
          <w:color w:val="000000"/>
          <w:sz w:val="24"/>
          <w:szCs w:val="20"/>
          <w:lang w:val="en-US" w:eastAsia="zh-CN"/>
        </w:rPr>
        <w:t xml:space="preserve">   </w:t>
      </w:r>
      <w:r>
        <w:rPr>
          <w:rFonts w:hint="eastAsia" w:hAnsi="宋体" w:cs="宋体"/>
          <w:color w:val="000000"/>
          <w:sz w:val="24"/>
          <w:szCs w:val="20"/>
        </w:rPr>
        <w:t xml:space="preserve">:  </w:t>
      </w:r>
    </w:p>
    <w:p w14:paraId="6D904509">
      <w:pPr>
        <w:keepNext w:val="0"/>
        <w:keepLines w:val="0"/>
        <w:pageBreakBefore w:val="0"/>
        <w:widowControl w:val="0"/>
        <w:kinsoku/>
        <w:wordWrap/>
        <w:overflowPunct/>
        <w:topLinePunct w:val="0"/>
        <w:autoSpaceDE/>
        <w:autoSpaceDN/>
        <w:bidi w:val="0"/>
        <w:adjustRightInd/>
        <w:spacing w:line="460" w:lineRule="exact"/>
        <w:ind w:firstLine="520" w:firstLineChars="217"/>
        <w:jc w:val="left"/>
        <w:textAlignment w:val="auto"/>
        <w:rPr>
          <w:rFonts w:hAnsi="宋体" w:cs="宋体"/>
          <w:color w:val="000000"/>
          <w:sz w:val="24"/>
          <w:szCs w:val="20"/>
        </w:rPr>
      </w:pPr>
      <w:r>
        <w:rPr>
          <w:rFonts w:hint="eastAsia" w:hAnsi="宋体" w:cs="宋体"/>
          <w:color w:val="000000"/>
          <w:sz w:val="24"/>
          <w:szCs w:val="20"/>
        </w:rPr>
        <w:t>2、开标地点：</w:t>
      </w:r>
      <w:r>
        <w:rPr>
          <w:rFonts w:hint="eastAsia" w:hAnsi="宋体" w:cs="宋体"/>
          <w:color w:val="auto"/>
          <w:sz w:val="24"/>
          <w:szCs w:val="20"/>
          <w:highlight w:val="none"/>
        </w:rPr>
        <w:t>上饶市信州区锦绣路2号广信大厦东楼（A）3楼</w:t>
      </w:r>
    </w:p>
    <w:p w14:paraId="7689F9EF">
      <w:pPr>
        <w:keepNext w:val="0"/>
        <w:keepLines w:val="0"/>
        <w:pageBreakBefore w:val="0"/>
        <w:widowControl w:val="0"/>
        <w:kinsoku/>
        <w:wordWrap/>
        <w:overflowPunct/>
        <w:topLinePunct w:val="0"/>
        <w:autoSpaceDE/>
        <w:autoSpaceDN/>
        <w:bidi w:val="0"/>
        <w:adjustRightInd/>
        <w:spacing w:line="460" w:lineRule="exact"/>
        <w:ind w:firstLine="523" w:firstLineChars="217"/>
        <w:jc w:val="left"/>
        <w:textAlignment w:val="auto"/>
        <w:rPr>
          <w:rFonts w:hAnsi="宋体" w:cs="宋体"/>
          <w:b/>
          <w:bCs/>
          <w:color w:val="000000"/>
          <w:sz w:val="24"/>
          <w:szCs w:val="20"/>
        </w:rPr>
      </w:pPr>
      <w:r>
        <w:rPr>
          <w:rFonts w:hint="eastAsia" w:hAnsi="宋体" w:cs="宋体"/>
          <w:b/>
          <w:bCs/>
          <w:color w:val="000000"/>
          <w:sz w:val="24"/>
          <w:szCs w:val="20"/>
        </w:rPr>
        <w:t>七、发布公告的媒介：</w:t>
      </w:r>
    </w:p>
    <w:p w14:paraId="7DEBCC5D">
      <w:pPr>
        <w:keepNext w:val="0"/>
        <w:keepLines w:val="0"/>
        <w:pageBreakBefore w:val="0"/>
        <w:widowControl w:val="0"/>
        <w:kinsoku/>
        <w:wordWrap/>
        <w:overflowPunct/>
        <w:topLinePunct w:val="0"/>
        <w:autoSpaceDE/>
        <w:autoSpaceDN/>
        <w:bidi w:val="0"/>
        <w:adjustRightInd/>
        <w:spacing w:line="460" w:lineRule="exact"/>
        <w:ind w:firstLine="520" w:firstLineChars="217"/>
        <w:jc w:val="left"/>
        <w:textAlignment w:val="auto"/>
        <w:rPr>
          <w:rFonts w:hAnsi="宋体" w:cs="宋体"/>
          <w:color w:val="000000"/>
          <w:sz w:val="24"/>
          <w:szCs w:val="20"/>
        </w:rPr>
      </w:pPr>
      <w:bookmarkStart w:id="13" w:name="_Toc35393626"/>
      <w:bookmarkStart w:id="14" w:name="_Toc35393795"/>
      <w:bookmarkStart w:id="15" w:name="_Toc10090"/>
      <w:bookmarkStart w:id="16" w:name="_Toc13990"/>
      <w:r>
        <w:rPr>
          <w:rFonts w:hint="eastAsia" w:hAnsi="宋体" w:cs="宋体"/>
          <w:color w:val="000000"/>
          <w:sz w:val="24"/>
          <w:szCs w:val="20"/>
        </w:rPr>
        <w:t>阳光采购服务平台（</w:t>
      </w:r>
      <w:r>
        <w:rPr>
          <w:rFonts w:hint="eastAsia" w:hAnsi="宋体" w:cs="宋体"/>
          <w:color w:val="000000"/>
          <w:sz w:val="24"/>
          <w:szCs w:val="20"/>
          <w:lang w:eastAsia="zh-CN"/>
        </w:rPr>
        <w:t>https://www.ygcgfwpt.com/</w:t>
      </w:r>
      <w:r>
        <w:rPr>
          <w:rFonts w:hint="eastAsia" w:hAnsi="宋体" w:cs="宋体"/>
          <w:color w:val="000000"/>
          <w:sz w:val="24"/>
          <w:szCs w:val="20"/>
        </w:rPr>
        <w:t>）</w:t>
      </w:r>
    </w:p>
    <w:bookmarkEnd w:id="13"/>
    <w:bookmarkEnd w:id="14"/>
    <w:bookmarkEnd w:id="15"/>
    <w:bookmarkEnd w:id="16"/>
    <w:p w14:paraId="7CC36265">
      <w:pPr>
        <w:keepNext w:val="0"/>
        <w:keepLines w:val="0"/>
        <w:pageBreakBefore w:val="0"/>
        <w:widowControl w:val="0"/>
        <w:numPr>
          <w:ilvl w:val="0"/>
          <w:numId w:val="2"/>
        </w:numPr>
        <w:kinsoku/>
        <w:wordWrap/>
        <w:overflowPunct/>
        <w:topLinePunct w:val="0"/>
        <w:autoSpaceDE/>
        <w:autoSpaceDN/>
        <w:bidi w:val="0"/>
        <w:adjustRightInd/>
        <w:spacing w:line="460" w:lineRule="exact"/>
        <w:ind w:firstLine="523" w:firstLineChars="217"/>
        <w:jc w:val="left"/>
        <w:textAlignment w:val="auto"/>
        <w:rPr>
          <w:rFonts w:hAnsi="宋体" w:cs="宋体"/>
          <w:b/>
          <w:bCs/>
          <w:color w:val="000000"/>
          <w:sz w:val="24"/>
          <w:szCs w:val="20"/>
        </w:rPr>
      </w:pPr>
      <w:r>
        <w:rPr>
          <w:rFonts w:hint="eastAsia" w:hAnsi="宋体" w:cs="宋体"/>
          <w:b/>
          <w:bCs/>
          <w:color w:val="000000"/>
          <w:sz w:val="24"/>
          <w:szCs w:val="20"/>
        </w:rPr>
        <w:t>联系方式：</w:t>
      </w:r>
    </w:p>
    <w:p w14:paraId="3AD04154">
      <w:pPr>
        <w:keepNext w:val="0"/>
        <w:keepLines w:val="0"/>
        <w:pageBreakBefore w:val="0"/>
        <w:widowControl w:val="0"/>
        <w:kinsoku/>
        <w:wordWrap/>
        <w:overflowPunct/>
        <w:topLinePunct w:val="0"/>
        <w:autoSpaceDE/>
        <w:autoSpaceDN/>
        <w:bidi w:val="0"/>
        <w:adjustRightInd/>
        <w:spacing w:line="460" w:lineRule="exact"/>
        <w:ind w:firstLine="520" w:firstLineChars="217"/>
        <w:jc w:val="left"/>
        <w:textAlignment w:val="auto"/>
        <w:rPr>
          <w:rFonts w:hint="eastAsia" w:ascii="宋体" w:hAnsi="宋体" w:eastAsia="宋体" w:cs="宋体"/>
          <w:color w:val="000000"/>
          <w:sz w:val="24"/>
          <w:szCs w:val="20"/>
          <w:lang w:eastAsia="zh-CN"/>
        </w:rPr>
      </w:pPr>
      <w:r>
        <w:rPr>
          <w:rFonts w:hint="eastAsia" w:hAnsi="宋体" w:cs="宋体"/>
          <w:color w:val="000000"/>
          <w:sz w:val="24"/>
          <w:szCs w:val="20"/>
        </w:rPr>
        <w:t>1、采购人名</w:t>
      </w:r>
      <w:r>
        <w:rPr>
          <w:rFonts w:hint="eastAsia" w:ascii="宋体" w:hAnsi="宋体" w:eastAsia="宋体" w:cs="宋体"/>
          <w:color w:val="000000"/>
          <w:sz w:val="24"/>
          <w:szCs w:val="20"/>
          <w:lang w:eastAsia="zh-CN"/>
        </w:rPr>
        <w:t>称：</w:t>
      </w:r>
      <w:r>
        <w:rPr>
          <w:rFonts w:hint="eastAsia" w:ascii="宋体" w:hAnsi="宋体" w:eastAsia="宋体" w:cs="宋体"/>
          <w:color w:val="000000"/>
          <w:sz w:val="24"/>
          <w:szCs w:val="20"/>
          <w:lang w:val="en-US" w:eastAsia="zh-CN"/>
        </w:rPr>
        <w:t>江西云济投资有限公司</w:t>
      </w:r>
    </w:p>
    <w:p w14:paraId="661D5C19">
      <w:pPr>
        <w:keepNext w:val="0"/>
        <w:keepLines w:val="0"/>
        <w:pageBreakBefore w:val="0"/>
        <w:widowControl w:val="0"/>
        <w:kinsoku/>
        <w:wordWrap/>
        <w:overflowPunct/>
        <w:topLinePunct w:val="0"/>
        <w:autoSpaceDE/>
        <w:autoSpaceDN/>
        <w:bidi w:val="0"/>
        <w:adjustRightInd/>
        <w:spacing w:line="460" w:lineRule="exact"/>
        <w:ind w:firstLine="520" w:firstLineChars="217"/>
        <w:jc w:val="left"/>
        <w:textAlignment w:val="auto"/>
        <w:rPr>
          <w:rFonts w:hint="eastAsia" w:ascii="宋体" w:hAnsi="宋体" w:eastAsia="宋体" w:cs="宋体"/>
          <w:color w:val="000000"/>
          <w:sz w:val="24"/>
          <w:szCs w:val="20"/>
          <w:lang w:eastAsia="zh-CN"/>
        </w:rPr>
      </w:pPr>
      <w:r>
        <w:rPr>
          <w:rFonts w:hint="eastAsia" w:ascii="宋体" w:hAnsi="宋体" w:eastAsia="宋体" w:cs="宋体"/>
          <w:color w:val="000000"/>
          <w:sz w:val="24"/>
          <w:szCs w:val="20"/>
          <w:lang w:eastAsia="zh-CN"/>
        </w:rPr>
        <w:t>详细地址：江西省上饶经济技术开发区兴园大道32号双创科技城</w:t>
      </w:r>
    </w:p>
    <w:p w14:paraId="384F072B">
      <w:pPr>
        <w:keepNext w:val="0"/>
        <w:keepLines w:val="0"/>
        <w:pageBreakBefore w:val="0"/>
        <w:widowControl w:val="0"/>
        <w:kinsoku/>
        <w:wordWrap/>
        <w:overflowPunct/>
        <w:topLinePunct w:val="0"/>
        <w:autoSpaceDE/>
        <w:autoSpaceDN/>
        <w:bidi w:val="0"/>
        <w:adjustRightInd/>
        <w:spacing w:line="460" w:lineRule="exact"/>
        <w:ind w:firstLine="520" w:firstLineChars="217"/>
        <w:jc w:val="left"/>
        <w:textAlignment w:val="auto"/>
        <w:rPr>
          <w:rFonts w:hint="eastAsia" w:ascii="宋体" w:hAnsi="宋体" w:eastAsia="宋体" w:cs="宋体"/>
          <w:color w:val="000000"/>
          <w:sz w:val="24"/>
          <w:szCs w:val="20"/>
          <w:lang w:eastAsia="zh-CN"/>
        </w:rPr>
      </w:pPr>
      <w:r>
        <w:rPr>
          <w:rFonts w:hint="eastAsia" w:ascii="宋体" w:hAnsi="宋体" w:eastAsia="宋体" w:cs="宋体"/>
          <w:color w:val="000000"/>
          <w:sz w:val="24"/>
          <w:szCs w:val="20"/>
          <w:lang w:eastAsia="zh-CN"/>
        </w:rPr>
        <w:t>联系人：王先生      联系电话：</w:t>
      </w:r>
      <w:r>
        <w:rPr>
          <w:rFonts w:hint="eastAsia" w:ascii="宋体" w:hAnsi="宋体" w:eastAsia="宋体" w:cs="宋体"/>
          <w:color w:val="000000"/>
          <w:sz w:val="24"/>
          <w:szCs w:val="20"/>
          <w:lang w:val="en-US" w:eastAsia="zh-CN"/>
        </w:rPr>
        <w:t>19914592378</w:t>
      </w:r>
    </w:p>
    <w:p w14:paraId="4F992C5D">
      <w:pPr>
        <w:keepNext w:val="0"/>
        <w:keepLines w:val="0"/>
        <w:pageBreakBefore w:val="0"/>
        <w:widowControl w:val="0"/>
        <w:kinsoku/>
        <w:wordWrap/>
        <w:overflowPunct/>
        <w:topLinePunct w:val="0"/>
        <w:autoSpaceDE/>
        <w:autoSpaceDN/>
        <w:bidi w:val="0"/>
        <w:adjustRightInd/>
        <w:spacing w:line="460" w:lineRule="exact"/>
        <w:ind w:firstLine="520" w:firstLineChars="217"/>
        <w:jc w:val="left"/>
        <w:textAlignment w:val="auto"/>
        <w:rPr>
          <w:rFonts w:hint="eastAsia" w:hAnsi="宋体" w:eastAsia="宋体" w:cs="宋体"/>
          <w:color w:val="000000"/>
          <w:sz w:val="24"/>
          <w:szCs w:val="20"/>
          <w:lang w:eastAsia="zh-CN"/>
        </w:rPr>
      </w:pPr>
      <w:r>
        <w:rPr>
          <w:rFonts w:hint="eastAsia" w:ascii="宋体" w:hAnsi="宋体" w:eastAsia="宋体" w:cs="宋体"/>
          <w:color w:val="000000"/>
          <w:sz w:val="24"/>
          <w:szCs w:val="20"/>
          <w:lang w:eastAsia="zh-CN"/>
        </w:rPr>
        <w:t>2、采购代理机构名称：浙江建科工程项目管理有限</w:t>
      </w:r>
      <w:r>
        <w:rPr>
          <w:rFonts w:hint="eastAsia" w:hAnsi="宋体" w:cs="宋体"/>
          <w:color w:val="000000"/>
          <w:sz w:val="24"/>
          <w:szCs w:val="20"/>
          <w:lang w:eastAsia="zh-CN"/>
        </w:rPr>
        <w:t>公司</w:t>
      </w:r>
    </w:p>
    <w:p w14:paraId="185C7225">
      <w:pPr>
        <w:keepNext w:val="0"/>
        <w:keepLines w:val="0"/>
        <w:pageBreakBefore w:val="0"/>
        <w:widowControl w:val="0"/>
        <w:kinsoku/>
        <w:wordWrap/>
        <w:overflowPunct/>
        <w:topLinePunct w:val="0"/>
        <w:autoSpaceDE/>
        <w:autoSpaceDN/>
        <w:bidi w:val="0"/>
        <w:adjustRightInd/>
        <w:spacing w:line="460" w:lineRule="exact"/>
        <w:ind w:firstLine="520" w:firstLineChars="217"/>
        <w:jc w:val="left"/>
        <w:textAlignment w:val="auto"/>
        <w:rPr>
          <w:rFonts w:hint="eastAsia" w:hAnsi="宋体" w:cs="宋体"/>
          <w:color w:val="000000"/>
          <w:sz w:val="24"/>
          <w:szCs w:val="20"/>
        </w:rPr>
      </w:pPr>
      <w:r>
        <w:rPr>
          <w:rFonts w:hint="eastAsia" w:hAnsi="宋体" w:cs="宋体"/>
          <w:color w:val="000000"/>
          <w:sz w:val="24"/>
          <w:szCs w:val="20"/>
        </w:rPr>
        <w:t>详细地址：上饶市铅山县滨江花城步行街77号</w:t>
      </w:r>
    </w:p>
    <w:p w14:paraId="654213CD">
      <w:pPr>
        <w:keepNext w:val="0"/>
        <w:keepLines w:val="0"/>
        <w:pageBreakBefore w:val="0"/>
        <w:widowControl w:val="0"/>
        <w:kinsoku/>
        <w:wordWrap/>
        <w:overflowPunct/>
        <w:topLinePunct w:val="0"/>
        <w:autoSpaceDE/>
        <w:autoSpaceDN/>
        <w:bidi w:val="0"/>
        <w:adjustRightInd/>
        <w:spacing w:line="460" w:lineRule="exact"/>
        <w:ind w:firstLine="520" w:firstLineChars="217"/>
        <w:jc w:val="left"/>
        <w:textAlignment w:val="auto"/>
        <w:rPr>
          <w:rFonts w:hAnsi="宋体" w:cs="宋体"/>
          <w:color w:val="000000"/>
          <w:sz w:val="24"/>
          <w:szCs w:val="20"/>
        </w:rPr>
      </w:pPr>
      <w:r>
        <w:rPr>
          <w:rFonts w:hint="eastAsia" w:hAnsi="宋体" w:cs="宋体"/>
          <w:color w:val="000000"/>
          <w:sz w:val="24"/>
          <w:szCs w:val="20"/>
        </w:rPr>
        <w:t>联 系 人：</w:t>
      </w:r>
      <w:r>
        <w:rPr>
          <w:rFonts w:hint="eastAsia" w:ascii="宋体" w:hAnsi="宋体" w:eastAsia="宋体" w:cs="宋体"/>
          <w:b w:val="0"/>
          <w:bCs w:val="0"/>
          <w:i w:val="0"/>
          <w:caps w:val="0"/>
          <w:color w:val="333333"/>
          <w:spacing w:val="15"/>
          <w:w w:val="100"/>
          <w:sz w:val="24"/>
          <w:szCs w:val="20"/>
          <w:shd w:val="clear" w:color="auto" w:fill="FFFFFF"/>
          <w:lang w:val="en-US" w:eastAsia="zh-CN"/>
        </w:rPr>
        <w:t>林先生</w:t>
      </w:r>
      <w:r>
        <w:rPr>
          <w:rFonts w:hint="eastAsia" w:hAnsi="宋体" w:cs="宋体"/>
          <w:color w:val="000000"/>
          <w:sz w:val="24"/>
          <w:szCs w:val="20"/>
        </w:rPr>
        <w:t xml:space="preserve">    联系电话：</w:t>
      </w:r>
      <w:bookmarkStart w:id="17" w:name="_Hlt509650027"/>
      <w:bookmarkEnd w:id="17"/>
      <w:r>
        <w:rPr>
          <w:rFonts w:hint="eastAsia" w:hAnsi="宋体" w:cs="宋体"/>
          <w:color w:val="000000"/>
          <w:sz w:val="24"/>
          <w:szCs w:val="20"/>
        </w:rPr>
        <w:t>17770362097</w:t>
      </w:r>
    </w:p>
    <w:p w14:paraId="51007BB5">
      <w:pPr>
        <w:keepNext w:val="0"/>
        <w:keepLines w:val="0"/>
        <w:pageBreakBefore w:val="0"/>
        <w:widowControl w:val="0"/>
        <w:kinsoku/>
        <w:wordWrap/>
        <w:overflowPunct/>
        <w:topLinePunct w:val="0"/>
        <w:autoSpaceDE/>
        <w:autoSpaceDN/>
        <w:bidi w:val="0"/>
        <w:adjustRightInd/>
        <w:spacing w:line="460" w:lineRule="exact"/>
        <w:ind w:firstLine="523" w:firstLineChars="217"/>
        <w:jc w:val="left"/>
        <w:textAlignment w:val="auto"/>
        <w:rPr>
          <w:rFonts w:hAnsi="宋体" w:cs="宋体"/>
          <w:b/>
          <w:bCs/>
          <w:color w:val="000000"/>
          <w:sz w:val="24"/>
          <w:szCs w:val="20"/>
        </w:rPr>
      </w:pPr>
      <w:r>
        <w:rPr>
          <w:rFonts w:hint="eastAsia" w:hAnsi="宋体" w:cs="宋体"/>
          <w:b/>
          <w:bCs/>
          <w:color w:val="000000"/>
          <w:sz w:val="24"/>
          <w:szCs w:val="20"/>
        </w:rPr>
        <w:t>九、其他说明：</w:t>
      </w:r>
    </w:p>
    <w:p w14:paraId="0A515867">
      <w:pPr>
        <w:keepNext w:val="0"/>
        <w:keepLines w:val="0"/>
        <w:pageBreakBefore w:val="0"/>
        <w:widowControl w:val="0"/>
        <w:kinsoku/>
        <w:wordWrap/>
        <w:overflowPunct/>
        <w:topLinePunct w:val="0"/>
        <w:autoSpaceDE/>
        <w:autoSpaceDN/>
        <w:bidi w:val="0"/>
        <w:adjustRightInd/>
        <w:spacing w:line="460" w:lineRule="exact"/>
        <w:ind w:firstLine="520" w:firstLineChars="217"/>
        <w:jc w:val="left"/>
        <w:textAlignment w:val="auto"/>
        <w:rPr>
          <w:rFonts w:hint="eastAsia" w:hAnsi="宋体" w:cs="宋体"/>
          <w:color w:val="000000"/>
          <w:sz w:val="24"/>
          <w:szCs w:val="20"/>
        </w:rPr>
      </w:pPr>
      <w:r>
        <w:rPr>
          <w:rFonts w:hint="eastAsia" w:hAnsi="宋体" w:cs="宋体"/>
          <w:color w:val="000000"/>
          <w:sz w:val="24"/>
          <w:szCs w:val="20"/>
        </w:rPr>
        <w:t xml:space="preserve">1、开标注意事项：上饶市阳光采购服务平台开标区域（含开标室等所有三楼区域）禁止吸烟，投标人不得在开标室及公共区域、楼道等各角落吸烟。 </w:t>
      </w:r>
    </w:p>
    <w:p w14:paraId="343A92E0">
      <w:pPr>
        <w:keepNext w:val="0"/>
        <w:keepLines w:val="0"/>
        <w:pageBreakBefore w:val="0"/>
        <w:widowControl w:val="0"/>
        <w:kinsoku/>
        <w:wordWrap/>
        <w:overflowPunct/>
        <w:topLinePunct w:val="0"/>
        <w:autoSpaceDE/>
        <w:autoSpaceDN/>
        <w:bidi w:val="0"/>
        <w:adjustRightInd/>
        <w:spacing w:line="460" w:lineRule="exact"/>
        <w:ind w:firstLine="520" w:firstLineChars="217"/>
        <w:jc w:val="left"/>
        <w:textAlignment w:val="auto"/>
        <w:rPr>
          <w:rFonts w:hint="eastAsia" w:hAnsi="宋体" w:cs="宋体"/>
          <w:color w:val="000000"/>
          <w:sz w:val="24"/>
          <w:szCs w:val="20"/>
        </w:rPr>
      </w:pPr>
      <w:r>
        <w:rPr>
          <w:rFonts w:hint="eastAsia" w:hAnsi="宋体" w:cs="宋体"/>
          <w:color w:val="000000"/>
          <w:sz w:val="24"/>
          <w:szCs w:val="20"/>
        </w:rPr>
        <w:t xml:space="preserve">2、保证金：详见招标文件。 </w:t>
      </w:r>
    </w:p>
    <w:p w14:paraId="4EFA0440">
      <w:pPr>
        <w:keepNext w:val="0"/>
        <w:keepLines w:val="0"/>
        <w:pageBreakBefore w:val="0"/>
        <w:widowControl w:val="0"/>
        <w:kinsoku/>
        <w:wordWrap/>
        <w:overflowPunct/>
        <w:topLinePunct w:val="0"/>
        <w:autoSpaceDE/>
        <w:autoSpaceDN/>
        <w:bidi w:val="0"/>
        <w:adjustRightInd/>
        <w:spacing w:line="460" w:lineRule="exact"/>
        <w:ind w:firstLine="520" w:firstLineChars="217"/>
        <w:jc w:val="left"/>
        <w:textAlignment w:val="auto"/>
        <w:rPr>
          <w:rFonts w:hint="eastAsia" w:hAnsi="宋体" w:cs="宋体"/>
          <w:color w:val="000000"/>
          <w:sz w:val="24"/>
          <w:szCs w:val="20"/>
        </w:rPr>
      </w:pPr>
      <w:r>
        <w:rPr>
          <w:rFonts w:hint="eastAsia" w:hAnsi="宋体" w:cs="宋体"/>
          <w:color w:val="000000"/>
          <w:sz w:val="24"/>
          <w:szCs w:val="20"/>
        </w:rPr>
        <w:t xml:space="preserve">3、凡下载本采购文件的单位，必须就此采购项目的相关事宜详细咨询（如需参考资料可与采购单位或代理机构联系）。否则参与投标人即被视为已经充分了解了采购方的需求，成交后承担采购文件范围内的所有要求（参加采购活动前如有不明之处应向采购单位或代理机构详细了解）。 </w:t>
      </w:r>
    </w:p>
    <w:p w14:paraId="5681D4DC">
      <w:pPr>
        <w:keepNext w:val="0"/>
        <w:keepLines w:val="0"/>
        <w:pageBreakBefore w:val="0"/>
        <w:widowControl w:val="0"/>
        <w:kinsoku/>
        <w:wordWrap/>
        <w:overflowPunct/>
        <w:topLinePunct w:val="0"/>
        <w:autoSpaceDE/>
        <w:autoSpaceDN/>
        <w:bidi w:val="0"/>
        <w:adjustRightInd/>
        <w:spacing w:line="460" w:lineRule="exact"/>
        <w:ind w:firstLine="520" w:firstLineChars="217"/>
        <w:jc w:val="left"/>
        <w:textAlignment w:val="auto"/>
        <w:rPr>
          <w:rFonts w:hint="eastAsia" w:hAnsi="宋体" w:cs="宋体"/>
          <w:color w:val="000000"/>
          <w:sz w:val="24"/>
          <w:szCs w:val="20"/>
        </w:rPr>
      </w:pPr>
      <w:r>
        <w:rPr>
          <w:rFonts w:hint="eastAsia" w:hAnsi="宋体" w:cs="宋体"/>
          <w:color w:val="000000"/>
          <w:sz w:val="24"/>
          <w:szCs w:val="20"/>
          <w:lang w:val="en-US" w:eastAsia="zh-CN"/>
        </w:rPr>
        <w:t>4、</w:t>
      </w:r>
      <w:r>
        <w:rPr>
          <w:rFonts w:hint="eastAsia" w:hAnsi="宋体" w:cs="宋体"/>
          <w:color w:val="000000"/>
          <w:sz w:val="24"/>
          <w:szCs w:val="20"/>
        </w:rPr>
        <w:t xml:space="preserve">以上告知内容如有变动，将在相关网络媒体上另行通知。 </w:t>
      </w:r>
    </w:p>
    <w:p w14:paraId="7BD091FE">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left"/>
        <w:textAlignment w:val="auto"/>
        <w:rPr>
          <w:rFonts w:hint="default" w:ascii="宋体" w:hAnsi="宋体" w:eastAsia="宋体" w:cs="宋体"/>
          <w:color w:val="000000"/>
          <w:kern w:val="0"/>
          <w:sz w:val="24"/>
          <w:szCs w:val="20"/>
          <w:lang w:val="en-US" w:eastAsia="zh-CN"/>
        </w:rPr>
      </w:pPr>
    </w:p>
    <w:p w14:paraId="78E363E3">
      <w:pPr>
        <w:pStyle w:val="3"/>
        <w:rPr>
          <w:rFonts w:hAnsi="宋体" w:cs="宋体"/>
          <w:color w:val="000000"/>
          <w:sz w:val="24"/>
        </w:rPr>
      </w:pPr>
    </w:p>
    <w:p w14:paraId="426499BD">
      <w:pPr>
        <w:rPr>
          <w:rFonts w:hAnsi="宋体" w:cs="宋体"/>
          <w:color w:val="000000"/>
          <w:sz w:val="24"/>
        </w:rPr>
      </w:pPr>
    </w:p>
    <w:p w14:paraId="1C9AB5F2">
      <w:pPr>
        <w:pStyle w:val="2"/>
      </w:pPr>
    </w:p>
    <w:p w14:paraId="1490A135">
      <w:pPr>
        <w:pStyle w:val="2"/>
      </w:pPr>
    </w:p>
    <w:p w14:paraId="20967CB4">
      <w:pPr>
        <w:pStyle w:val="2"/>
      </w:pPr>
    </w:p>
    <w:p w14:paraId="03A67BD2">
      <w:pPr>
        <w:pStyle w:val="2"/>
      </w:pPr>
    </w:p>
    <w:p w14:paraId="6C20C607">
      <w:pPr>
        <w:pStyle w:val="2"/>
      </w:pPr>
    </w:p>
    <w:p w14:paraId="6B912D23">
      <w:pPr>
        <w:pStyle w:val="2"/>
      </w:pPr>
    </w:p>
    <w:p w14:paraId="24917261">
      <w:pPr>
        <w:pStyle w:val="2"/>
      </w:pPr>
    </w:p>
    <w:p w14:paraId="4CB8B292">
      <w:pPr>
        <w:pStyle w:val="2"/>
      </w:pPr>
    </w:p>
    <w:p w14:paraId="5C807DF4">
      <w:pPr>
        <w:pStyle w:val="2"/>
      </w:pPr>
    </w:p>
    <w:p w14:paraId="40527D1F">
      <w:pPr>
        <w:pStyle w:val="2"/>
      </w:pPr>
    </w:p>
    <w:p w14:paraId="0497DD4C">
      <w:pPr>
        <w:pStyle w:val="2"/>
      </w:pPr>
    </w:p>
    <w:p w14:paraId="4C2685CA">
      <w:pPr>
        <w:pStyle w:val="2"/>
      </w:pPr>
    </w:p>
    <w:p w14:paraId="6E6036A6">
      <w:pPr>
        <w:pStyle w:val="2"/>
      </w:pPr>
    </w:p>
    <w:p w14:paraId="7300102C">
      <w:pPr>
        <w:pStyle w:val="2"/>
      </w:pPr>
    </w:p>
    <w:p w14:paraId="12CC3AE6">
      <w:pPr>
        <w:pStyle w:val="2"/>
      </w:pPr>
    </w:p>
    <w:p w14:paraId="4956281D">
      <w:pPr>
        <w:pStyle w:val="2"/>
      </w:pPr>
    </w:p>
    <w:p w14:paraId="3D1DAA28">
      <w:pPr>
        <w:pStyle w:val="2"/>
      </w:pPr>
    </w:p>
    <w:p w14:paraId="61E386EA">
      <w:pPr>
        <w:pStyle w:val="2"/>
      </w:pPr>
    </w:p>
    <w:p w14:paraId="676A45BA">
      <w:pPr>
        <w:pStyle w:val="2"/>
      </w:pPr>
    </w:p>
    <w:p w14:paraId="399972E9">
      <w:pPr>
        <w:pStyle w:val="2"/>
      </w:pPr>
    </w:p>
    <w:p w14:paraId="4B405ADA">
      <w:pPr>
        <w:pStyle w:val="2"/>
      </w:pPr>
    </w:p>
    <w:p w14:paraId="3C6E7324">
      <w:pPr>
        <w:pStyle w:val="2"/>
      </w:pPr>
    </w:p>
    <w:p w14:paraId="14469CEC">
      <w:pPr>
        <w:pStyle w:val="2"/>
      </w:pPr>
    </w:p>
    <w:p w14:paraId="1394FC11">
      <w:pPr>
        <w:pStyle w:val="2"/>
      </w:pPr>
    </w:p>
    <w:p w14:paraId="0FD434D2">
      <w:pPr>
        <w:pStyle w:val="2"/>
      </w:pPr>
    </w:p>
    <w:p w14:paraId="10B559EE">
      <w:pPr>
        <w:pStyle w:val="2"/>
      </w:pPr>
    </w:p>
    <w:p w14:paraId="36DF1BD4">
      <w:pPr>
        <w:pStyle w:val="2"/>
      </w:pPr>
    </w:p>
    <w:p w14:paraId="14EF07A2">
      <w:pPr>
        <w:pStyle w:val="2"/>
      </w:pPr>
    </w:p>
    <w:p w14:paraId="42986D33">
      <w:pPr>
        <w:pStyle w:val="2"/>
      </w:pPr>
    </w:p>
    <w:p w14:paraId="6EF6774E">
      <w:pPr>
        <w:pStyle w:val="2"/>
      </w:pPr>
    </w:p>
    <w:p w14:paraId="12E6E678">
      <w:pPr>
        <w:pStyle w:val="2"/>
      </w:pPr>
    </w:p>
    <w:p w14:paraId="1BD833A4">
      <w:pPr>
        <w:pStyle w:val="2"/>
      </w:pPr>
    </w:p>
    <w:p w14:paraId="0F0CC98B">
      <w:pPr>
        <w:pStyle w:val="2"/>
      </w:pPr>
    </w:p>
    <w:p w14:paraId="4AD16D75">
      <w:pPr>
        <w:pStyle w:val="2"/>
      </w:pPr>
    </w:p>
    <w:p w14:paraId="42DFFF0F">
      <w:pPr>
        <w:pStyle w:val="2"/>
      </w:pPr>
    </w:p>
    <w:p w14:paraId="4B41AAFD">
      <w:pPr>
        <w:pStyle w:val="2"/>
        <w:rPr>
          <w:rFonts w:hint="eastAsia"/>
          <w:lang w:val="en-US" w:eastAsia="zh-CN"/>
        </w:rPr>
      </w:pPr>
    </w:p>
    <w:p w14:paraId="15FE226F">
      <w:pPr>
        <w:pStyle w:val="2"/>
        <w:rPr>
          <w:rFonts w:hint="eastAsia"/>
          <w:lang w:val="en-US" w:eastAsia="zh-CN"/>
        </w:rPr>
      </w:pPr>
    </w:p>
    <w:p w14:paraId="56E41C3E">
      <w:pPr>
        <w:pStyle w:val="2"/>
        <w:rPr>
          <w:rFonts w:hint="eastAsia"/>
          <w:lang w:val="en-US" w:eastAsia="zh-CN"/>
        </w:rPr>
      </w:pPr>
    </w:p>
    <w:p w14:paraId="2FD3012F">
      <w:pPr>
        <w:pStyle w:val="2"/>
        <w:rPr>
          <w:rFonts w:hint="eastAsia"/>
          <w:lang w:val="en-US" w:eastAsia="zh-CN"/>
        </w:rPr>
      </w:pPr>
    </w:p>
    <w:p w14:paraId="5626A1DF">
      <w:pPr>
        <w:pStyle w:val="2"/>
      </w:pPr>
    </w:p>
    <w:p w14:paraId="71FD5BBD">
      <w:pPr>
        <w:pStyle w:val="2"/>
      </w:pPr>
    </w:p>
    <w:p w14:paraId="15D2AA18">
      <w:pPr>
        <w:pStyle w:val="3"/>
        <w:numPr>
          <w:ilvl w:val="0"/>
          <w:numId w:val="3"/>
        </w:numPr>
        <w:snapToGrid w:val="0"/>
        <w:jc w:val="center"/>
        <w:textAlignment w:val="baseline"/>
        <w:rPr>
          <w:rFonts w:hAnsi="宋体"/>
          <w:b/>
          <w:bCs/>
          <w:sz w:val="34"/>
        </w:rPr>
      </w:pPr>
      <w:r>
        <w:rPr>
          <w:rFonts w:hint="eastAsia" w:hAnsi="宋体"/>
          <w:b/>
          <w:bCs/>
          <w:sz w:val="34"/>
        </w:rPr>
        <w:t>投标人须知</w:t>
      </w:r>
      <w:bookmarkEnd w:id="3"/>
      <w:bookmarkEnd w:id="4"/>
      <w:bookmarkEnd w:id="5"/>
      <w:bookmarkEnd w:id="6"/>
    </w:p>
    <w:p w14:paraId="18321314">
      <w:pPr>
        <w:snapToGrid w:val="0"/>
        <w:textAlignment w:val="baseline"/>
        <w:rPr>
          <w:sz w:val="20"/>
        </w:rPr>
      </w:pPr>
    </w:p>
    <w:p w14:paraId="0FCEBCC5">
      <w:pPr>
        <w:keepNext/>
        <w:keepLines/>
        <w:spacing w:after="120" w:line="460" w:lineRule="exact"/>
        <w:jc w:val="center"/>
        <w:outlineLvl w:val="1"/>
      </w:pPr>
      <w:bookmarkStart w:id="18" w:name="_Toc28349"/>
      <w:bookmarkStart w:id="19" w:name="_Toc7013"/>
      <w:bookmarkStart w:id="20" w:name="_Toc406059258"/>
      <w:r>
        <w:rPr>
          <w:rFonts w:hint="eastAsia" w:hAnsi="宋体"/>
          <w:b/>
          <w:bCs/>
          <w:kern w:val="2"/>
          <w:sz w:val="24"/>
          <w:szCs w:val="24"/>
        </w:rPr>
        <w:t>供应商须知前附表</w:t>
      </w:r>
      <w:bookmarkEnd w:id="18"/>
      <w:bookmarkEnd w:id="19"/>
      <w:bookmarkEnd w:id="20"/>
    </w:p>
    <w:tbl>
      <w:tblPr>
        <w:tblStyle w:val="40"/>
        <w:tblW w:w="9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066"/>
        <w:gridCol w:w="7983"/>
      </w:tblGrid>
      <w:tr w14:paraId="3D5DC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17" w:type="dxa"/>
          </w:tcPr>
          <w:p w14:paraId="7B049D77">
            <w:pPr>
              <w:snapToGrid w:val="0"/>
              <w:spacing w:line="460" w:lineRule="exact"/>
              <w:jc w:val="center"/>
              <w:textAlignment w:val="baseline"/>
              <w:rPr>
                <w:rFonts w:hAnsi="宋体"/>
                <w:bCs/>
                <w:sz w:val="24"/>
                <w:szCs w:val="24"/>
              </w:rPr>
            </w:pPr>
            <w:r>
              <w:rPr>
                <w:rFonts w:hint="eastAsia" w:hAnsi="宋体"/>
                <w:bCs/>
                <w:sz w:val="24"/>
                <w:szCs w:val="24"/>
              </w:rPr>
              <w:t>序号</w:t>
            </w:r>
          </w:p>
        </w:tc>
        <w:tc>
          <w:tcPr>
            <w:tcW w:w="1066" w:type="dxa"/>
          </w:tcPr>
          <w:p w14:paraId="77CCB90B">
            <w:pPr>
              <w:snapToGrid w:val="0"/>
              <w:spacing w:line="460" w:lineRule="exact"/>
              <w:jc w:val="center"/>
              <w:textAlignment w:val="baseline"/>
              <w:rPr>
                <w:rFonts w:hAnsi="宋体"/>
                <w:bCs/>
                <w:sz w:val="24"/>
                <w:szCs w:val="24"/>
              </w:rPr>
            </w:pPr>
            <w:r>
              <w:rPr>
                <w:rFonts w:hint="eastAsia" w:hAnsi="宋体"/>
                <w:bCs/>
                <w:sz w:val="24"/>
                <w:szCs w:val="24"/>
              </w:rPr>
              <w:t>条款号</w:t>
            </w:r>
          </w:p>
        </w:tc>
        <w:tc>
          <w:tcPr>
            <w:tcW w:w="7983" w:type="dxa"/>
          </w:tcPr>
          <w:p w14:paraId="7018199D">
            <w:pPr>
              <w:snapToGrid w:val="0"/>
              <w:spacing w:line="460" w:lineRule="exact"/>
              <w:jc w:val="center"/>
              <w:textAlignment w:val="baseline"/>
              <w:rPr>
                <w:rFonts w:hAnsi="宋体"/>
                <w:bCs/>
                <w:sz w:val="24"/>
                <w:szCs w:val="24"/>
              </w:rPr>
            </w:pPr>
            <w:r>
              <w:rPr>
                <w:rFonts w:hint="eastAsia" w:hAnsi="宋体"/>
                <w:bCs/>
                <w:sz w:val="24"/>
                <w:szCs w:val="24"/>
              </w:rPr>
              <w:t>内    容</w:t>
            </w:r>
          </w:p>
        </w:tc>
      </w:tr>
      <w:tr w14:paraId="7CF16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817" w:type="dxa"/>
            <w:vAlign w:val="center"/>
          </w:tcPr>
          <w:p w14:paraId="2737ED30">
            <w:pPr>
              <w:snapToGrid w:val="0"/>
              <w:spacing w:line="420" w:lineRule="exact"/>
              <w:ind w:left="-10" w:firstLine="12" w:firstLineChars="5"/>
              <w:jc w:val="center"/>
              <w:textAlignment w:val="baseline"/>
              <w:rPr>
                <w:rFonts w:hint="eastAsia" w:hAnsi="宋体" w:cs="宋体"/>
                <w:sz w:val="24"/>
                <w:szCs w:val="24"/>
              </w:rPr>
            </w:pPr>
            <w:r>
              <w:rPr>
                <w:rFonts w:hint="eastAsia" w:hAnsi="宋体" w:cs="宋体"/>
                <w:sz w:val="24"/>
                <w:szCs w:val="24"/>
              </w:rPr>
              <w:t>1</w:t>
            </w:r>
          </w:p>
        </w:tc>
        <w:tc>
          <w:tcPr>
            <w:tcW w:w="1066" w:type="dxa"/>
            <w:vAlign w:val="center"/>
          </w:tcPr>
          <w:p w14:paraId="57A87EEF">
            <w:pPr>
              <w:snapToGrid w:val="0"/>
              <w:spacing w:line="420" w:lineRule="exact"/>
              <w:ind w:left="-10" w:firstLine="12" w:firstLineChars="5"/>
              <w:jc w:val="center"/>
              <w:textAlignment w:val="baseline"/>
              <w:rPr>
                <w:rFonts w:hint="eastAsia" w:hAnsi="宋体" w:cs="宋体"/>
                <w:sz w:val="24"/>
                <w:szCs w:val="24"/>
              </w:rPr>
            </w:pPr>
            <w:r>
              <w:rPr>
                <w:rFonts w:hint="eastAsia" w:hAnsi="宋体" w:cs="宋体"/>
                <w:sz w:val="24"/>
                <w:szCs w:val="24"/>
              </w:rPr>
              <w:t>2.1</w:t>
            </w:r>
          </w:p>
        </w:tc>
        <w:tc>
          <w:tcPr>
            <w:tcW w:w="7983" w:type="dxa"/>
          </w:tcPr>
          <w:p w14:paraId="7AECA98D">
            <w:pPr>
              <w:spacing w:line="460" w:lineRule="exact"/>
              <w:jc w:val="left"/>
              <w:rPr>
                <w:rFonts w:hint="eastAsia" w:ascii="宋体" w:hAnsi="宋体" w:eastAsia="宋体" w:cs="宋体"/>
                <w:color w:val="000000"/>
                <w:sz w:val="24"/>
                <w:szCs w:val="24"/>
                <w:lang w:eastAsia="zh-CN"/>
              </w:rPr>
            </w:pPr>
            <w:r>
              <w:rPr>
                <w:rFonts w:hint="eastAsia" w:hAnsi="宋体"/>
                <w:b/>
                <w:bCs/>
                <w:sz w:val="24"/>
                <w:szCs w:val="24"/>
              </w:rPr>
              <w:t>采购人名称：</w:t>
            </w:r>
            <w:r>
              <w:rPr>
                <w:rFonts w:hint="eastAsia" w:ascii="宋体" w:hAnsi="宋体" w:eastAsia="宋体" w:cs="宋体"/>
                <w:color w:val="000000"/>
                <w:sz w:val="24"/>
                <w:szCs w:val="24"/>
                <w:lang w:val="en-US" w:eastAsia="zh-CN"/>
              </w:rPr>
              <w:t>江西云济投资有限公司</w:t>
            </w:r>
          </w:p>
          <w:p w14:paraId="1A6BF47C">
            <w:pPr>
              <w:spacing w:line="460" w:lineRule="exact"/>
              <w:jc w:val="left"/>
              <w:rPr>
                <w:rFonts w:hint="eastAsia" w:ascii="宋体" w:hAnsi="宋体" w:eastAsia="宋体" w:cs="宋体"/>
                <w:color w:val="000000"/>
                <w:sz w:val="24"/>
                <w:szCs w:val="24"/>
                <w:lang w:eastAsia="zh-CN"/>
              </w:rPr>
            </w:pPr>
            <w:r>
              <w:rPr>
                <w:rFonts w:hint="eastAsia" w:hAnsi="宋体"/>
                <w:b/>
                <w:bCs/>
                <w:sz w:val="24"/>
                <w:szCs w:val="24"/>
              </w:rPr>
              <w:t>详细地址：</w:t>
            </w:r>
            <w:r>
              <w:rPr>
                <w:rFonts w:hint="eastAsia" w:ascii="宋体" w:hAnsi="宋体" w:eastAsia="宋体" w:cs="宋体"/>
                <w:color w:val="000000"/>
                <w:sz w:val="24"/>
                <w:szCs w:val="24"/>
                <w:lang w:eastAsia="zh-CN"/>
              </w:rPr>
              <w:t>江西省上饶经济技术开发区兴园大道32号双创科技城</w:t>
            </w:r>
          </w:p>
          <w:p w14:paraId="1CD16B68">
            <w:pPr>
              <w:snapToGrid w:val="0"/>
              <w:spacing w:line="420" w:lineRule="exact"/>
              <w:textAlignment w:val="center"/>
              <w:rPr>
                <w:rFonts w:hAnsi="宋体"/>
                <w:sz w:val="24"/>
                <w:szCs w:val="24"/>
              </w:rPr>
            </w:pPr>
            <w:r>
              <w:rPr>
                <w:rFonts w:hint="eastAsia" w:hAnsi="宋体"/>
                <w:b/>
                <w:bCs/>
                <w:sz w:val="24"/>
                <w:szCs w:val="24"/>
              </w:rPr>
              <w:t>联 系 人：</w:t>
            </w:r>
            <w:r>
              <w:rPr>
                <w:rFonts w:hint="eastAsia" w:hAnsi="宋体" w:cs="宋体"/>
                <w:color w:val="000000"/>
                <w:sz w:val="24"/>
                <w:szCs w:val="24"/>
                <w:lang w:eastAsia="zh-CN"/>
              </w:rPr>
              <w:t>王</w:t>
            </w:r>
            <w:r>
              <w:rPr>
                <w:rFonts w:hint="eastAsia" w:hAnsi="宋体" w:cs="宋体"/>
                <w:color w:val="000000"/>
                <w:sz w:val="24"/>
                <w:szCs w:val="24"/>
              </w:rPr>
              <w:t xml:space="preserve">先生 </w:t>
            </w:r>
          </w:p>
          <w:p w14:paraId="691FE0D5">
            <w:pPr>
              <w:snapToGrid w:val="0"/>
              <w:spacing w:line="420" w:lineRule="exact"/>
              <w:ind w:left="-10" w:firstLine="12" w:firstLineChars="5"/>
              <w:textAlignment w:val="baseline"/>
              <w:rPr>
                <w:rFonts w:hint="eastAsia" w:hAnsi="宋体" w:cs="宋体"/>
                <w:color w:val="000000"/>
                <w:sz w:val="24"/>
                <w:szCs w:val="24"/>
              </w:rPr>
            </w:pPr>
            <w:r>
              <w:rPr>
                <w:rFonts w:hint="eastAsia" w:hAnsi="宋体"/>
                <w:b/>
                <w:bCs/>
                <w:sz w:val="24"/>
                <w:szCs w:val="24"/>
              </w:rPr>
              <w:t>联系电话：</w:t>
            </w:r>
            <w:r>
              <w:rPr>
                <w:rFonts w:hint="eastAsia" w:ascii="宋体" w:hAnsi="宋体" w:eastAsia="宋体" w:cs="宋体"/>
                <w:color w:val="000000"/>
                <w:sz w:val="24"/>
                <w:szCs w:val="24"/>
                <w:lang w:val="en-US" w:eastAsia="zh-CN"/>
              </w:rPr>
              <w:t>19914592378</w:t>
            </w:r>
          </w:p>
        </w:tc>
      </w:tr>
      <w:tr w14:paraId="2EEF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817" w:type="dxa"/>
            <w:vAlign w:val="center"/>
          </w:tcPr>
          <w:p w14:paraId="011DC54E">
            <w:pPr>
              <w:snapToGrid w:val="0"/>
              <w:spacing w:line="420" w:lineRule="exact"/>
              <w:ind w:left="-10" w:firstLine="12" w:firstLineChars="5"/>
              <w:jc w:val="center"/>
              <w:textAlignment w:val="baseline"/>
              <w:rPr>
                <w:rFonts w:hint="eastAsia" w:hAnsi="宋体" w:cs="宋体"/>
                <w:sz w:val="24"/>
                <w:szCs w:val="24"/>
              </w:rPr>
            </w:pPr>
            <w:r>
              <w:rPr>
                <w:rFonts w:hint="eastAsia" w:hAnsi="宋体" w:cs="宋体"/>
                <w:sz w:val="24"/>
                <w:szCs w:val="24"/>
              </w:rPr>
              <w:t>2</w:t>
            </w:r>
          </w:p>
        </w:tc>
        <w:tc>
          <w:tcPr>
            <w:tcW w:w="1066" w:type="dxa"/>
            <w:vAlign w:val="center"/>
          </w:tcPr>
          <w:p w14:paraId="4AFF6AF0">
            <w:pPr>
              <w:snapToGrid w:val="0"/>
              <w:spacing w:line="420" w:lineRule="exact"/>
              <w:ind w:left="-10" w:firstLine="12" w:firstLineChars="5"/>
              <w:jc w:val="center"/>
              <w:textAlignment w:val="baseline"/>
              <w:rPr>
                <w:rFonts w:hint="eastAsia" w:hAnsi="宋体" w:cs="宋体"/>
                <w:sz w:val="24"/>
                <w:szCs w:val="24"/>
              </w:rPr>
            </w:pPr>
            <w:r>
              <w:rPr>
                <w:rFonts w:hint="eastAsia" w:hAnsi="宋体" w:cs="宋体"/>
                <w:sz w:val="24"/>
                <w:szCs w:val="24"/>
              </w:rPr>
              <w:t>2.2</w:t>
            </w:r>
          </w:p>
        </w:tc>
        <w:tc>
          <w:tcPr>
            <w:tcW w:w="7983" w:type="dxa"/>
          </w:tcPr>
          <w:p w14:paraId="63FC25A0">
            <w:pPr>
              <w:spacing w:line="460" w:lineRule="exact"/>
              <w:jc w:val="left"/>
              <w:rPr>
                <w:rFonts w:hint="eastAsia" w:hAnsi="宋体" w:eastAsia="宋体" w:cs="宋体"/>
                <w:color w:val="000000"/>
                <w:sz w:val="24"/>
                <w:szCs w:val="24"/>
                <w:lang w:eastAsia="zh-CN"/>
              </w:rPr>
            </w:pPr>
            <w:r>
              <w:rPr>
                <w:rFonts w:hint="eastAsia" w:hAnsi="宋体" w:cs="宋体"/>
                <w:b/>
                <w:bCs/>
                <w:color w:val="000000"/>
                <w:sz w:val="24"/>
                <w:szCs w:val="24"/>
              </w:rPr>
              <w:t>采购代理机构名称：</w:t>
            </w:r>
            <w:r>
              <w:rPr>
                <w:rFonts w:hint="eastAsia" w:hAnsi="宋体" w:cs="宋体"/>
                <w:color w:val="000000"/>
                <w:sz w:val="24"/>
                <w:szCs w:val="24"/>
                <w:lang w:eastAsia="zh-CN"/>
              </w:rPr>
              <w:t>浙江建科工程项目管理有限公司</w:t>
            </w:r>
          </w:p>
          <w:p w14:paraId="0E4C42F3">
            <w:pPr>
              <w:spacing w:line="460" w:lineRule="exact"/>
              <w:jc w:val="left"/>
              <w:rPr>
                <w:rFonts w:hint="eastAsia" w:hAnsi="宋体" w:cs="宋体"/>
                <w:color w:val="000000"/>
                <w:sz w:val="24"/>
                <w:szCs w:val="24"/>
              </w:rPr>
            </w:pPr>
            <w:r>
              <w:rPr>
                <w:rFonts w:hint="eastAsia" w:hAnsi="宋体" w:cs="宋体"/>
                <w:b/>
                <w:bCs/>
                <w:color w:val="000000"/>
                <w:sz w:val="24"/>
                <w:szCs w:val="24"/>
              </w:rPr>
              <w:t>详细地址：</w:t>
            </w:r>
            <w:r>
              <w:rPr>
                <w:rFonts w:hint="eastAsia" w:hAnsi="宋体" w:cs="宋体"/>
                <w:color w:val="000000"/>
                <w:sz w:val="24"/>
                <w:szCs w:val="24"/>
              </w:rPr>
              <w:t>上饶市铅山县滨江花城步行街77号</w:t>
            </w:r>
          </w:p>
          <w:p w14:paraId="36B9E983">
            <w:pPr>
              <w:spacing w:line="460" w:lineRule="exact"/>
              <w:jc w:val="left"/>
              <w:rPr>
                <w:rFonts w:hint="eastAsia" w:hAnsi="宋体" w:eastAsia="宋体" w:cs="宋体"/>
                <w:color w:val="000000"/>
                <w:sz w:val="24"/>
                <w:szCs w:val="24"/>
                <w:lang w:eastAsia="zh-CN"/>
              </w:rPr>
            </w:pPr>
            <w:r>
              <w:rPr>
                <w:rFonts w:hint="eastAsia" w:hAnsi="宋体" w:cs="宋体"/>
                <w:b/>
                <w:bCs/>
                <w:color w:val="000000"/>
                <w:sz w:val="24"/>
                <w:szCs w:val="24"/>
              </w:rPr>
              <w:t>联 系 人：</w:t>
            </w:r>
            <w:r>
              <w:rPr>
                <w:rFonts w:hint="eastAsia" w:hAnsi="宋体" w:cs="宋体"/>
                <w:color w:val="000000"/>
                <w:sz w:val="24"/>
                <w:szCs w:val="24"/>
                <w:lang w:eastAsia="zh-CN"/>
              </w:rPr>
              <w:t>林先生</w:t>
            </w:r>
          </w:p>
          <w:p w14:paraId="7A2D3964">
            <w:pPr>
              <w:snapToGrid w:val="0"/>
              <w:spacing w:line="420" w:lineRule="exact"/>
              <w:ind w:left="-10" w:firstLine="12" w:firstLineChars="5"/>
              <w:textAlignment w:val="baseline"/>
              <w:rPr>
                <w:rFonts w:hAnsi="宋体" w:cs="宋体"/>
                <w:sz w:val="24"/>
                <w:szCs w:val="24"/>
              </w:rPr>
            </w:pPr>
            <w:r>
              <w:rPr>
                <w:rFonts w:hint="eastAsia" w:hAnsi="宋体" w:cs="宋体"/>
                <w:b/>
                <w:bCs/>
                <w:color w:val="000000"/>
                <w:sz w:val="24"/>
                <w:szCs w:val="24"/>
              </w:rPr>
              <w:t>联系电话：</w:t>
            </w:r>
            <w:r>
              <w:rPr>
                <w:rFonts w:hint="eastAsia" w:hAnsi="宋体" w:cs="宋体"/>
                <w:color w:val="000000"/>
                <w:sz w:val="24"/>
                <w:szCs w:val="24"/>
              </w:rPr>
              <w:t>17770362097</w:t>
            </w:r>
          </w:p>
        </w:tc>
      </w:tr>
      <w:tr w14:paraId="009E7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817" w:type="dxa"/>
            <w:vAlign w:val="center"/>
          </w:tcPr>
          <w:p w14:paraId="32A468E9">
            <w:pPr>
              <w:snapToGrid w:val="0"/>
              <w:spacing w:line="420" w:lineRule="exact"/>
              <w:ind w:left="-10" w:firstLine="12" w:firstLineChars="5"/>
              <w:jc w:val="center"/>
              <w:textAlignment w:val="baseline"/>
              <w:rPr>
                <w:rFonts w:hint="eastAsia" w:hAnsi="宋体" w:cs="宋体"/>
                <w:sz w:val="24"/>
                <w:szCs w:val="24"/>
              </w:rPr>
            </w:pPr>
            <w:r>
              <w:rPr>
                <w:rFonts w:hint="eastAsia" w:hAnsi="宋体" w:cs="宋体"/>
                <w:sz w:val="24"/>
                <w:szCs w:val="24"/>
              </w:rPr>
              <w:t>3</w:t>
            </w:r>
          </w:p>
        </w:tc>
        <w:tc>
          <w:tcPr>
            <w:tcW w:w="1066" w:type="dxa"/>
            <w:vAlign w:val="center"/>
          </w:tcPr>
          <w:p w14:paraId="5703DAA1">
            <w:pPr>
              <w:snapToGrid w:val="0"/>
              <w:spacing w:line="420" w:lineRule="exact"/>
              <w:ind w:left="-10" w:firstLine="12" w:firstLineChars="5"/>
              <w:jc w:val="center"/>
              <w:textAlignment w:val="baseline"/>
              <w:rPr>
                <w:rFonts w:hint="eastAsia" w:hAnsi="宋体" w:cs="宋体"/>
                <w:sz w:val="24"/>
                <w:szCs w:val="24"/>
              </w:rPr>
            </w:pPr>
            <w:r>
              <w:rPr>
                <w:rFonts w:hint="eastAsia" w:hAnsi="宋体" w:cs="宋体"/>
                <w:sz w:val="24"/>
                <w:szCs w:val="24"/>
              </w:rPr>
              <w:t>15.1</w:t>
            </w:r>
          </w:p>
        </w:tc>
        <w:tc>
          <w:tcPr>
            <w:tcW w:w="7983" w:type="dxa"/>
          </w:tcPr>
          <w:p w14:paraId="4C97CA94">
            <w:pPr>
              <w:spacing w:line="460" w:lineRule="exact"/>
              <w:ind w:left="37" w:leftChars="11"/>
              <w:jc w:val="left"/>
              <w:textAlignment w:val="center"/>
              <w:rPr>
                <w:rFonts w:hAnsi="宋体"/>
                <w:kern w:val="2"/>
                <w:sz w:val="24"/>
                <w:szCs w:val="24"/>
              </w:rPr>
            </w:pPr>
            <w:r>
              <w:rPr>
                <w:rFonts w:hint="eastAsia" w:hAnsi="宋体"/>
                <w:b/>
                <w:bCs/>
                <w:kern w:val="2"/>
                <w:sz w:val="24"/>
                <w:szCs w:val="24"/>
              </w:rPr>
              <w:t>投标保证金额</w:t>
            </w:r>
            <w:r>
              <w:rPr>
                <w:rFonts w:hint="eastAsia" w:hAnsi="宋体"/>
                <w:kern w:val="2"/>
                <w:sz w:val="24"/>
                <w:szCs w:val="24"/>
              </w:rPr>
              <w:t>：人民币</w:t>
            </w:r>
            <w:r>
              <w:rPr>
                <w:rFonts w:hint="eastAsia" w:hAnsi="宋体"/>
                <w:kern w:val="2"/>
                <w:sz w:val="24"/>
                <w:szCs w:val="24"/>
                <w:u w:val="single"/>
              </w:rPr>
              <w:t>贰万元整</w:t>
            </w:r>
            <w:r>
              <w:rPr>
                <w:rFonts w:hint="eastAsia" w:hAnsi="宋体"/>
                <w:kern w:val="2"/>
                <w:sz w:val="24"/>
                <w:szCs w:val="24"/>
              </w:rPr>
              <w:t>（¥20000.00）。</w:t>
            </w:r>
          </w:p>
          <w:p w14:paraId="5A7CFCB7">
            <w:pPr>
              <w:spacing w:line="460" w:lineRule="exact"/>
              <w:ind w:left="37" w:leftChars="11" w:firstLine="480" w:firstLineChars="200"/>
              <w:jc w:val="left"/>
              <w:textAlignment w:val="center"/>
              <w:rPr>
                <w:rFonts w:hAnsi="宋体"/>
                <w:kern w:val="2"/>
                <w:sz w:val="24"/>
                <w:szCs w:val="24"/>
              </w:rPr>
            </w:pPr>
            <w:r>
              <w:rPr>
                <w:rFonts w:hint="eastAsia" w:hAnsi="宋体"/>
                <w:kern w:val="2"/>
                <w:sz w:val="24"/>
                <w:szCs w:val="24"/>
              </w:rPr>
              <w:t>本项目投标保证金应当采用支票、汇票、本票、网上银行转账或金融机构、担保机构出具的保函等非现金形式足额交纳，并注明项目名称。</w:t>
            </w:r>
          </w:p>
          <w:p w14:paraId="277B4D8B">
            <w:pPr>
              <w:spacing w:line="460" w:lineRule="exact"/>
              <w:ind w:left="37" w:leftChars="11"/>
              <w:jc w:val="left"/>
              <w:textAlignment w:val="center"/>
              <w:rPr>
                <w:rFonts w:hint="eastAsia" w:hAnsi="宋体"/>
                <w:b/>
                <w:bCs/>
                <w:kern w:val="2"/>
                <w:sz w:val="24"/>
                <w:szCs w:val="24"/>
                <w:highlight w:val="none"/>
              </w:rPr>
            </w:pPr>
            <w:r>
              <w:rPr>
                <w:rFonts w:hint="eastAsia" w:hAnsi="宋体"/>
                <w:b/>
                <w:bCs/>
                <w:kern w:val="2"/>
                <w:sz w:val="24"/>
                <w:szCs w:val="24"/>
                <w:highlight w:val="none"/>
              </w:rPr>
              <w:t>1.采用银行电汇、转账、网上银行转账形式：</w:t>
            </w:r>
          </w:p>
          <w:p w14:paraId="53314F68">
            <w:pPr>
              <w:spacing w:line="460" w:lineRule="exact"/>
              <w:ind w:left="37" w:leftChars="11"/>
              <w:jc w:val="left"/>
              <w:textAlignment w:val="center"/>
              <w:rPr>
                <w:rFonts w:hint="eastAsia" w:hAnsi="宋体"/>
                <w:kern w:val="2"/>
                <w:sz w:val="24"/>
                <w:szCs w:val="24"/>
                <w:highlight w:val="none"/>
              </w:rPr>
            </w:pPr>
            <w:r>
              <w:rPr>
                <w:rFonts w:hint="eastAsia" w:hAnsi="宋体"/>
                <w:kern w:val="2"/>
                <w:sz w:val="24"/>
                <w:szCs w:val="24"/>
                <w:highlight w:val="none"/>
              </w:rPr>
              <w:t>应在开标截止时间前将投标保证金交纳至指定账户中，投标保证金的交付时间以收款人银行实际到帐为准。</w:t>
            </w:r>
          </w:p>
          <w:p w14:paraId="0DE92591">
            <w:pPr>
              <w:spacing w:line="460" w:lineRule="exact"/>
              <w:ind w:left="37" w:leftChars="11"/>
              <w:jc w:val="left"/>
              <w:textAlignment w:val="center"/>
              <w:rPr>
                <w:rFonts w:hint="eastAsia" w:hAnsi="宋体"/>
                <w:kern w:val="2"/>
                <w:sz w:val="24"/>
                <w:szCs w:val="24"/>
                <w:highlight w:val="none"/>
              </w:rPr>
            </w:pPr>
            <w:r>
              <w:rPr>
                <w:rFonts w:hint="eastAsia" w:hAnsi="宋体"/>
                <w:kern w:val="2"/>
                <w:sz w:val="24"/>
                <w:szCs w:val="24"/>
                <w:highlight w:val="none"/>
              </w:rPr>
              <w:t>开户行：投标人自行从系统选取</w:t>
            </w:r>
          </w:p>
          <w:p w14:paraId="48CB573B">
            <w:pPr>
              <w:spacing w:line="460" w:lineRule="exact"/>
              <w:ind w:left="37" w:leftChars="11"/>
              <w:jc w:val="left"/>
              <w:textAlignment w:val="center"/>
              <w:rPr>
                <w:rFonts w:hint="eastAsia" w:hAnsi="宋体"/>
                <w:kern w:val="2"/>
                <w:sz w:val="24"/>
                <w:szCs w:val="24"/>
                <w:highlight w:val="none"/>
              </w:rPr>
            </w:pPr>
            <w:r>
              <w:rPr>
                <w:rFonts w:hint="eastAsia" w:hAnsi="宋体"/>
                <w:kern w:val="2"/>
                <w:sz w:val="24"/>
                <w:szCs w:val="24"/>
                <w:highlight w:val="none"/>
              </w:rPr>
              <w:t>银行账号：投标人自行从系统中生成</w:t>
            </w:r>
          </w:p>
          <w:p w14:paraId="7B98767B">
            <w:pPr>
              <w:spacing w:line="460" w:lineRule="exact"/>
              <w:ind w:left="37" w:leftChars="11"/>
              <w:jc w:val="left"/>
              <w:textAlignment w:val="center"/>
              <w:rPr>
                <w:rFonts w:hint="eastAsia" w:hAnsi="宋体"/>
                <w:kern w:val="2"/>
                <w:sz w:val="24"/>
                <w:szCs w:val="24"/>
                <w:highlight w:val="none"/>
              </w:rPr>
            </w:pPr>
            <w:r>
              <w:rPr>
                <w:rFonts w:hint="eastAsia" w:hAnsi="宋体"/>
                <w:kern w:val="2"/>
                <w:sz w:val="24"/>
                <w:szCs w:val="24"/>
                <w:highlight w:val="none"/>
              </w:rPr>
              <w:t>备注：（1）本项目转账采用虚拟子账户方式网上交纳保证金的，投标人应当按照交易系统工作流程中保证金内容操作，在系统中获取保证金信息及账号，在规定的到账时间之前从投标人交易系统内填写的用户库中基本户银行账户一次性足额转账到达该账号中，未按照上述约定要求缴纳投标保证金的将视为无效，由投标人自行负责。</w:t>
            </w:r>
          </w:p>
          <w:p w14:paraId="0695EC86">
            <w:pPr>
              <w:spacing w:line="460" w:lineRule="exact"/>
              <w:ind w:left="37" w:leftChars="11"/>
              <w:jc w:val="left"/>
              <w:textAlignment w:val="center"/>
              <w:rPr>
                <w:rFonts w:hint="eastAsia" w:hAnsi="宋体"/>
                <w:kern w:val="2"/>
                <w:sz w:val="24"/>
                <w:szCs w:val="24"/>
                <w:highlight w:val="none"/>
              </w:rPr>
            </w:pPr>
            <w:r>
              <w:rPr>
                <w:rFonts w:hint="eastAsia" w:hAnsi="宋体"/>
                <w:kern w:val="2"/>
                <w:sz w:val="24"/>
                <w:szCs w:val="24"/>
                <w:highlight w:val="none"/>
              </w:rPr>
              <w:t>（2）投标人应登陆上饶市阳光采购服务平台，仔细检查用户库中本单位的基本户银行账户是否填写正确和规范。账户不正确、不规范的单位，请尽快修改正确并完善，以免影响正常投标。</w:t>
            </w:r>
          </w:p>
          <w:p w14:paraId="092BD776">
            <w:pPr>
              <w:spacing w:line="460" w:lineRule="exact"/>
              <w:ind w:left="37" w:leftChars="11"/>
              <w:jc w:val="left"/>
              <w:textAlignment w:val="center"/>
              <w:rPr>
                <w:rFonts w:hint="eastAsia" w:hAnsi="宋体"/>
                <w:kern w:val="2"/>
                <w:sz w:val="24"/>
                <w:szCs w:val="24"/>
                <w:highlight w:val="none"/>
              </w:rPr>
            </w:pPr>
            <w:r>
              <w:rPr>
                <w:rFonts w:hint="eastAsia" w:hAnsi="宋体"/>
                <w:kern w:val="2"/>
                <w:sz w:val="24"/>
                <w:szCs w:val="24"/>
                <w:highlight w:val="none"/>
              </w:rPr>
              <w:t>（3）缴纳后投标人必须返回缴纳页面查询是否缴纳成功，投标资格以系统认定的为准。</w:t>
            </w:r>
          </w:p>
          <w:p w14:paraId="04EE6934">
            <w:pPr>
              <w:spacing w:line="460" w:lineRule="exact"/>
              <w:ind w:left="37" w:leftChars="11"/>
              <w:jc w:val="left"/>
              <w:textAlignment w:val="center"/>
              <w:rPr>
                <w:rFonts w:hAnsi="宋体"/>
                <w:b/>
                <w:bCs/>
                <w:kern w:val="2"/>
                <w:sz w:val="24"/>
                <w:szCs w:val="24"/>
              </w:rPr>
            </w:pPr>
            <w:r>
              <w:rPr>
                <w:rFonts w:hint="eastAsia" w:hAnsi="宋体"/>
                <w:b/>
                <w:bCs/>
                <w:kern w:val="2"/>
                <w:sz w:val="24"/>
                <w:szCs w:val="24"/>
                <w:highlight w:val="none"/>
              </w:rPr>
              <w:t>供应商对保证金相关事项有任何疑议，请致电技术客服：0793-8330665。</w:t>
            </w:r>
            <w:r>
              <w:rPr>
                <w:rFonts w:hint="eastAsia" w:hAnsi="宋体"/>
                <w:b/>
                <w:bCs/>
                <w:kern w:val="2"/>
                <w:sz w:val="24"/>
                <w:szCs w:val="24"/>
              </w:rPr>
              <w:t>2.采用保函形式：</w:t>
            </w:r>
          </w:p>
          <w:p w14:paraId="7DF527E3">
            <w:pPr>
              <w:spacing w:line="460" w:lineRule="exact"/>
              <w:ind w:left="37" w:leftChars="11"/>
              <w:jc w:val="left"/>
              <w:textAlignment w:val="center"/>
              <w:rPr>
                <w:rFonts w:hAnsi="宋体"/>
                <w:kern w:val="2"/>
                <w:sz w:val="24"/>
                <w:szCs w:val="24"/>
              </w:rPr>
            </w:pPr>
            <w:r>
              <w:rPr>
                <w:rFonts w:hint="eastAsia" w:hAnsi="宋体"/>
                <w:kern w:val="2"/>
                <w:sz w:val="24"/>
                <w:szCs w:val="24"/>
              </w:rPr>
              <w:t>2.1采用银行出具保函的，须为投标人基本账户所在银行出具的银行保函并附有基本开户许可证复印件（或银行出具的含基本存款账户编号的《基本存款账户信息》复印件）加盖投标人公章，两者缺一不可。</w:t>
            </w:r>
          </w:p>
          <w:p w14:paraId="2F4C49FC">
            <w:pPr>
              <w:spacing w:line="460" w:lineRule="exact"/>
              <w:ind w:left="37" w:leftChars="11"/>
              <w:jc w:val="left"/>
              <w:textAlignment w:val="center"/>
              <w:rPr>
                <w:rFonts w:hAnsi="宋体"/>
                <w:kern w:val="2"/>
                <w:sz w:val="24"/>
                <w:szCs w:val="24"/>
              </w:rPr>
            </w:pPr>
            <w:r>
              <w:rPr>
                <w:rFonts w:hint="eastAsia" w:hAnsi="宋体"/>
                <w:kern w:val="2"/>
                <w:sz w:val="24"/>
                <w:szCs w:val="24"/>
              </w:rPr>
              <w:t>2.2采用专业担保机构出具保函的，投标文件中须提供保函和担保机构营业执照复印件。</w:t>
            </w:r>
          </w:p>
          <w:p w14:paraId="6C0012F9">
            <w:pPr>
              <w:spacing w:line="460" w:lineRule="exact"/>
              <w:ind w:left="37" w:leftChars="11"/>
              <w:jc w:val="left"/>
              <w:textAlignment w:val="center"/>
              <w:rPr>
                <w:rFonts w:hAnsi="宋体"/>
                <w:kern w:val="2"/>
                <w:sz w:val="24"/>
                <w:szCs w:val="24"/>
              </w:rPr>
            </w:pPr>
            <w:r>
              <w:rPr>
                <w:rFonts w:hint="eastAsia" w:hAnsi="宋体"/>
                <w:kern w:val="2"/>
                <w:sz w:val="24"/>
                <w:szCs w:val="24"/>
              </w:rPr>
              <w:t>2.3保函受益人应为采购人，保函有效期须不少于投标有效期。保函原件须在投标截止时间前递交到采购代理机构，逾时不予接收，视为未提供。所有递交的保函原件由采购代理机构留存，不予退回。</w:t>
            </w:r>
          </w:p>
          <w:p w14:paraId="6111A49B">
            <w:pPr>
              <w:spacing w:line="460" w:lineRule="exact"/>
              <w:ind w:left="37" w:leftChars="11"/>
              <w:jc w:val="left"/>
              <w:textAlignment w:val="center"/>
              <w:rPr>
                <w:rFonts w:hAnsi="宋体"/>
                <w:b/>
                <w:bCs/>
                <w:kern w:val="2"/>
                <w:sz w:val="24"/>
                <w:szCs w:val="24"/>
              </w:rPr>
            </w:pPr>
            <w:r>
              <w:rPr>
                <w:rFonts w:hint="eastAsia" w:hAnsi="宋体"/>
                <w:b/>
                <w:bCs/>
                <w:kern w:val="2"/>
                <w:sz w:val="24"/>
                <w:szCs w:val="24"/>
              </w:rPr>
              <w:t>3.采用支票、汇票、本票形式：</w:t>
            </w:r>
          </w:p>
          <w:p w14:paraId="1F95FF27">
            <w:pPr>
              <w:snapToGrid w:val="0"/>
              <w:spacing w:line="420" w:lineRule="exact"/>
              <w:ind w:left="-10" w:firstLine="12" w:firstLineChars="5"/>
              <w:textAlignment w:val="baseline"/>
              <w:rPr>
                <w:rFonts w:hAnsi="宋体" w:cs="宋体"/>
                <w:sz w:val="24"/>
                <w:szCs w:val="24"/>
              </w:rPr>
            </w:pPr>
            <w:r>
              <w:rPr>
                <w:rFonts w:hint="eastAsia" w:hAnsi="宋体"/>
                <w:kern w:val="2"/>
                <w:sz w:val="24"/>
                <w:szCs w:val="24"/>
              </w:rPr>
              <w:t>投标文件中提供符合国家规定的相应凭证佐证，原件须在投标截止时间前递交到采购代理机构，逾时不予接收，视为未提供。</w:t>
            </w:r>
          </w:p>
        </w:tc>
      </w:tr>
      <w:tr w14:paraId="113B0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17" w:type="dxa"/>
            <w:vAlign w:val="center"/>
          </w:tcPr>
          <w:p w14:paraId="7017FA2F">
            <w:pPr>
              <w:snapToGrid w:val="0"/>
              <w:spacing w:line="420" w:lineRule="exact"/>
              <w:ind w:left="-10" w:firstLine="12" w:firstLineChars="5"/>
              <w:jc w:val="center"/>
              <w:textAlignment w:val="baseline"/>
              <w:rPr>
                <w:rFonts w:hint="eastAsia" w:hAnsi="宋体" w:cs="宋体"/>
                <w:sz w:val="24"/>
                <w:szCs w:val="24"/>
              </w:rPr>
            </w:pPr>
            <w:r>
              <w:rPr>
                <w:rFonts w:hint="eastAsia" w:hAnsi="宋体" w:cs="宋体"/>
                <w:sz w:val="24"/>
                <w:szCs w:val="24"/>
              </w:rPr>
              <w:t>4</w:t>
            </w:r>
          </w:p>
        </w:tc>
        <w:tc>
          <w:tcPr>
            <w:tcW w:w="1066" w:type="dxa"/>
            <w:vAlign w:val="center"/>
          </w:tcPr>
          <w:p w14:paraId="51762618">
            <w:pPr>
              <w:snapToGrid w:val="0"/>
              <w:spacing w:line="420" w:lineRule="exact"/>
              <w:ind w:left="-10" w:firstLine="12" w:firstLineChars="5"/>
              <w:jc w:val="center"/>
              <w:textAlignment w:val="baseline"/>
              <w:rPr>
                <w:rFonts w:hint="eastAsia" w:hAnsi="宋体" w:cs="宋体"/>
                <w:sz w:val="24"/>
                <w:szCs w:val="24"/>
              </w:rPr>
            </w:pPr>
            <w:r>
              <w:rPr>
                <w:rFonts w:hint="eastAsia" w:hAnsi="宋体" w:cs="宋体"/>
                <w:sz w:val="24"/>
                <w:szCs w:val="24"/>
              </w:rPr>
              <w:t>16.1</w:t>
            </w:r>
          </w:p>
        </w:tc>
        <w:tc>
          <w:tcPr>
            <w:tcW w:w="7983" w:type="dxa"/>
            <w:vAlign w:val="center"/>
          </w:tcPr>
          <w:p w14:paraId="318F7D2C">
            <w:pPr>
              <w:snapToGrid w:val="0"/>
              <w:spacing w:line="420" w:lineRule="exact"/>
              <w:ind w:left="-10" w:firstLine="12" w:firstLineChars="5"/>
              <w:textAlignment w:val="baseline"/>
              <w:rPr>
                <w:rFonts w:hAnsi="宋体" w:cs="宋体"/>
                <w:sz w:val="24"/>
                <w:szCs w:val="24"/>
              </w:rPr>
            </w:pPr>
            <w:r>
              <w:rPr>
                <w:rFonts w:hint="eastAsia" w:hAnsi="宋体" w:cs="宋体"/>
                <w:sz w:val="24"/>
                <w:szCs w:val="24"/>
              </w:rPr>
              <w:t>投标有效期：开标后90天</w:t>
            </w:r>
          </w:p>
        </w:tc>
      </w:tr>
      <w:tr w14:paraId="1E448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17" w:type="dxa"/>
            <w:vAlign w:val="center"/>
          </w:tcPr>
          <w:p w14:paraId="601534AC">
            <w:pPr>
              <w:snapToGrid w:val="0"/>
              <w:spacing w:line="420" w:lineRule="exact"/>
              <w:ind w:left="-10" w:firstLine="12" w:firstLineChars="5"/>
              <w:jc w:val="center"/>
              <w:textAlignment w:val="baseline"/>
              <w:rPr>
                <w:rFonts w:hint="eastAsia" w:hAnsi="宋体" w:cs="宋体"/>
                <w:sz w:val="24"/>
                <w:szCs w:val="24"/>
              </w:rPr>
            </w:pPr>
            <w:r>
              <w:rPr>
                <w:rFonts w:hint="eastAsia" w:hAnsi="宋体" w:cs="宋体"/>
                <w:sz w:val="24"/>
                <w:szCs w:val="24"/>
              </w:rPr>
              <w:t>5</w:t>
            </w:r>
          </w:p>
        </w:tc>
        <w:tc>
          <w:tcPr>
            <w:tcW w:w="1066" w:type="dxa"/>
            <w:vAlign w:val="center"/>
          </w:tcPr>
          <w:p w14:paraId="091E146D">
            <w:pPr>
              <w:snapToGrid w:val="0"/>
              <w:spacing w:line="420" w:lineRule="exact"/>
              <w:ind w:left="-10" w:firstLine="12" w:firstLineChars="5"/>
              <w:jc w:val="center"/>
              <w:textAlignment w:val="baseline"/>
              <w:rPr>
                <w:rFonts w:hint="eastAsia" w:hAnsi="宋体" w:cs="宋体"/>
                <w:sz w:val="24"/>
                <w:szCs w:val="24"/>
              </w:rPr>
            </w:pPr>
            <w:r>
              <w:rPr>
                <w:rFonts w:hint="eastAsia" w:hAnsi="宋体" w:cs="宋体"/>
                <w:sz w:val="24"/>
                <w:szCs w:val="24"/>
              </w:rPr>
              <w:t>18.3</w:t>
            </w:r>
          </w:p>
        </w:tc>
        <w:tc>
          <w:tcPr>
            <w:tcW w:w="7983" w:type="dxa"/>
            <w:vAlign w:val="center"/>
          </w:tcPr>
          <w:p w14:paraId="1AAFA71F">
            <w:pPr>
              <w:snapToGrid w:val="0"/>
              <w:spacing w:line="420" w:lineRule="exact"/>
              <w:ind w:left="-10" w:firstLine="12" w:firstLineChars="5"/>
              <w:textAlignment w:val="baseline"/>
              <w:rPr>
                <w:rFonts w:hAnsi="宋体" w:cs="宋体"/>
                <w:sz w:val="24"/>
                <w:szCs w:val="24"/>
              </w:rPr>
            </w:pPr>
            <w:r>
              <w:rPr>
                <w:rFonts w:hint="eastAsia" w:hAnsi="宋体"/>
                <w:kern w:val="2"/>
                <w:sz w:val="24"/>
                <w:szCs w:val="24"/>
              </w:rPr>
              <w:t>投标文件：正本壹份、副本叁份</w:t>
            </w:r>
          </w:p>
        </w:tc>
      </w:tr>
      <w:tr w14:paraId="4CFCA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17" w:type="dxa"/>
            <w:vAlign w:val="center"/>
          </w:tcPr>
          <w:p w14:paraId="6071BF5F">
            <w:pPr>
              <w:snapToGrid w:val="0"/>
              <w:spacing w:line="420" w:lineRule="exact"/>
              <w:ind w:left="-10" w:firstLine="12" w:firstLineChars="5"/>
              <w:jc w:val="center"/>
              <w:textAlignment w:val="baseline"/>
              <w:rPr>
                <w:rFonts w:hint="eastAsia" w:hAnsi="宋体" w:cs="宋体"/>
                <w:sz w:val="24"/>
                <w:szCs w:val="24"/>
              </w:rPr>
            </w:pPr>
            <w:r>
              <w:rPr>
                <w:rFonts w:hint="eastAsia" w:hAnsi="宋体" w:cs="宋体"/>
                <w:sz w:val="24"/>
                <w:szCs w:val="24"/>
              </w:rPr>
              <w:t>6</w:t>
            </w:r>
          </w:p>
        </w:tc>
        <w:tc>
          <w:tcPr>
            <w:tcW w:w="1066" w:type="dxa"/>
            <w:vAlign w:val="center"/>
          </w:tcPr>
          <w:p w14:paraId="5A0C8BC9">
            <w:pPr>
              <w:snapToGrid w:val="0"/>
              <w:spacing w:line="420" w:lineRule="exact"/>
              <w:ind w:left="-10" w:firstLine="12" w:firstLineChars="5"/>
              <w:jc w:val="center"/>
              <w:textAlignment w:val="baseline"/>
              <w:rPr>
                <w:rFonts w:hint="eastAsia" w:hAnsi="宋体" w:cs="宋体"/>
                <w:sz w:val="24"/>
                <w:szCs w:val="24"/>
              </w:rPr>
            </w:pPr>
            <w:r>
              <w:rPr>
                <w:rFonts w:hint="eastAsia" w:hAnsi="宋体" w:cs="宋体"/>
                <w:sz w:val="24"/>
                <w:szCs w:val="24"/>
              </w:rPr>
              <w:t>25.1.2</w:t>
            </w:r>
          </w:p>
        </w:tc>
        <w:tc>
          <w:tcPr>
            <w:tcW w:w="7983" w:type="dxa"/>
            <w:vAlign w:val="center"/>
          </w:tcPr>
          <w:p w14:paraId="28C4ED06">
            <w:pPr>
              <w:snapToGrid w:val="0"/>
              <w:spacing w:line="420" w:lineRule="exact"/>
              <w:ind w:left="-10" w:firstLine="12" w:firstLineChars="5"/>
              <w:textAlignment w:val="baseline"/>
              <w:rPr>
                <w:rFonts w:hAnsi="宋体" w:cs="宋体"/>
                <w:sz w:val="24"/>
                <w:szCs w:val="24"/>
              </w:rPr>
            </w:pPr>
            <w:r>
              <w:rPr>
                <w:rFonts w:hint="eastAsia" w:hAnsi="宋体" w:cs="宋体"/>
                <w:sz w:val="24"/>
                <w:szCs w:val="24"/>
              </w:rPr>
              <w:t>评标标准和方法：综合评分法（详见评审办法）</w:t>
            </w:r>
          </w:p>
        </w:tc>
      </w:tr>
      <w:tr w14:paraId="7DEF9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17" w:type="dxa"/>
            <w:vAlign w:val="center"/>
          </w:tcPr>
          <w:p w14:paraId="13D4B188">
            <w:pPr>
              <w:snapToGrid w:val="0"/>
              <w:spacing w:line="420" w:lineRule="exact"/>
              <w:ind w:left="-10" w:firstLine="12" w:firstLineChars="5"/>
              <w:jc w:val="center"/>
              <w:textAlignment w:val="baseline"/>
              <w:rPr>
                <w:rFonts w:hint="eastAsia" w:hAnsi="宋体" w:cs="宋体"/>
                <w:sz w:val="24"/>
                <w:szCs w:val="24"/>
              </w:rPr>
            </w:pPr>
            <w:r>
              <w:rPr>
                <w:rFonts w:hint="eastAsia" w:hAnsi="宋体" w:cs="宋体"/>
                <w:sz w:val="24"/>
                <w:szCs w:val="24"/>
              </w:rPr>
              <w:t>7</w:t>
            </w:r>
          </w:p>
        </w:tc>
        <w:tc>
          <w:tcPr>
            <w:tcW w:w="1066" w:type="dxa"/>
            <w:vAlign w:val="center"/>
          </w:tcPr>
          <w:p w14:paraId="474D2C44">
            <w:pPr>
              <w:snapToGrid w:val="0"/>
              <w:spacing w:line="420" w:lineRule="exact"/>
              <w:ind w:left="-10" w:firstLine="12" w:firstLineChars="5"/>
              <w:jc w:val="center"/>
              <w:textAlignment w:val="baseline"/>
              <w:rPr>
                <w:rFonts w:hint="eastAsia" w:hAnsi="宋体" w:cs="宋体"/>
                <w:sz w:val="24"/>
                <w:szCs w:val="24"/>
              </w:rPr>
            </w:pPr>
            <w:r>
              <w:rPr>
                <w:rFonts w:hint="eastAsia" w:hAnsi="宋体" w:cs="宋体"/>
                <w:sz w:val="24"/>
                <w:szCs w:val="24"/>
              </w:rPr>
              <w:t>34.1</w:t>
            </w:r>
          </w:p>
        </w:tc>
        <w:tc>
          <w:tcPr>
            <w:tcW w:w="7983" w:type="dxa"/>
            <w:vAlign w:val="center"/>
          </w:tcPr>
          <w:p w14:paraId="11266378">
            <w:pPr>
              <w:snapToGrid w:val="0"/>
              <w:spacing w:line="420" w:lineRule="exact"/>
              <w:ind w:left="-10" w:firstLine="12" w:firstLineChars="5"/>
              <w:textAlignment w:val="baseline"/>
              <w:rPr>
                <w:rFonts w:hint="eastAsia" w:hAnsi="宋体" w:eastAsia="宋体" w:cs="宋体"/>
                <w:sz w:val="24"/>
                <w:szCs w:val="24"/>
                <w:lang w:eastAsia="zh-CN"/>
              </w:rPr>
            </w:pPr>
            <w:r>
              <w:rPr>
                <w:rFonts w:hint="eastAsia" w:hAnsi="宋体"/>
                <w:kern w:val="2"/>
                <w:sz w:val="24"/>
                <w:szCs w:val="24"/>
                <w:lang w:val="en-US" w:eastAsia="zh-CN"/>
              </w:rPr>
              <w:t>履约保证金：适用，中标人在接到成交通知书后15天内，需向采购人提交履约担保，履约担保形式：履约保证金或银行保函，金额为中标金额的10%。</w:t>
            </w:r>
          </w:p>
        </w:tc>
      </w:tr>
      <w:tr w14:paraId="29ADD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17" w:type="dxa"/>
            <w:vAlign w:val="center"/>
          </w:tcPr>
          <w:p w14:paraId="64056857">
            <w:pPr>
              <w:snapToGrid w:val="0"/>
              <w:spacing w:line="420" w:lineRule="exact"/>
              <w:ind w:left="-10" w:firstLine="12" w:firstLineChars="5"/>
              <w:jc w:val="center"/>
              <w:textAlignment w:val="baseline"/>
              <w:rPr>
                <w:rFonts w:hint="eastAsia" w:hAnsi="宋体" w:cs="宋体"/>
                <w:sz w:val="24"/>
                <w:szCs w:val="24"/>
              </w:rPr>
            </w:pPr>
            <w:r>
              <w:rPr>
                <w:rFonts w:hint="eastAsia" w:hAnsi="宋体" w:cs="宋体"/>
                <w:sz w:val="24"/>
                <w:szCs w:val="24"/>
              </w:rPr>
              <w:t>8</w:t>
            </w:r>
          </w:p>
        </w:tc>
        <w:tc>
          <w:tcPr>
            <w:tcW w:w="1066" w:type="dxa"/>
            <w:vAlign w:val="center"/>
          </w:tcPr>
          <w:p w14:paraId="1F5D0FCF">
            <w:pPr>
              <w:snapToGrid w:val="0"/>
              <w:spacing w:line="420" w:lineRule="exact"/>
              <w:ind w:left="-10" w:firstLine="12" w:firstLineChars="5"/>
              <w:jc w:val="center"/>
              <w:textAlignment w:val="baseline"/>
              <w:rPr>
                <w:rFonts w:hint="eastAsia" w:hAnsi="宋体" w:cs="宋体"/>
                <w:sz w:val="24"/>
                <w:szCs w:val="24"/>
              </w:rPr>
            </w:pPr>
            <w:r>
              <w:rPr>
                <w:rFonts w:hint="eastAsia" w:hAnsi="宋体" w:cs="宋体"/>
                <w:sz w:val="24"/>
                <w:szCs w:val="24"/>
              </w:rPr>
              <w:t>35.1</w:t>
            </w:r>
          </w:p>
        </w:tc>
        <w:tc>
          <w:tcPr>
            <w:tcW w:w="7983" w:type="dxa"/>
            <w:vAlign w:val="center"/>
          </w:tcPr>
          <w:p w14:paraId="42873140">
            <w:pPr>
              <w:snapToGrid w:val="0"/>
              <w:spacing w:line="420" w:lineRule="exact"/>
              <w:ind w:left="-10" w:firstLine="12" w:firstLineChars="5"/>
              <w:textAlignment w:val="baseline"/>
              <w:rPr>
                <w:rFonts w:hint="default" w:hAnsi="宋体"/>
                <w:kern w:val="2"/>
                <w:sz w:val="24"/>
                <w:szCs w:val="24"/>
                <w:lang w:val="en-US" w:eastAsia="zh-CN"/>
              </w:rPr>
            </w:pPr>
            <w:r>
              <w:rPr>
                <w:rFonts w:hint="eastAsia" w:hAnsi="宋体"/>
                <w:kern w:val="2"/>
                <w:sz w:val="24"/>
                <w:szCs w:val="24"/>
                <w:lang w:eastAsia="zh-CN"/>
              </w:rPr>
              <w:t>采购代理服务费：</w:t>
            </w:r>
            <w:r>
              <w:rPr>
                <w:rFonts w:hint="eastAsia" w:hAnsi="宋体"/>
                <w:kern w:val="2"/>
                <w:sz w:val="24"/>
                <w:szCs w:val="24"/>
                <w:lang w:val="en-US" w:eastAsia="zh-CN"/>
              </w:rPr>
              <w:t>本项目交易服务费、评审费等由中标供应商承担。</w:t>
            </w:r>
          </w:p>
        </w:tc>
      </w:tr>
    </w:tbl>
    <w:p w14:paraId="4635215B">
      <w:pPr>
        <w:pStyle w:val="4"/>
        <w:snapToGrid w:val="0"/>
        <w:spacing w:before="0" w:after="0" w:line="460" w:lineRule="exact"/>
        <w:jc w:val="left"/>
        <w:textAlignment w:val="baseline"/>
        <w:rPr>
          <w:rFonts w:ascii="宋体" w:hAnsi="宋体" w:eastAsia="宋体"/>
          <w:sz w:val="26"/>
          <w:szCs w:val="24"/>
        </w:rPr>
      </w:pPr>
      <w:bookmarkStart w:id="21" w:name="_Toc5728"/>
      <w:bookmarkStart w:id="22" w:name="_Toc83627157"/>
      <w:bookmarkStart w:id="23" w:name="_Toc22957"/>
      <w:bookmarkStart w:id="24" w:name="_Toc15812"/>
      <w:bookmarkStart w:id="25" w:name="_Toc83626619"/>
      <w:bookmarkStart w:id="26" w:name="_Toc450122245"/>
      <w:r>
        <w:rPr>
          <w:rFonts w:hint="eastAsia" w:ascii="宋体" w:hAnsi="宋体" w:eastAsia="宋体"/>
          <w:sz w:val="26"/>
          <w:szCs w:val="24"/>
        </w:rPr>
        <w:t>二、说明</w:t>
      </w:r>
      <w:bookmarkEnd w:id="21"/>
      <w:bookmarkEnd w:id="22"/>
      <w:bookmarkEnd w:id="23"/>
      <w:bookmarkEnd w:id="24"/>
      <w:bookmarkEnd w:id="25"/>
      <w:bookmarkEnd w:id="26"/>
    </w:p>
    <w:p w14:paraId="58E6596B">
      <w:pPr>
        <w:snapToGrid w:val="0"/>
        <w:spacing w:line="460" w:lineRule="exact"/>
        <w:textAlignment w:val="baseline"/>
        <w:rPr>
          <w:rFonts w:hAnsi="宋体"/>
          <w:b/>
          <w:sz w:val="24"/>
          <w:szCs w:val="24"/>
        </w:rPr>
      </w:pPr>
      <w:bookmarkStart w:id="27" w:name="_Toc286758305"/>
      <w:r>
        <w:rPr>
          <w:rFonts w:hint="eastAsia" w:hAnsi="宋体"/>
          <w:b/>
          <w:sz w:val="24"/>
          <w:szCs w:val="24"/>
        </w:rPr>
        <w:t>1. 适用范围</w:t>
      </w:r>
      <w:bookmarkEnd w:id="27"/>
    </w:p>
    <w:p w14:paraId="1964F33F">
      <w:pPr>
        <w:snapToGrid w:val="0"/>
        <w:spacing w:line="460" w:lineRule="exact"/>
        <w:jc w:val="left"/>
        <w:textAlignment w:val="baseline"/>
        <w:rPr>
          <w:rFonts w:hAnsi="宋体"/>
          <w:sz w:val="24"/>
          <w:szCs w:val="24"/>
        </w:rPr>
      </w:pPr>
      <w:r>
        <w:rPr>
          <w:rFonts w:hAnsi="宋体"/>
          <w:sz w:val="24"/>
          <w:szCs w:val="24"/>
        </w:rPr>
        <w:t>1.1</w:t>
      </w:r>
      <w:r>
        <w:rPr>
          <w:rFonts w:hint="eastAsia" w:ascii="宋体" w:hAnsi="宋体" w:eastAsia="宋体"/>
          <w:sz w:val="24"/>
          <w:szCs w:val="24"/>
          <w:lang w:eastAsia="zh-CN"/>
        </w:rPr>
        <w:t xml:space="preserve"> 本次为国有企业招标，招标文件依照上饶市国有资产监督管理委员会相关文件要求，文件如下：《关于加强市出资监管企业阳光采购管理的实施办法（试行）》；《阳光采购代理机构管理办法（试行）》；《阳光采购投标人管理办法（试行）》；《阳光采购质疑处理办法》；《江西省产权交易所阳光采购服务平台业务规则（试行）》。</w:t>
      </w:r>
    </w:p>
    <w:p w14:paraId="75434BD5">
      <w:pPr>
        <w:snapToGrid w:val="0"/>
        <w:spacing w:line="460" w:lineRule="exact"/>
        <w:textAlignment w:val="baseline"/>
        <w:rPr>
          <w:rFonts w:hAnsi="宋体"/>
          <w:b/>
          <w:sz w:val="24"/>
          <w:szCs w:val="24"/>
        </w:rPr>
      </w:pPr>
      <w:bookmarkStart w:id="28" w:name="_Toc286758306"/>
      <w:r>
        <w:rPr>
          <w:rFonts w:hint="eastAsia" w:hAnsi="宋体"/>
          <w:b/>
          <w:sz w:val="24"/>
          <w:szCs w:val="24"/>
        </w:rPr>
        <w:t>2. 定义</w:t>
      </w:r>
      <w:bookmarkEnd w:id="28"/>
    </w:p>
    <w:p w14:paraId="3A021F6F">
      <w:pPr>
        <w:snapToGrid w:val="0"/>
        <w:spacing w:line="460" w:lineRule="exact"/>
        <w:ind w:left="510" w:hanging="510"/>
        <w:textAlignment w:val="baseline"/>
        <w:rPr>
          <w:rFonts w:hAnsi="宋体"/>
          <w:sz w:val="24"/>
          <w:szCs w:val="24"/>
        </w:rPr>
      </w:pPr>
      <w:r>
        <w:rPr>
          <w:rFonts w:hint="eastAsia" w:hAnsi="宋体"/>
          <w:sz w:val="24"/>
          <w:szCs w:val="24"/>
        </w:rPr>
        <w:t>2.1采购人： 详见“投标人须知前附表”</w:t>
      </w:r>
    </w:p>
    <w:p w14:paraId="3AADD121">
      <w:pPr>
        <w:snapToGrid w:val="0"/>
        <w:spacing w:line="460" w:lineRule="exact"/>
        <w:ind w:left="510" w:hanging="510"/>
        <w:textAlignment w:val="baseline"/>
        <w:rPr>
          <w:rFonts w:hint="eastAsia" w:hAnsi="宋体" w:eastAsia="宋体"/>
          <w:sz w:val="24"/>
          <w:szCs w:val="24"/>
          <w:lang w:eastAsia="zh-CN"/>
        </w:rPr>
      </w:pPr>
      <w:r>
        <w:rPr>
          <w:rFonts w:hint="eastAsia" w:hAnsi="宋体"/>
          <w:sz w:val="24"/>
          <w:szCs w:val="24"/>
        </w:rPr>
        <w:t>2.2采购代理机构：</w:t>
      </w:r>
      <w:r>
        <w:rPr>
          <w:rFonts w:hint="eastAsia" w:hAnsi="宋体"/>
          <w:sz w:val="24"/>
          <w:szCs w:val="24"/>
          <w:lang w:eastAsia="zh-CN"/>
        </w:rPr>
        <w:t>浙江建科工程项目管理有限公司</w:t>
      </w:r>
    </w:p>
    <w:p w14:paraId="63BF882E">
      <w:pPr>
        <w:snapToGrid w:val="0"/>
        <w:spacing w:line="460" w:lineRule="exact"/>
        <w:ind w:left="510" w:hanging="510"/>
        <w:textAlignment w:val="baseline"/>
        <w:rPr>
          <w:rFonts w:hAnsi="宋体"/>
          <w:sz w:val="24"/>
          <w:szCs w:val="24"/>
        </w:rPr>
      </w:pPr>
      <w:r>
        <w:rPr>
          <w:rFonts w:hint="eastAsia" w:hAnsi="宋体"/>
          <w:sz w:val="24"/>
          <w:szCs w:val="24"/>
        </w:rPr>
        <w:t>2.3供应商：是指向采购人提供投标邀请中采购内容的法人、其它组织。</w:t>
      </w:r>
    </w:p>
    <w:p w14:paraId="07D7EA95">
      <w:pPr>
        <w:snapToGrid w:val="0"/>
        <w:spacing w:line="460" w:lineRule="exact"/>
        <w:ind w:left="510" w:hanging="510"/>
        <w:textAlignment w:val="baseline"/>
        <w:rPr>
          <w:rFonts w:hint="eastAsia" w:ascii="宋体" w:hAnsi="宋体" w:eastAsia="宋体"/>
          <w:sz w:val="24"/>
          <w:szCs w:val="24"/>
        </w:rPr>
      </w:pPr>
      <w:r>
        <w:rPr>
          <w:rFonts w:hint="eastAsia" w:ascii="宋体" w:hAnsi="宋体" w:eastAsia="宋体"/>
          <w:sz w:val="24"/>
          <w:szCs w:val="24"/>
        </w:rPr>
        <w:t>2.4投标人：是指参加采购投标活动的供应商。</w:t>
      </w:r>
    </w:p>
    <w:p w14:paraId="20FD8269">
      <w:pPr>
        <w:snapToGrid w:val="0"/>
        <w:spacing w:line="460" w:lineRule="exact"/>
        <w:ind w:left="510" w:hanging="510"/>
        <w:textAlignment w:val="baseline"/>
        <w:rPr>
          <w:rFonts w:hint="default" w:hAnsi="宋体" w:eastAsia="宋体"/>
          <w:sz w:val="24"/>
          <w:szCs w:val="24"/>
          <w:lang w:val="en-US" w:eastAsia="zh-CN"/>
        </w:rPr>
      </w:pPr>
      <w:r>
        <w:rPr>
          <w:rFonts w:hint="eastAsia" w:ascii="宋体" w:hAnsi="宋体" w:eastAsia="宋体"/>
          <w:sz w:val="24"/>
          <w:szCs w:val="24"/>
          <w:lang w:val="en-US" w:eastAsia="zh-CN"/>
        </w:rPr>
        <w:t>2.5</w:t>
      </w:r>
      <w:r>
        <w:rPr>
          <w:rFonts w:hint="eastAsia" w:ascii="宋体" w:hAnsi="宋体" w:eastAsia="宋体"/>
          <w:sz w:val="24"/>
          <w:szCs w:val="24"/>
        </w:rPr>
        <w:t>本招标文件所称的“以上”、“以下”、“内”、“以内”，包括本数；所称的“不足”，不包括本数。</w:t>
      </w:r>
    </w:p>
    <w:p w14:paraId="53134311">
      <w:pPr>
        <w:snapToGrid w:val="0"/>
        <w:spacing w:line="460" w:lineRule="exact"/>
        <w:ind w:left="510" w:hanging="510"/>
        <w:textAlignment w:val="baseline"/>
        <w:rPr>
          <w:rFonts w:hAnsi="宋体"/>
          <w:b/>
          <w:bCs/>
          <w:sz w:val="24"/>
          <w:szCs w:val="24"/>
        </w:rPr>
      </w:pPr>
      <w:bookmarkStart w:id="29" w:name="_Toc286758307"/>
      <w:bookmarkStart w:id="30" w:name="_Toc286758308"/>
      <w:r>
        <w:rPr>
          <w:rFonts w:hint="eastAsia" w:hAnsi="宋体"/>
          <w:b/>
          <w:bCs/>
          <w:sz w:val="24"/>
          <w:szCs w:val="24"/>
        </w:rPr>
        <w:t>3. 投标人</w:t>
      </w:r>
      <w:bookmarkEnd w:id="29"/>
    </w:p>
    <w:p w14:paraId="515D138E">
      <w:pPr>
        <w:snapToGrid w:val="0"/>
        <w:spacing w:line="460" w:lineRule="exact"/>
        <w:textAlignment w:val="baseline"/>
        <w:rPr>
          <w:rFonts w:hAnsi="宋体"/>
          <w:sz w:val="24"/>
          <w:szCs w:val="24"/>
        </w:rPr>
      </w:pPr>
      <w:r>
        <w:rPr>
          <w:rFonts w:hint="eastAsia" w:hAnsi="宋体"/>
          <w:sz w:val="24"/>
          <w:szCs w:val="24"/>
        </w:rPr>
        <w:t>3</w:t>
      </w:r>
      <w:r>
        <w:rPr>
          <w:rFonts w:hAnsi="宋体"/>
          <w:sz w:val="24"/>
          <w:szCs w:val="24"/>
        </w:rPr>
        <w:t>.1</w:t>
      </w:r>
      <w:r>
        <w:rPr>
          <w:rFonts w:hint="eastAsia" w:hAnsi="宋体"/>
          <w:sz w:val="24"/>
          <w:szCs w:val="24"/>
        </w:rPr>
        <w:t>投标人的资格条件：详见“投标邀请”</w:t>
      </w:r>
    </w:p>
    <w:p w14:paraId="32DD28C5">
      <w:pPr>
        <w:snapToGrid w:val="0"/>
        <w:spacing w:line="460" w:lineRule="exact"/>
        <w:textAlignment w:val="baseline"/>
        <w:rPr>
          <w:rFonts w:hAnsi="宋体"/>
          <w:b/>
          <w:sz w:val="24"/>
          <w:szCs w:val="24"/>
        </w:rPr>
      </w:pPr>
      <w:r>
        <w:rPr>
          <w:rFonts w:hint="eastAsia" w:hAnsi="宋体"/>
          <w:b/>
          <w:sz w:val="24"/>
          <w:szCs w:val="24"/>
        </w:rPr>
        <w:t>4. 投标费用</w:t>
      </w:r>
      <w:bookmarkEnd w:id="30"/>
    </w:p>
    <w:p w14:paraId="3FDBD7F8">
      <w:pPr>
        <w:snapToGrid w:val="0"/>
        <w:spacing w:line="460" w:lineRule="exact"/>
        <w:ind w:left="454" w:hanging="454"/>
        <w:textAlignment w:val="baseline"/>
        <w:rPr>
          <w:rFonts w:hAnsi="宋体"/>
          <w:sz w:val="24"/>
          <w:szCs w:val="24"/>
        </w:rPr>
      </w:pPr>
      <w:r>
        <w:rPr>
          <w:rFonts w:hint="eastAsia" w:hAnsi="宋体"/>
          <w:sz w:val="24"/>
          <w:szCs w:val="24"/>
        </w:rPr>
        <w:t>4</w:t>
      </w:r>
      <w:r>
        <w:rPr>
          <w:rFonts w:hAnsi="宋体"/>
          <w:sz w:val="24"/>
          <w:szCs w:val="24"/>
        </w:rPr>
        <w:t>.1</w:t>
      </w:r>
      <w:r>
        <w:rPr>
          <w:rFonts w:hint="eastAsia" w:hAnsi="宋体"/>
          <w:sz w:val="24"/>
          <w:szCs w:val="24"/>
        </w:rPr>
        <w:t>投标人应自行承担所有与准备和参加投标有关的全部费用。不论投标的结果如何，采购代理机构均无义务和责任承担这些费用。</w:t>
      </w:r>
    </w:p>
    <w:p w14:paraId="27C9296B">
      <w:pPr>
        <w:snapToGrid w:val="0"/>
        <w:spacing w:line="460" w:lineRule="exact"/>
        <w:textAlignment w:val="baseline"/>
        <w:rPr>
          <w:rFonts w:hAnsi="宋体"/>
          <w:b/>
          <w:sz w:val="24"/>
          <w:szCs w:val="24"/>
        </w:rPr>
      </w:pPr>
      <w:bookmarkStart w:id="31" w:name="_Toc286758309"/>
      <w:r>
        <w:rPr>
          <w:rFonts w:hint="eastAsia" w:hAnsi="宋体"/>
          <w:b/>
          <w:sz w:val="24"/>
          <w:szCs w:val="24"/>
        </w:rPr>
        <w:t>5. 投标人代表</w:t>
      </w:r>
      <w:bookmarkEnd w:id="31"/>
    </w:p>
    <w:p w14:paraId="0CAB98E0">
      <w:pPr>
        <w:snapToGrid w:val="0"/>
        <w:spacing w:line="460" w:lineRule="exact"/>
        <w:ind w:left="454" w:hanging="454"/>
        <w:textAlignment w:val="baseline"/>
        <w:rPr>
          <w:rFonts w:hAnsi="宋体"/>
          <w:sz w:val="24"/>
          <w:szCs w:val="24"/>
        </w:rPr>
      </w:pPr>
      <w:r>
        <w:rPr>
          <w:rFonts w:hint="eastAsia" w:hAnsi="宋体"/>
          <w:sz w:val="24"/>
          <w:szCs w:val="24"/>
        </w:rPr>
        <w:t>5</w:t>
      </w:r>
      <w:r>
        <w:rPr>
          <w:rFonts w:hAnsi="宋体"/>
          <w:sz w:val="24"/>
          <w:szCs w:val="24"/>
        </w:rPr>
        <w:t>.1</w:t>
      </w:r>
      <w:r>
        <w:rPr>
          <w:rFonts w:hint="eastAsia" w:hAnsi="宋体"/>
          <w:sz w:val="24"/>
          <w:szCs w:val="24"/>
        </w:rPr>
        <w:t>指全权代表投标人参加投标活动并签署投标文件的人。如果投标人代表不是法定代表人，须持有《法定代表人授权书》（格式详见“第四章附件”）。</w:t>
      </w:r>
    </w:p>
    <w:p w14:paraId="5A619A79">
      <w:pPr>
        <w:snapToGrid w:val="0"/>
        <w:spacing w:line="460" w:lineRule="exact"/>
        <w:ind w:left="454" w:hanging="454"/>
        <w:textAlignment w:val="baseline"/>
        <w:rPr>
          <w:rFonts w:hAnsi="宋体"/>
          <w:b/>
          <w:bCs/>
          <w:sz w:val="24"/>
          <w:szCs w:val="24"/>
        </w:rPr>
      </w:pPr>
      <w:r>
        <w:rPr>
          <w:rFonts w:hint="eastAsia" w:hAnsi="宋体"/>
          <w:b/>
          <w:bCs/>
          <w:sz w:val="24"/>
          <w:szCs w:val="24"/>
        </w:rPr>
        <w:t>5.2投标人信用记录</w:t>
      </w:r>
    </w:p>
    <w:p w14:paraId="3E5B11AC">
      <w:pPr>
        <w:snapToGrid w:val="0"/>
        <w:spacing w:line="460" w:lineRule="exact"/>
        <w:ind w:left="454" w:hanging="454"/>
        <w:textAlignment w:val="baseline"/>
        <w:rPr>
          <w:rFonts w:hAnsi="宋体"/>
          <w:sz w:val="24"/>
          <w:szCs w:val="24"/>
        </w:rPr>
      </w:pPr>
      <w:r>
        <w:rPr>
          <w:rFonts w:hint="eastAsia" w:hAnsi="宋体"/>
          <w:sz w:val="24"/>
          <w:szCs w:val="24"/>
        </w:rPr>
        <w:t>5.2.1查询渠道：通过信用中国（www.creditchina.gov.cn）、中国政府采购网（www.ccgp.gov.cn）、其他政府网站（网址后缀为.gov）对所有参加本项目的投标人进行信用记录查询。</w:t>
      </w:r>
    </w:p>
    <w:p w14:paraId="29065D4B">
      <w:pPr>
        <w:snapToGrid w:val="0"/>
        <w:spacing w:line="460" w:lineRule="exact"/>
        <w:ind w:left="454" w:hanging="454"/>
        <w:textAlignment w:val="baseline"/>
        <w:rPr>
          <w:rFonts w:hAnsi="宋体"/>
          <w:sz w:val="24"/>
          <w:szCs w:val="24"/>
        </w:rPr>
      </w:pPr>
      <w:r>
        <w:rPr>
          <w:rFonts w:hint="eastAsia" w:hAnsi="宋体"/>
          <w:sz w:val="24"/>
          <w:szCs w:val="24"/>
        </w:rPr>
        <w:t>5.2.2查询起止时间：查询时间必须是在本项目招标公告发出后至开标截止时间。</w:t>
      </w:r>
    </w:p>
    <w:p w14:paraId="7F944F6B">
      <w:pPr>
        <w:snapToGrid w:val="0"/>
        <w:spacing w:line="460" w:lineRule="exact"/>
        <w:ind w:left="454" w:hanging="454"/>
        <w:textAlignment w:val="baseline"/>
        <w:rPr>
          <w:rFonts w:hAnsi="宋体"/>
          <w:sz w:val="24"/>
          <w:szCs w:val="24"/>
        </w:rPr>
      </w:pPr>
      <w:r>
        <w:rPr>
          <w:rFonts w:hint="eastAsia" w:hAnsi="宋体"/>
          <w:sz w:val="24"/>
          <w:szCs w:val="24"/>
        </w:rPr>
        <w:t>5.2.3投标人被列入失信被执行人、重大税收违法失信主体、政府采购严重违法失信行为记录名单及其他不符合《中华人民共和国政府采购法》第二十二条规定的投标人，将拒绝其参加本项目的采购活动。</w:t>
      </w:r>
    </w:p>
    <w:p w14:paraId="710A9AF0">
      <w:pPr>
        <w:snapToGrid w:val="0"/>
        <w:spacing w:line="460" w:lineRule="exact"/>
        <w:ind w:left="454" w:hanging="454"/>
        <w:textAlignment w:val="baseline"/>
        <w:rPr>
          <w:rFonts w:hAnsi="宋体"/>
          <w:sz w:val="24"/>
          <w:szCs w:val="24"/>
        </w:rPr>
      </w:pPr>
      <w:r>
        <w:rPr>
          <w:rFonts w:hint="eastAsia" w:hAnsi="宋体"/>
          <w:sz w:val="24"/>
          <w:szCs w:val="24"/>
        </w:rPr>
        <w:t>5.2.4投标人的信用信息查询记录以采购人、采购代理机构查询结果为准，采购代理机构查询之后，网站信息发生的任何变更均不再作为评标依据，投标人自行提供的与网站信息不一致的其他证明材料亦不作为评标依据。</w:t>
      </w:r>
    </w:p>
    <w:p w14:paraId="1CD7D89C">
      <w:pPr>
        <w:pStyle w:val="3"/>
      </w:pPr>
    </w:p>
    <w:p w14:paraId="589B4E53">
      <w:pPr>
        <w:pStyle w:val="4"/>
        <w:snapToGrid w:val="0"/>
        <w:spacing w:before="0" w:after="0" w:line="460" w:lineRule="exact"/>
        <w:jc w:val="left"/>
        <w:textAlignment w:val="baseline"/>
        <w:rPr>
          <w:rFonts w:ascii="宋体" w:hAnsi="宋体" w:eastAsia="宋体"/>
          <w:sz w:val="26"/>
          <w:szCs w:val="24"/>
        </w:rPr>
      </w:pPr>
      <w:bookmarkStart w:id="32" w:name="_Toc450122246"/>
      <w:bookmarkStart w:id="33" w:name="_Toc5264"/>
      <w:bookmarkStart w:id="34" w:name="_Toc83626620"/>
      <w:bookmarkStart w:id="35" w:name="_Toc548"/>
      <w:bookmarkStart w:id="36" w:name="_Toc83627158"/>
      <w:bookmarkStart w:id="37" w:name="_Toc22735"/>
      <w:bookmarkStart w:id="38" w:name="_Toc447031325"/>
      <w:r>
        <w:rPr>
          <w:rFonts w:hint="eastAsia" w:ascii="宋体" w:hAnsi="宋体" w:eastAsia="宋体"/>
          <w:sz w:val="26"/>
          <w:szCs w:val="24"/>
        </w:rPr>
        <w:t>三、招标文件</w:t>
      </w:r>
      <w:bookmarkEnd w:id="32"/>
      <w:bookmarkEnd w:id="33"/>
      <w:bookmarkEnd w:id="34"/>
      <w:bookmarkEnd w:id="35"/>
      <w:bookmarkEnd w:id="36"/>
      <w:bookmarkEnd w:id="37"/>
      <w:bookmarkEnd w:id="38"/>
    </w:p>
    <w:p w14:paraId="55AB5974">
      <w:pPr>
        <w:snapToGrid w:val="0"/>
        <w:spacing w:line="460" w:lineRule="exact"/>
        <w:textAlignment w:val="baseline"/>
        <w:rPr>
          <w:rFonts w:hAnsi="宋体"/>
          <w:b/>
          <w:sz w:val="24"/>
          <w:szCs w:val="24"/>
        </w:rPr>
      </w:pPr>
      <w:bookmarkStart w:id="39" w:name="_Toc286758311"/>
      <w:r>
        <w:rPr>
          <w:rFonts w:hint="eastAsia" w:hAnsi="宋体"/>
          <w:b/>
          <w:sz w:val="24"/>
          <w:szCs w:val="24"/>
        </w:rPr>
        <w:t>6. 招标文件的构成</w:t>
      </w:r>
      <w:bookmarkEnd w:id="39"/>
    </w:p>
    <w:p w14:paraId="5D6655EC">
      <w:pPr>
        <w:snapToGrid w:val="0"/>
        <w:spacing w:line="460" w:lineRule="exact"/>
        <w:ind w:left="480" w:hanging="480" w:hangingChars="200"/>
        <w:textAlignment w:val="baseline"/>
        <w:rPr>
          <w:rFonts w:hAnsi="宋体"/>
          <w:sz w:val="24"/>
          <w:szCs w:val="24"/>
        </w:rPr>
      </w:pPr>
      <w:r>
        <w:rPr>
          <w:rFonts w:hint="eastAsia" w:hAnsi="宋体"/>
          <w:sz w:val="24"/>
          <w:szCs w:val="24"/>
        </w:rPr>
        <w:t>6</w:t>
      </w:r>
      <w:r>
        <w:rPr>
          <w:rFonts w:hAnsi="宋体"/>
          <w:sz w:val="24"/>
          <w:szCs w:val="24"/>
        </w:rPr>
        <w:t>.1</w:t>
      </w:r>
      <w:r>
        <w:rPr>
          <w:rFonts w:hint="eastAsia" w:hAnsi="宋体"/>
          <w:sz w:val="24"/>
          <w:szCs w:val="24"/>
        </w:rPr>
        <w:t xml:space="preserve"> 要求提供的服务、招标过程和合同条款在招标文件中均有说明。招标文件共六章，各章的内容如下：</w:t>
      </w:r>
    </w:p>
    <w:p w14:paraId="4D84955D">
      <w:pPr>
        <w:numPr>
          <w:ilvl w:val="0"/>
          <w:numId w:val="4"/>
        </w:numPr>
        <w:snapToGrid w:val="0"/>
        <w:spacing w:line="460" w:lineRule="exact"/>
        <w:ind w:left="0" w:firstLine="0"/>
        <w:textAlignment w:val="baseline"/>
        <w:rPr>
          <w:rFonts w:hAnsi="宋体"/>
          <w:color w:val="000000"/>
          <w:sz w:val="24"/>
          <w:szCs w:val="24"/>
        </w:rPr>
      </w:pPr>
      <w:r>
        <w:rPr>
          <w:rFonts w:hint="eastAsia" w:hAnsi="宋体"/>
          <w:color w:val="000000"/>
          <w:sz w:val="24"/>
          <w:szCs w:val="24"/>
        </w:rPr>
        <w:t>投标邀请</w:t>
      </w:r>
    </w:p>
    <w:p w14:paraId="7E4A97C7">
      <w:pPr>
        <w:numPr>
          <w:ilvl w:val="0"/>
          <w:numId w:val="4"/>
        </w:numPr>
        <w:tabs>
          <w:tab w:val="left" w:pos="480"/>
        </w:tabs>
        <w:snapToGrid w:val="0"/>
        <w:spacing w:line="460" w:lineRule="exact"/>
        <w:ind w:left="0" w:firstLine="0"/>
        <w:textAlignment w:val="baseline"/>
        <w:rPr>
          <w:rFonts w:hAnsi="宋体"/>
          <w:color w:val="000000"/>
          <w:sz w:val="24"/>
          <w:szCs w:val="24"/>
        </w:rPr>
      </w:pPr>
      <w:r>
        <w:rPr>
          <w:rFonts w:hint="eastAsia" w:hAnsi="宋体"/>
          <w:color w:val="000000"/>
          <w:sz w:val="24"/>
          <w:szCs w:val="24"/>
        </w:rPr>
        <w:t>投标人须知</w:t>
      </w:r>
    </w:p>
    <w:p w14:paraId="4CA1AF08">
      <w:pPr>
        <w:numPr>
          <w:ilvl w:val="0"/>
          <w:numId w:val="4"/>
        </w:numPr>
        <w:tabs>
          <w:tab w:val="left" w:pos="480"/>
        </w:tabs>
        <w:snapToGrid w:val="0"/>
        <w:spacing w:line="460" w:lineRule="exact"/>
        <w:ind w:left="0" w:firstLine="0"/>
        <w:textAlignment w:val="baseline"/>
        <w:rPr>
          <w:rFonts w:hAnsi="宋体"/>
          <w:color w:val="000000"/>
          <w:sz w:val="24"/>
          <w:szCs w:val="24"/>
        </w:rPr>
      </w:pPr>
      <w:r>
        <w:rPr>
          <w:rFonts w:hint="eastAsia" w:hAnsi="宋体"/>
          <w:color w:val="000000"/>
          <w:sz w:val="24"/>
          <w:szCs w:val="24"/>
        </w:rPr>
        <w:t>合同格式(服务合同)</w:t>
      </w:r>
    </w:p>
    <w:p w14:paraId="1E6B6DB4">
      <w:pPr>
        <w:numPr>
          <w:ilvl w:val="0"/>
          <w:numId w:val="4"/>
        </w:numPr>
        <w:snapToGrid w:val="0"/>
        <w:spacing w:line="460" w:lineRule="exact"/>
        <w:ind w:left="-123" w:firstLine="123"/>
        <w:textAlignment w:val="baseline"/>
        <w:rPr>
          <w:rFonts w:hAnsi="宋体"/>
          <w:color w:val="000000"/>
          <w:sz w:val="24"/>
          <w:szCs w:val="24"/>
        </w:rPr>
      </w:pPr>
      <w:r>
        <w:rPr>
          <w:rFonts w:hint="eastAsia" w:hAnsi="宋体"/>
          <w:color w:val="000000"/>
          <w:sz w:val="24"/>
          <w:szCs w:val="24"/>
        </w:rPr>
        <w:t>附件（投标文件格式）</w:t>
      </w:r>
    </w:p>
    <w:p w14:paraId="4366969F">
      <w:pPr>
        <w:numPr>
          <w:ilvl w:val="0"/>
          <w:numId w:val="4"/>
        </w:numPr>
        <w:snapToGrid w:val="0"/>
        <w:spacing w:line="460" w:lineRule="exact"/>
        <w:ind w:left="-123" w:firstLine="123"/>
        <w:textAlignment w:val="baseline"/>
        <w:rPr>
          <w:rFonts w:hAnsi="宋体"/>
          <w:color w:val="000000"/>
          <w:sz w:val="24"/>
          <w:szCs w:val="24"/>
        </w:rPr>
      </w:pPr>
      <w:r>
        <w:rPr>
          <w:rFonts w:hint="eastAsia" w:hAnsi="宋体"/>
          <w:color w:val="000000"/>
          <w:sz w:val="24"/>
          <w:szCs w:val="24"/>
        </w:rPr>
        <w:t>采购需求</w:t>
      </w:r>
    </w:p>
    <w:p w14:paraId="43F6FD4F">
      <w:pPr>
        <w:numPr>
          <w:ilvl w:val="0"/>
          <w:numId w:val="4"/>
        </w:numPr>
        <w:tabs>
          <w:tab w:val="left" w:pos="480"/>
        </w:tabs>
        <w:snapToGrid w:val="0"/>
        <w:spacing w:line="460" w:lineRule="exact"/>
        <w:ind w:left="0" w:firstLine="0"/>
        <w:textAlignment w:val="baseline"/>
        <w:rPr>
          <w:rFonts w:hAnsi="宋体"/>
          <w:color w:val="000000"/>
          <w:sz w:val="24"/>
          <w:szCs w:val="24"/>
        </w:rPr>
      </w:pPr>
      <w:r>
        <w:rPr>
          <w:rFonts w:hint="eastAsia" w:hAnsi="宋体"/>
          <w:color w:val="000000"/>
          <w:sz w:val="24"/>
          <w:szCs w:val="24"/>
        </w:rPr>
        <w:t>评标办法</w:t>
      </w:r>
    </w:p>
    <w:p w14:paraId="15847D6F">
      <w:pPr>
        <w:snapToGrid w:val="0"/>
        <w:spacing w:line="460" w:lineRule="exact"/>
        <w:ind w:left="454" w:hanging="454"/>
        <w:textAlignment w:val="baseline"/>
        <w:rPr>
          <w:rFonts w:hAnsi="宋体"/>
          <w:sz w:val="24"/>
          <w:szCs w:val="24"/>
        </w:rPr>
      </w:pPr>
      <w:r>
        <w:rPr>
          <w:rFonts w:hint="eastAsia" w:hAnsi="宋体"/>
          <w:sz w:val="24"/>
          <w:szCs w:val="24"/>
        </w:rPr>
        <w:t>6.2 除非有特殊要求，招标文件不单独提供招标货物和附属售后服务使用地的自然环境、气候条件、公用设施等情况，投标人被视为熟悉上述与履行合同有关的一切情况。</w:t>
      </w:r>
    </w:p>
    <w:p w14:paraId="7D769DF7">
      <w:pPr>
        <w:snapToGrid w:val="0"/>
        <w:spacing w:line="460" w:lineRule="exact"/>
        <w:textAlignment w:val="baseline"/>
        <w:rPr>
          <w:rFonts w:hAnsi="宋体"/>
          <w:b/>
          <w:sz w:val="24"/>
          <w:szCs w:val="24"/>
        </w:rPr>
      </w:pPr>
      <w:bookmarkStart w:id="40" w:name="_Toc286758312"/>
      <w:r>
        <w:rPr>
          <w:rFonts w:hint="eastAsia" w:hAnsi="宋体"/>
          <w:b/>
          <w:sz w:val="24"/>
          <w:szCs w:val="24"/>
        </w:rPr>
        <w:t>7. 招标文件的澄清</w:t>
      </w:r>
      <w:bookmarkEnd w:id="40"/>
    </w:p>
    <w:p w14:paraId="4715E3BD">
      <w:pPr>
        <w:snapToGrid w:val="0"/>
        <w:spacing w:line="460" w:lineRule="exact"/>
        <w:ind w:left="454" w:hanging="454"/>
        <w:textAlignment w:val="baseline"/>
        <w:rPr>
          <w:rFonts w:hAnsi="宋体"/>
          <w:sz w:val="24"/>
          <w:szCs w:val="24"/>
        </w:rPr>
      </w:pPr>
      <w:r>
        <w:rPr>
          <w:rFonts w:hint="eastAsia" w:hAnsi="宋体"/>
          <w:sz w:val="24"/>
          <w:szCs w:val="24"/>
        </w:rPr>
        <w:t>7</w:t>
      </w:r>
      <w:r>
        <w:rPr>
          <w:rFonts w:hAnsi="宋体"/>
          <w:sz w:val="24"/>
          <w:szCs w:val="24"/>
        </w:rPr>
        <w:t>.1</w:t>
      </w:r>
      <w:r>
        <w:rPr>
          <w:rFonts w:hint="eastAsia" w:hAnsi="宋体"/>
          <w:sz w:val="24"/>
          <w:szCs w:val="24"/>
        </w:rPr>
        <w:t>获取了招标文件的供应商认为招标文件的内容使自己的合法权益受到损害或有疑问的，应当在获取采购文件或者采购文件公告期限届满之日起7个工作日内向采购代理机构提出书面询问，采购代理机构将及时给予答复。提交的书面材料应包括：</w:t>
      </w:r>
    </w:p>
    <w:p w14:paraId="0EE1C277">
      <w:pPr>
        <w:snapToGrid w:val="0"/>
        <w:spacing w:line="440" w:lineRule="exact"/>
        <w:ind w:left="560" w:leftChars="140" w:hanging="84" w:hangingChars="35"/>
        <w:textAlignment w:val="baseline"/>
        <w:rPr>
          <w:rFonts w:hAnsi="宋体"/>
          <w:sz w:val="24"/>
          <w:szCs w:val="24"/>
        </w:rPr>
      </w:pPr>
      <w:r>
        <w:rPr>
          <w:rFonts w:hint="eastAsia" w:hAnsi="宋体"/>
          <w:sz w:val="24"/>
          <w:szCs w:val="24"/>
        </w:rPr>
        <w:t>1）质疑人和被质疑人的名称、质疑人的地址、电话、营业执照复印件、法人授权书等；</w:t>
      </w:r>
    </w:p>
    <w:p w14:paraId="1AC81CB9">
      <w:pPr>
        <w:snapToGrid w:val="0"/>
        <w:spacing w:line="440" w:lineRule="exact"/>
        <w:ind w:left="567" w:hanging="567"/>
        <w:textAlignment w:val="baseline"/>
        <w:rPr>
          <w:rFonts w:hAnsi="宋体"/>
          <w:sz w:val="24"/>
          <w:szCs w:val="24"/>
        </w:rPr>
      </w:pPr>
      <w:r>
        <w:rPr>
          <w:rFonts w:hint="eastAsia" w:hAnsi="宋体"/>
          <w:sz w:val="24"/>
          <w:szCs w:val="24"/>
        </w:rPr>
        <w:t xml:space="preserve">    2）具体的事项、事实根据和法律依据以及相关证明材料；</w:t>
      </w:r>
    </w:p>
    <w:p w14:paraId="3327749A">
      <w:pPr>
        <w:snapToGrid w:val="0"/>
        <w:spacing w:line="440" w:lineRule="exact"/>
        <w:ind w:left="567" w:hanging="567"/>
        <w:textAlignment w:val="baseline"/>
        <w:rPr>
          <w:rFonts w:hAnsi="宋体"/>
          <w:sz w:val="24"/>
          <w:szCs w:val="24"/>
        </w:rPr>
      </w:pPr>
      <w:r>
        <w:rPr>
          <w:rFonts w:hint="eastAsia" w:hAnsi="宋体"/>
          <w:sz w:val="24"/>
          <w:szCs w:val="24"/>
        </w:rPr>
        <w:t xml:space="preserve">    3）提起质疑的日期。</w:t>
      </w:r>
    </w:p>
    <w:p w14:paraId="4DB71DFE">
      <w:pPr>
        <w:snapToGrid w:val="0"/>
        <w:spacing w:line="460" w:lineRule="exact"/>
        <w:ind w:left="454" w:hanging="454"/>
        <w:textAlignment w:val="baseline"/>
        <w:rPr>
          <w:rFonts w:hAnsi="宋体"/>
          <w:sz w:val="24"/>
          <w:szCs w:val="24"/>
        </w:rPr>
      </w:pPr>
      <w:r>
        <w:rPr>
          <w:rFonts w:hint="eastAsia" w:hAnsi="宋体"/>
          <w:sz w:val="24"/>
          <w:szCs w:val="24"/>
        </w:rPr>
        <w:t>7.2投标人在规定的时间内未对招标文件提出澄清要求，采购代理机构将视其为同意。</w:t>
      </w:r>
    </w:p>
    <w:p w14:paraId="58C13EC1">
      <w:pPr>
        <w:snapToGrid w:val="0"/>
        <w:spacing w:line="460" w:lineRule="exact"/>
        <w:textAlignment w:val="baseline"/>
        <w:rPr>
          <w:rFonts w:hAnsi="宋体"/>
          <w:b/>
          <w:sz w:val="24"/>
          <w:szCs w:val="24"/>
        </w:rPr>
      </w:pPr>
      <w:bookmarkStart w:id="41" w:name="_Toc286758313"/>
      <w:r>
        <w:rPr>
          <w:rFonts w:hint="eastAsia" w:hAnsi="宋体"/>
          <w:b/>
          <w:sz w:val="24"/>
          <w:szCs w:val="24"/>
        </w:rPr>
        <w:t>8. 招标文件的修改</w:t>
      </w:r>
      <w:bookmarkEnd w:id="41"/>
    </w:p>
    <w:p w14:paraId="16F431B3">
      <w:pPr>
        <w:snapToGrid w:val="0"/>
        <w:spacing w:line="460" w:lineRule="exact"/>
        <w:ind w:left="454" w:hanging="454"/>
        <w:textAlignment w:val="baseline"/>
        <w:rPr>
          <w:rFonts w:hAnsi="宋体"/>
          <w:sz w:val="24"/>
          <w:szCs w:val="24"/>
        </w:rPr>
      </w:pPr>
      <w:r>
        <w:rPr>
          <w:rFonts w:hint="eastAsia" w:hAnsi="宋体"/>
          <w:sz w:val="24"/>
          <w:szCs w:val="24"/>
        </w:rPr>
        <w:t>8</w:t>
      </w:r>
      <w:r>
        <w:rPr>
          <w:rFonts w:hAnsi="宋体"/>
          <w:sz w:val="24"/>
          <w:szCs w:val="24"/>
        </w:rPr>
        <w:t>.1</w:t>
      </w:r>
      <w:r>
        <w:rPr>
          <w:rFonts w:hint="eastAsia" w:hAnsi="宋体"/>
          <w:sz w:val="24"/>
          <w:szCs w:val="24"/>
        </w:rPr>
        <w:t>采购代理机构对已发出的招标文件进行必要澄清或者修改的，应当在招标文件要求提交投标文件截止时间十五日前，上传经采购人确认的澄清文件，在江西省公共资源交易网上发布更正公告，</w:t>
      </w:r>
      <w:r>
        <w:rPr>
          <w:rFonts w:hint="eastAsia" w:hAnsi="宋体"/>
          <w:spacing w:val="10"/>
          <w:sz w:val="24"/>
          <w:szCs w:val="24"/>
        </w:rPr>
        <w:t>更正函以网上公告的形式通知所有已</w:t>
      </w:r>
      <w:r>
        <w:rPr>
          <w:rFonts w:hint="eastAsia" w:hAnsi="宋体"/>
          <w:sz w:val="24"/>
          <w:szCs w:val="24"/>
        </w:rPr>
        <w:t>下载招标文件的供应商。供应商必须在江西省公共资源交易网上下载更正后的招标文件和更正函。</w:t>
      </w:r>
    </w:p>
    <w:p w14:paraId="47ACDDD6">
      <w:pPr>
        <w:snapToGrid w:val="0"/>
        <w:spacing w:line="460" w:lineRule="exact"/>
        <w:ind w:left="454" w:hanging="454"/>
        <w:textAlignment w:val="baseline"/>
        <w:rPr>
          <w:rFonts w:hAnsi="宋体"/>
          <w:sz w:val="24"/>
          <w:szCs w:val="24"/>
        </w:rPr>
      </w:pPr>
      <w:r>
        <w:rPr>
          <w:rFonts w:hint="eastAsia" w:hAnsi="宋体"/>
          <w:sz w:val="24"/>
          <w:szCs w:val="24"/>
        </w:rPr>
        <w:t>8</w:t>
      </w:r>
      <w:r>
        <w:rPr>
          <w:rFonts w:hAnsi="宋体"/>
          <w:sz w:val="24"/>
          <w:szCs w:val="24"/>
        </w:rPr>
        <w:t xml:space="preserve">.2 </w:t>
      </w:r>
      <w:r>
        <w:rPr>
          <w:rFonts w:hint="eastAsia" w:hAnsi="宋体"/>
          <w:sz w:val="24"/>
          <w:szCs w:val="24"/>
        </w:rPr>
        <w:t>更正或者修改的内容是招标文件的组成部分，并对潜在投标人具有约束力。</w:t>
      </w:r>
    </w:p>
    <w:p w14:paraId="55439044">
      <w:pPr>
        <w:pStyle w:val="4"/>
        <w:snapToGrid w:val="0"/>
        <w:spacing w:before="0" w:after="0" w:line="460" w:lineRule="exact"/>
        <w:jc w:val="left"/>
        <w:textAlignment w:val="baseline"/>
        <w:rPr>
          <w:rFonts w:ascii="宋体" w:hAnsi="宋体" w:eastAsia="宋体"/>
          <w:sz w:val="26"/>
          <w:szCs w:val="24"/>
        </w:rPr>
      </w:pPr>
      <w:bookmarkStart w:id="42" w:name="_Toc18391"/>
      <w:bookmarkStart w:id="43" w:name="_Toc83626621"/>
      <w:bookmarkStart w:id="44" w:name="_Toc450122247"/>
      <w:bookmarkStart w:id="45" w:name="_Toc10420"/>
      <w:bookmarkStart w:id="46" w:name="_Toc5934"/>
      <w:bookmarkStart w:id="47" w:name="_Toc83627159"/>
      <w:bookmarkStart w:id="48" w:name="_Toc447031326"/>
      <w:r>
        <w:rPr>
          <w:rFonts w:hint="eastAsia" w:ascii="宋体" w:hAnsi="宋体" w:eastAsia="宋体"/>
          <w:sz w:val="26"/>
          <w:szCs w:val="24"/>
        </w:rPr>
        <w:t>四、投标文件的编制</w:t>
      </w:r>
      <w:bookmarkEnd w:id="42"/>
      <w:bookmarkEnd w:id="43"/>
      <w:bookmarkEnd w:id="44"/>
      <w:bookmarkEnd w:id="45"/>
      <w:bookmarkEnd w:id="46"/>
      <w:bookmarkEnd w:id="47"/>
      <w:bookmarkEnd w:id="48"/>
    </w:p>
    <w:p w14:paraId="4D7C1533">
      <w:pPr>
        <w:snapToGrid w:val="0"/>
        <w:spacing w:line="460" w:lineRule="exact"/>
        <w:textAlignment w:val="baseline"/>
        <w:rPr>
          <w:rFonts w:hAnsi="宋体"/>
          <w:bCs/>
          <w:sz w:val="24"/>
          <w:szCs w:val="24"/>
        </w:rPr>
      </w:pPr>
      <w:bookmarkStart w:id="49" w:name="_Toc286758315"/>
      <w:r>
        <w:rPr>
          <w:rFonts w:hint="eastAsia" w:hAnsi="宋体"/>
          <w:b/>
          <w:sz w:val="24"/>
          <w:szCs w:val="24"/>
        </w:rPr>
        <w:t>9. 提示</w:t>
      </w:r>
      <w:bookmarkEnd w:id="49"/>
      <w:r>
        <w:rPr>
          <w:rFonts w:hAnsi="宋体"/>
          <w:bCs/>
          <w:sz w:val="24"/>
          <w:szCs w:val="24"/>
        </w:rPr>
        <w:tab/>
      </w:r>
    </w:p>
    <w:p w14:paraId="444EC60D">
      <w:pPr>
        <w:snapToGrid w:val="0"/>
        <w:spacing w:line="440" w:lineRule="exact"/>
        <w:ind w:left="480" w:hanging="480" w:hangingChars="200"/>
        <w:textAlignment w:val="baseline"/>
        <w:rPr>
          <w:rFonts w:hAnsi="宋体"/>
          <w:sz w:val="24"/>
          <w:szCs w:val="24"/>
        </w:rPr>
      </w:pPr>
      <w:r>
        <w:rPr>
          <w:rFonts w:hint="eastAsia" w:hAnsi="宋体"/>
          <w:sz w:val="24"/>
          <w:szCs w:val="24"/>
        </w:rPr>
        <w:t>9.1招标文件中未注明进口产品的，均为国产产品，并且不允许提供进口产品参加投标。提供进口产品参加投标被视为无效投标。</w:t>
      </w:r>
    </w:p>
    <w:p w14:paraId="21B7BD04">
      <w:pPr>
        <w:snapToGrid w:val="0"/>
        <w:spacing w:line="460" w:lineRule="exact"/>
        <w:ind w:left="454" w:hanging="454"/>
        <w:textAlignment w:val="baseline"/>
        <w:rPr>
          <w:rFonts w:hAnsi="宋体"/>
          <w:sz w:val="24"/>
          <w:szCs w:val="24"/>
        </w:rPr>
      </w:pPr>
      <w:r>
        <w:rPr>
          <w:rFonts w:hint="eastAsia" w:hAnsi="宋体"/>
          <w:sz w:val="24"/>
          <w:szCs w:val="24"/>
        </w:rPr>
        <w:t>9.2投标人应认真阅读招标文件的全部内容，按照招标文件的要求提供投标文件和资料。</w:t>
      </w:r>
    </w:p>
    <w:p w14:paraId="6E0F079D">
      <w:pPr>
        <w:snapToGrid w:val="0"/>
        <w:spacing w:line="460" w:lineRule="exact"/>
        <w:ind w:left="454" w:hanging="454"/>
        <w:textAlignment w:val="baseline"/>
        <w:rPr>
          <w:rFonts w:hAnsi="宋体"/>
          <w:sz w:val="24"/>
          <w:szCs w:val="24"/>
        </w:rPr>
      </w:pPr>
      <w:r>
        <w:rPr>
          <w:rFonts w:hint="eastAsia" w:hAnsi="宋体"/>
          <w:sz w:val="24"/>
          <w:szCs w:val="24"/>
        </w:rPr>
        <w:t>9.3投标文件因字迹潦草或表达不清所引起的后果由投标人负责。</w:t>
      </w:r>
    </w:p>
    <w:p w14:paraId="3F398FE9">
      <w:pPr>
        <w:snapToGrid w:val="0"/>
        <w:spacing w:line="460" w:lineRule="exact"/>
        <w:textAlignment w:val="baseline"/>
        <w:rPr>
          <w:rFonts w:hAnsi="宋体"/>
          <w:bCs/>
          <w:sz w:val="24"/>
          <w:szCs w:val="24"/>
        </w:rPr>
      </w:pPr>
      <w:bookmarkStart w:id="50" w:name="_Toc262628453"/>
      <w:bookmarkStart w:id="51" w:name="_Toc286758318"/>
      <w:r>
        <w:rPr>
          <w:rFonts w:hint="eastAsia" w:hAnsi="宋体"/>
          <w:bCs/>
          <w:sz w:val="24"/>
          <w:szCs w:val="24"/>
        </w:rPr>
        <w:t>10. 投标文件计量单位</w:t>
      </w:r>
      <w:bookmarkEnd w:id="50"/>
      <w:r>
        <w:rPr>
          <w:rFonts w:hAnsi="宋体"/>
          <w:bCs/>
          <w:sz w:val="24"/>
          <w:szCs w:val="24"/>
        </w:rPr>
        <w:tab/>
      </w:r>
    </w:p>
    <w:p w14:paraId="385421A4">
      <w:pPr>
        <w:snapToGrid w:val="0"/>
        <w:spacing w:line="460" w:lineRule="exact"/>
        <w:ind w:left="454" w:hanging="454"/>
        <w:textAlignment w:val="baseline"/>
        <w:rPr>
          <w:rFonts w:hAnsi="宋体"/>
          <w:sz w:val="24"/>
          <w:szCs w:val="24"/>
        </w:rPr>
      </w:pPr>
      <w:r>
        <w:rPr>
          <w:rFonts w:hint="eastAsia" w:hAnsi="宋体"/>
          <w:sz w:val="24"/>
          <w:szCs w:val="24"/>
        </w:rPr>
        <w:t>10.1投标文件中所使用的计量单位</w:t>
      </w:r>
      <w:r>
        <w:rPr>
          <w:rFonts w:hAnsi="宋体"/>
          <w:sz w:val="24"/>
          <w:szCs w:val="24"/>
        </w:rPr>
        <w:t xml:space="preserve">, </w:t>
      </w:r>
      <w:r>
        <w:rPr>
          <w:rFonts w:hint="eastAsia" w:hAnsi="宋体"/>
          <w:sz w:val="24"/>
          <w:szCs w:val="24"/>
        </w:rPr>
        <w:t>除招标文件中有特殊要求外，应采用国家法定计量单位。</w:t>
      </w:r>
    </w:p>
    <w:p w14:paraId="320F1774">
      <w:pPr>
        <w:snapToGrid w:val="0"/>
        <w:spacing w:line="460" w:lineRule="exact"/>
        <w:textAlignment w:val="baseline"/>
        <w:rPr>
          <w:rFonts w:hAnsi="宋体"/>
          <w:b/>
          <w:sz w:val="24"/>
          <w:szCs w:val="24"/>
        </w:rPr>
      </w:pPr>
      <w:r>
        <w:rPr>
          <w:rFonts w:hint="eastAsia" w:hAnsi="宋体"/>
          <w:b/>
          <w:sz w:val="24"/>
          <w:szCs w:val="24"/>
        </w:rPr>
        <w:t>11. 投标文件的构成</w:t>
      </w:r>
      <w:bookmarkEnd w:id="51"/>
    </w:p>
    <w:p w14:paraId="08CBEAAE">
      <w:pPr>
        <w:snapToGrid w:val="0"/>
        <w:spacing w:line="460" w:lineRule="exact"/>
        <w:textAlignment w:val="baseline"/>
        <w:rPr>
          <w:rFonts w:hAnsi="宋体"/>
          <w:sz w:val="24"/>
          <w:szCs w:val="24"/>
        </w:rPr>
      </w:pPr>
      <w:r>
        <w:rPr>
          <w:rFonts w:hint="eastAsia" w:hAnsi="宋体"/>
          <w:sz w:val="24"/>
          <w:szCs w:val="24"/>
        </w:rPr>
        <w:t>11.1投标文件应由下列部分构成：</w:t>
      </w:r>
    </w:p>
    <w:p w14:paraId="6A6A7A8E">
      <w:pPr>
        <w:snapToGrid w:val="0"/>
        <w:spacing w:line="460" w:lineRule="exact"/>
        <w:ind w:firstLine="480" w:firstLineChars="200"/>
        <w:textAlignment w:val="baseline"/>
        <w:rPr>
          <w:rFonts w:hAnsi="宋体"/>
          <w:sz w:val="24"/>
          <w:szCs w:val="24"/>
        </w:rPr>
      </w:pPr>
      <w:r>
        <w:rPr>
          <w:rFonts w:hint="eastAsia" w:hAnsi="宋体"/>
          <w:sz w:val="24"/>
          <w:szCs w:val="24"/>
        </w:rPr>
        <w:t>1) 投标书</w:t>
      </w:r>
    </w:p>
    <w:p w14:paraId="7075133E">
      <w:pPr>
        <w:snapToGrid w:val="0"/>
        <w:spacing w:line="460" w:lineRule="exact"/>
        <w:ind w:firstLine="480" w:firstLineChars="200"/>
        <w:textAlignment w:val="baseline"/>
        <w:rPr>
          <w:rFonts w:hAnsi="宋体"/>
          <w:sz w:val="24"/>
          <w:szCs w:val="24"/>
        </w:rPr>
      </w:pPr>
      <w:r>
        <w:rPr>
          <w:rFonts w:hint="eastAsia" w:hAnsi="宋体"/>
          <w:sz w:val="24"/>
          <w:szCs w:val="24"/>
        </w:rPr>
        <w:t>2) 开标一览表（用于唱标）</w:t>
      </w:r>
    </w:p>
    <w:p w14:paraId="52E67D24">
      <w:pPr>
        <w:snapToGrid w:val="0"/>
        <w:spacing w:line="460" w:lineRule="exact"/>
        <w:ind w:firstLine="480" w:firstLineChars="200"/>
        <w:textAlignment w:val="baseline"/>
        <w:rPr>
          <w:rFonts w:hAnsi="宋体"/>
          <w:sz w:val="24"/>
          <w:szCs w:val="24"/>
        </w:rPr>
      </w:pPr>
      <w:r>
        <w:rPr>
          <w:rFonts w:hint="eastAsia" w:hAnsi="宋体"/>
          <w:sz w:val="24"/>
          <w:szCs w:val="24"/>
        </w:rPr>
        <w:t>3) 分项报价表</w:t>
      </w:r>
    </w:p>
    <w:p w14:paraId="154A03F9">
      <w:pPr>
        <w:snapToGrid w:val="0"/>
        <w:spacing w:line="460" w:lineRule="exact"/>
        <w:ind w:firstLine="480" w:firstLineChars="200"/>
        <w:textAlignment w:val="baseline"/>
        <w:rPr>
          <w:rFonts w:hAnsi="宋体"/>
          <w:sz w:val="24"/>
          <w:szCs w:val="24"/>
        </w:rPr>
      </w:pPr>
      <w:r>
        <w:rPr>
          <w:rFonts w:hint="eastAsia" w:hAnsi="宋体"/>
          <w:sz w:val="24"/>
          <w:szCs w:val="24"/>
        </w:rPr>
        <w:t>4） 技术条款响应/偏离表</w:t>
      </w:r>
    </w:p>
    <w:p w14:paraId="13EE52D5">
      <w:pPr>
        <w:snapToGrid w:val="0"/>
        <w:spacing w:line="460" w:lineRule="exact"/>
        <w:ind w:firstLine="480" w:firstLineChars="200"/>
        <w:textAlignment w:val="baseline"/>
        <w:rPr>
          <w:rFonts w:hAnsi="宋体"/>
          <w:sz w:val="24"/>
          <w:szCs w:val="24"/>
        </w:rPr>
      </w:pPr>
      <w:r>
        <w:rPr>
          <w:rFonts w:hint="eastAsia" w:hAnsi="宋体"/>
          <w:sz w:val="24"/>
          <w:szCs w:val="24"/>
        </w:rPr>
        <w:t>5) 商务条款响应/偏离表</w:t>
      </w:r>
    </w:p>
    <w:p w14:paraId="784EA628">
      <w:pPr>
        <w:snapToGrid w:val="0"/>
        <w:spacing w:line="460" w:lineRule="exact"/>
        <w:ind w:firstLine="480" w:firstLineChars="200"/>
        <w:textAlignment w:val="baseline"/>
        <w:rPr>
          <w:rFonts w:hAnsi="宋体"/>
          <w:sz w:val="24"/>
          <w:szCs w:val="24"/>
        </w:rPr>
      </w:pPr>
      <w:r>
        <w:rPr>
          <w:rFonts w:hint="eastAsia" w:hAnsi="宋体"/>
          <w:sz w:val="24"/>
          <w:szCs w:val="24"/>
        </w:rPr>
        <w:t>6)技术文件（如有）</w:t>
      </w:r>
    </w:p>
    <w:p w14:paraId="282E0D06">
      <w:pPr>
        <w:snapToGrid w:val="0"/>
        <w:spacing w:line="460" w:lineRule="exact"/>
        <w:ind w:firstLine="480" w:firstLineChars="200"/>
        <w:textAlignment w:val="baseline"/>
        <w:rPr>
          <w:rFonts w:hint="eastAsia" w:hAnsi="宋体"/>
          <w:sz w:val="24"/>
          <w:szCs w:val="24"/>
        </w:rPr>
      </w:pPr>
      <w:r>
        <w:rPr>
          <w:rFonts w:hint="eastAsia" w:hAnsi="宋体"/>
          <w:sz w:val="24"/>
          <w:szCs w:val="24"/>
          <w:lang w:val="en-US" w:eastAsia="zh-CN"/>
        </w:rPr>
        <w:t>7</w:t>
      </w:r>
      <w:r>
        <w:rPr>
          <w:rFonts w:hint="eastAsia" w:hAnsi="宋体"/>
          <w:sz w:val="24"/>
          <w:szCs w:val="24"/>
        </w:rPr>
        <w:t>）资格证明文件</w:t>
      </w:r>
    </w:p>
    <w:p w14:paraId="6E358C2F">
      <w:pPr>
        <w:snapToGrid w:val="0"/>
        <w:spacing w:line="460" w:lineRule="exact"/>
        <w:ind w:firstLine="480" w:firstLineChars="200"/>
        <w:textAlignment w:val="baseline"/>
        <w:rPr>
          <w:rFonts w:hAnsi="宋体"/>
          <w:sz w:val="24"/>
          <w:szCs w:val="24"/>
        </w:rPr>
      </w:pPr>
      <w:r>
        <w:rPr>
          <w:rFonts w:hint="eastAsia" w:hAnsi="宋体"/>
          <w:sz w:val="24"/>
          <w:szCs w:val="24"/>
          <w:lang w:val="en-US" w:eastAsia="zh-CN"/>
        </w:rPr>
        <w:t>8</w:t>
      </w:r>
      <w:r>
        <w:rPr>
          <w:rFonts w:hint="eastAsia" w:hAnsi="宋体"/>
          <w:sz w:val="24"/>
          <w:szCs w:val="24"/>
        </w:rPr>
        <w:t>) 其他资料</w:t>
      </w:r>
    </w:p>
    <w:p w14:paraId="1E93AD9C">
      <w:pPr>
        <w:snapToGrid w:val="0"/>
        <w:spacing w:line="460" w:lineRule="exact"/>
        <w:ind w:firstLine="482" w:firstLineChars="200"/>
        <w:textAlignment w:val="baseline"/>
        <w:rPr>
          <w:rFonts w:hAnsi="宋体"/>
          <w:b/>
          <w:bCs/>
          <w:color w:val="0000FF"/>
          <w:sz w:val="24"/>
          <w:szCs w:val="24"/>
        </w:rPr>
      </w:pPr>
      <w:r>
        <w:rPr>
          <w:rFonts w:hint="eastAsia" w:hAnsi="宋体"/>
          <w:b/>
          <w:bCs/>
          <w:color w:val="0000FF"/>
          <w:sz w:val="24"/>
          <w:szCs w:val="24"/>
        </w:rPr>
        <w:t>投标人应编写投标文件目录及页码。</w:t>
      </w:r>
    </w:p>
    <w:p w14:paraId="7B746F6A">
      <w:pPr>
        <w:snapToGrid w:val="0"/>
        <w:spacing w:line="460" w:lineRule="exact"/>
        <w:textAlignment w:val="baseline"/>
        <w:rPr>
          <w:rFonts w:hAnsi="宋体"/>
          <w:b/>
          <w:bCs/>
          <w:sz w:val="24"/>
          <w:szCs w:val="24"/>
        </w:rPr>
      </w:pPr>
      <w:bookmarkStart w:id="52" w:name="_Toc286758319"/>
      <w:r>
        <w:rPr>
          <w:rFonts w:hint="eastAsia" w:hAnsi="宋体"/>
          <w:b/>
          <w:bCs/>
          <w:sz w:val="24"/>
          <w:szCs w:val="24"/>
        </w:rPr>
        <w:t>1</w:t>
      </w:r>
      <w:r>
        <w:rPr>
          <w:rFonts w:hint="eastAsia" w:hAnsi="宋体"/>
          <w:b/>
          <w:bCs/>
          <w:sz w:val="24"/>
          <w:szCs w:val="24"/>
          <w:lang w:val="en-US" w:eastAsia="zh-CN"/>
        </w:rPr>
        <w:t>2</w:t>
      </w:r>
      <w:r>
        <w:rPr>
          <w:rFonts w:hint="eastAsia" w:hAnsi="宋体"/>
          <w:b/>
          <w:bCs/>
          <w:sz w:val="24"/>
          <w:szCs w:val="24"/>
        </w:rPr>
        <w:t>. 证明投标人合格和资格的文件</w:t>
      </w:r>
      <w:bookmarkEnd w:id="52"/>
    </w:p>
    <w:p w14:paraId="55EA47CB">
      <w:pPr>
        <w:snapToGrid w:val="0"/>
        <w:spacing w:line="460" w:lineRule="exact"/>
        <w:ind w:left="480" w:hanging="480" w:hangingChars="200"/>
        <w:textAlignment w:val="baseline"/>
        <w:rPr>
          <w:rFonts w:hAnsi="宋体"/>
          <w:sz w:val="24"/>
          <w:szCs w:val="24"/>
        </w:rPr>
      </w:pPr>
      <w:r>
        <w:rPr>
          <w:rFonts w:hint="eastAsia" w:hAnsi="宋体"/>
          <w:sz w:val="24"/>
          <w:szCs w:val="24"/>
        </w:rPr>
        <w:t>1</w:t>
      </w:r>
      <w:r>
        <w:rPr>
          <w:rFonts w:hint="eastAsia" w:hAnsi="宋体"/>
          <w:sz w:val="24"/>
          <w:szCs w:val="24"/>
          <w:lang w:val="en-US" w:eastAsia="zh-CN"/>
        </w:rPr>
        <w:t>2</w:t>
      </w:r>
      <w:r>
        <w:rPr>
          <w:rFonts w:hint="eastAsia" w:hAnsi="宋体"/>
          <w:sz w:val="24"/>
          <w:szCs w:val="24"/>
        </w:rPr>
        <w:t>.1投标人应提供证明其合格和资格的证明文件（格式详见“第四章附件”）。</w:t>
      </w:r>
    </w:p>
    <w:p w14:paraId="5667ED66">
      <w:pPr>
        <w:snapToGrid w:val="0"/>
        <w:spacing w:line="460" w:lineRule="exact"/>
        <w:ind w:left="480" w:hanging="480" w:hangingChars="200"/>
        <w:textAlignment w:val="baseline"/>
        <w:rPr>
          <w:rFonts w:hAnsi="宋体"/>
          <w:sz w:val="24"/>
          <w:szCs w:val="24"/>
        </w:rPr>
      </w:pPr>
      <w:r>
        <w:rPr>
          <w:rFonts w:hint="eastAsia" w:hAnsi="宋体"/>
          <w:sz w:val="24"/>
          <w:szCs w:val="24"/>
        </w:rPr>
        <w:t>1</w:t>
      </w:r>
      <w:r>
        <w:rPr>
          <w:rFonts w:hint="eastAsia" w:hAnsi="宋体"/>
          <w:sz w:val="24"/>
          <w:szCs w:val="24"/>
          <w:lang w:val="en-US" w:eastAsia="zh-CN"/>
        </w:rPr>
        <w:t>2</w:t>
      </w:r>
      <w:r>
        <w:rPr>
          <w:rFonts w:hint="eastAsia" w:hAnsi="宋体"/>
          <w:sz w:val="24"/>
          <w:szCs w:val="24"/>
        </w:rPr>
        <w:t>.2其他资格证明文件（格式详见“第四章附件”）。</w:t>
      </w:r>
    </w:p>
    <w:p w14:paraId="7DD973B6">
      <w:pPr>
        <w:snapToGrid w:val="0"/>
        <w:spacing w:line="460" w:lineRule="exact"/>
        <w:textAlignment w:val="baseline"/>
        <w:rPr>
          <w:rFonts w:hAnsi="宋体"/>
          <w:b/>
          <w:sz w:val="24"/>
          <w:szCs w:val="24"/>
        </w:rPr>
      </w:pPr>
      <w:bookmarkStart w:id="53" w:name="_Toc286758320"/>
      <w:r>
        <w:rPr>
          <w:rFonts w:hint="eastAsia" w:hAnsi="宋体"/>
          <w:b/>
          <w:sz w:val="24"/>
          <w:szCs w:val="24"/>
        </w:rPr>
        <w:t>1</w:t>
      </w:r>
      <w:r>
        <w:rPr>
          <w:rFonts w:hint="eastAsia" w:hAnsi="宋体"/>
          <w:b/>
          <w:sz w:val="24"/>
          <w:szCs w:val="24"/>
          <w:lang w:val="en-US" w:eastAsia="zh-CN"/>
        </w:rPr>
        <w:t>3</w:t>
      </w:r>
      <w:r>
        <w:rPr>
          <w:rFonts w:hint="eastAsia" w:hAnsi="宋体"/>
          <w:b/>
          <w:sz w:val="24"/>
          <w:szCs w:val="24"/>
        </w:rPr>
        <w:t>. 证明货物符合招标文件规定的文件</w:t>
      </w:r>
      <w:bookmarkEnd w:id="53"/>
    </w:p>
    <w:p w14:paraId="582C7985">
      <w:pPr>
        <w:snapToGrid w:val="0"/>
        <w:spacing w:line="460" w:lineRule="exact"/>
        <w:textAlignment w:val="baseline"/>
        <w:rPr>
          <w:rFonts w:hAnsi="宋体"/>
          <w:sz w:val="24"/>
          <w:szCs w:val="24"/>
        </w:rPr>
      </w:pPr>
      <w:r>
        <w:rPr>
          <w:rFonts w:hint="eastAsia" w:hAnsi="宋体"/>
          <w:sz w:val="24"/>
          <w:szCs w:val="24"/>
        </w:rPr>
        <w:t>1</w:t>
      </w:r>
      <w:r>
        <w:rPr>
          <w:rFonts w:hint="eastAsia" w:hAnsi="宋体"/>
          <w:sz w:val="24"/>
          <w:szCs w:val="24"/>
          <w:lang w:val="en-US" w:eastAsia="zh-CN"/>
        </w:rPr>
        <w:t>3</w:t>
      </w:r>
      <w:r>
        <w:rPr>
          <w:rFonts w:hAnsi="宋体"/>
          <w:sz w:val="24"/>
          <w:szCs w:val="24"/>
        </w:rPr>
        <w:t>.1</w:t>
      </w:r>
      <w:r>
        <w:rPr>
          <w:rFonts w:hint="eastAsia" w:hAnsi="宋体"/>
          <w:sz w:val="24"/>
          <w:szCs w:val="24"/>
        </w:rPr>
        <w:t xml:space="preserve"> 投标人应提交其货物和附属售后服务符合招标文件规定的证明，作为投标文件的一部分。</w:t>
      </w:r>
    </w:p>
    <w:p w14:paraId="462AC61E">
      <w:pPr>
        <w:snapToGrid w:val="0"/>
        <w:spacing w:line="460" w:lineRule="exact"/>
        <w:textAlignment w:val="baseline"/>
        <w:rPr>
          <w:rFonts w:hAnsi="宋体"/>
          <w:sz w:val="24"/>
          <w:szCs w:val="24"/>
        </w:rPr>
      </w:pPr>
      <w:r>
        <w:rPr>
          <w:rFonts w:hint="eastAsia" w:hAnsi="宋体"/>
          <w:sz w:val="24"/>
          <w:szCs w:val="24"/>
        </w:rPr>
        <w:t>1</w:t>
      </w:r>
      <w:r>
        <w:rPr>
          <w:rFonts w:hint="eastAsia" w:hAnsi="宋体"/>
          <w:sz w:val="24"/>
          <w:szCs w:val="24"/>
          <w:lang w:val="en-US" w:eastAsia="zh-CN"/>
        </w:rPr>
        <w:t>3</w:t>
      </w:r>
      <w:r>
        <w:rPr>
          <w:rFonts w:hAnsi="宋体"/>
          <w:sz w:val="24"/>
          <w:szCs w:val="24"/>
        </w:rPr>
        <w:t>.</w:t>
      </w:r>
      <w:r>
        <w:rPr>
          <w:rFonts w:hint="eastAsia" w:hAnsi="宋体"/>
          <w:sz w:val="24"/>
          <w:szCs w:val="24"/>
        </w:rPr>
        <w:t>2 货物和附属售后服务与招标文件的要求相一致的证明，可以是文字资料、图纸和数据，包括：</w:t>
      </w:r>
    </w:p>
    <w:p w14:paraId="2B8C41DA">
      <w:pPr>
        <w:snapToGrid w:val="0"/>
        <w:spacing w:line="460" w:lineRule="exact"/>
        <w:textAlignment w:val="baseline"/>
        <w:rPr>
          <w:rFonts w:hAnsi="宋体"/>
          <w:sz w:val="24"/>
          <w:szCs w:val="24"/>
        </w:rPr>
      </w:pPr>
      <w:r>
        <w:rPr>
          <w:rFonts w:hint="eastAsia" w:hAnsi="宋体"/>
          <w:sz w:val="24"/>
          <w:szCs w:val="24"/>
        </w:rPr>
        <w:t>1</w:t>
      </w:r>
      <w:r>
        <w:rPr>
          <w:rFonts w:hAnsi="宋体"/>
          <w:sz w:val="24"/>
          <w:szCs w:val="24"/>
        </w:rPr>
        <w:t>)</w:t>
      </w:r>
      <w:r>
        <w:rPr>
          <w:rFonts w:hint="eastAsia" w:hAnsi="宋体"/>
          <w:sz w:val="24"/>
          <w:szCs w:val="24"/>
        </w:rPr>
        <w:t>货物主要技术指标和性能的详细说明。</w:t>
      </w:r>
    </w:p>
    <w:p w14:paraId="5EB7AA70">
      <w:pPr>
        <w:snapToGrid w:val="0"/>
        <w:spacing w:line="460" w:lineRule="exact"/>
        <w:textAlignment w:val="baseline"/>
        <w:rPr>
          <w:rFonts w:hAnsi="宋体"/>
          <w:sz w:val="24"/>
          <w:szCs w:val="24"/>
        </w:rPr>
      </w:pPr>
      <w:r>
        <w:rPr>
          <w:rFonts w:hint="eastAsia" w:hAnsi="宋体"/>
          <w:sz w:val="24"/>
          <w:szCs w:val="24"/>
        </w:rPr>
        <w:t>2</w:t>
      </w:r>
      <w:r>
        <w:rPr>
          <w:rFonts w:hAnsi="宋体"/>
          <w:sz w:val="24"/>
          <w:szCs w:val="24"/>
        </w:rPr>
        <w:t>)</w:t>
      </w:r>
      <w:r>
        <w:rPr>
          <w:rFonts w:hint="eastAsia" w:hAnsi="宋体"/>
          <w:sz w:val="24"/>
          <w:szCs w:val="24"/>
        </w:rPr>
        <w:t>对照招标文件技术规格，逐条说明所提供货物和附属售后服务已对招标文件的技术规格作出了实质性响应，或申明与技术规格的偏差和例外。特别对于有具体参数要求的指标，投标人必须提供所投设备的具体参数。</w:t>
      </w:r>
    </w:p>
    <w:p w14:paraId="7D4D0F01">
      <w:pPr>
        <w:snapToGrid w:val="0"/>
        <w:spacing w:line="460" w:lineRule="exact"/>
        <w:textAlignment w:val="baseline"/>
        <w:rPr>
          <w:rFonts w:hAnsi="宋体"/>
          <w:sz w:val="24"/>
          <w:szCs w:val="24"/>
        </w:rPr>
      </w:pPr>
      <w:r>
        <w:rPr>
          <w:rFonts w:hint="eastAsia" w:hAnsi="宋体"/>
          <w:sz w:val="24"/>
          <w:szCs w:val="24"/>
        </w:rPr>
        <w:t>3</w:t>
      </w:r>
      <w:r>
        <w:rPr>
          <w:rFonts w:hAnsi="宋体"/>
          <w:sz w:val="24"/>
          <w:szCs w:val="24"/>
        </w:rPr>
        <w:t>)</w:t>
      </w:r>
      <w:r>
        <w:rPr>
          <w:rFonts w:hint="eastAsia" w:hAnsi="宋体"/>
          <w:sz w:val="24"/>
          <w:szCs w:val="24"/>
        </w:rPr>
        <w:t>商务条款的偏差和例外。</w:t>
      </w:r>
    </w:p>
    <w:p w14:paraId="37D94AB8">
      <w:pPr>
        <w:snapToGrid w:val="0"/>
        <w:spacing w:line="460" w:lineRule="exact"/>
        <w:textAlignment w:val="baseline"/>
        <w:rPr>
          <w:rFonts w:hAnsi="宋体"/>
          <w:sz w:val="24"/>
          <w:szCs w:val="24"/>
        </w:rPr>
      </w:pPr>
      <w:r>
        <w:rPr>
          <w:rFonts w:hint="eastAsia" w:hAnsi="宋体"/>
          <w:sz w:val="24"/>
          <w:szCs w:val="24"/>
        </w:rPr>
        <w:t>1</w:t>
      </w:r>
      <w:r>
        <w:rPr>
          <w:rFonts w:hint="eastAsia" w:hAnsi="宋体"/>
          <w:sz w:val="24"/>
          <w:szCs w:val="24"/>
          <w:lang w:val="en-US" w:eastAsia="zh-CN"/>
        </w:rPr>
        <w:t>3</w:t>
      </w:r>
      <w:r>
        <w:rPr>
          <w:rFonts w:hAnsi="宋体"/>
          <w:sz w:val="24"/>
          <w:szCs w:val="24"/>
        </w:rPr>
        <w:t>.</w:t>
      </w:r>
      <w:r>
        <w:rPr>
          <w:rFonts w:hint="eastAsia" w:hAnsi="宋体"/>
          <w:sz w:val="24"/>
          <w:szCs w:val="24"/>
        </w:rPr>
        <w:t>3 本招标文件第六章技术规格中所指出的设计、工艺、材料和设备的标准、商标或样本目录码的参考资料仅说明并非进行限制。投标人可提出改进设计、替代标准、商标或样本目录码，但该替代应相当于或优于第五章技术规格的规定，以使采购人满意。</w:t>
      </w:r>
    </w:p>
    <w:p w14:paraId="303982C7">
      <w:pPr>
        <w:snapToGrid w:val="0"/>
        <w:spacing w:line="460" w:lineRule="exact"/>
        <w:textAlignment w:val="baseline"/>
        <w:rPr>
          <w:rFonts w:hAnsi="宋体"/>
          <w:b/>
          <w:sz w:val="24"/>
          <w:szCs w:val="24"/>
        </w:rPr>
      </w:pPr>
      <w:bookmarkStart w:id="54" w:name="_Toc286758321"/>
      <w:r>
        <w:rPr>
          <w:rFonts w:hint="eastAsia" w:hAnsi="宋体"/>
          <w:b/>
          <w:sz w:val="24"/>
          <w:szCs w:val="24"/>
        </w:rPr>
        <w:t>1</w:t>
      </w:r>
      <w:r>
        <w:rPr>
          <w:rFonts w:hint="eastAsia" w:hAnsi="宋体"/>
          <w:b/>
          <w:sz w:val="24"/>
          <w:szCs w:val="24"/>
          <w:lang w:val="en-US" w:eastAsia="zh-CN"/>
        </w:rPr>
        <w:t>4</w:t>
      </w:r>
      <w:r>
        <w:rPr>
          <w:rFonts w:hint="eastAsia" w:hAnsi="宋体"/>
          <w:b/>
          <w:sz w:val="24"/>
          <w:szCs w:val="24"/>
        </w:rPr>
        <w:t>. 投标报价</w:t>
      </w:r>
      <w:bookmarkEnd w:id="54"/>
    </w:p>
    <w:p w14:paraId="3D21A51A">
      <w:pPr>
        <w:snapToGrid w:val="0"/>
        <w:spacing w:line="460" w:lineRule="exact"/>
        <w:ind w:left="480" w:hanging="480" w:hangingChars="200"/>
        <w:textAlignment w:val="baseline"/>
        <w:rPr>
          <w:rFonts w:hAnsi="宋体"/>
          <w:sz w:val="24"/>
          <w:szCs w:val="24"/>
        </w:rPr>
      </w:pPr>
      <w:r>
        <w:rPr>
          <w:rFonts w:hint="eastAsia" w:hAnsi="宋体"/>
          <w:sz w:val="24"/>
          <w:szCs w:val="24"/>
        </w:rPr>
        <w:t>1</w:t>
      </w:r>
      <w:r>
        <w:rPr>
          <w:rFonts w:hint="eastAsia" w:hAnsi="宋体"/>
          <w:sz w:val="24"/>
          <w:szCs w:val="24"/>
          <w:lang w:val="en-US" w:eastAsia="zh-CN"/>
        </w:rPr>
        <w:t>4</w:t>
      </w:r>
      <w:r>
        <w:rPr>
          <w:rFonts w:hint="eastAsia" w:hAnsi="宋体"/>
          <w:sz w:val="24"/>
          <w:szCs w:val="24"/>
        </w:rPr>
        <w:t>.1所有投标均以人民币报价，报价内容包含招标文件规定的服务、税金等相关费用。</w:t>
      </w:r>
    </w:p>
    <w:p w14:paraId="072EB62C">
      <w:pPr>
        <w:snapToGrid w:val="0"/>
        <w:spacing w:line="460" w:lineRule="exact"/>
        <w:ind w:left="480" w:hanging="480" w:hangingChars="200"/>
        <w:textAlignment w:val="baseline"/>
        <w:rPr>
          <w:rFonts w:hAnsi="宋体"/>
          <w:sz w:val="24"/>
          <w:szCs w:val="24"/>
        </w:rPr>
      </w:pPr>
      <w:r>
        <w:rPr>
          <w:rFonts w:hint="eastAsia" w:hAnsi="宋体"/>
          <w:sz w:val="24"/>
          <w:szCs w:val="24"/>
        </w:rPr>
        <w:t>1</w:t>
      </w:r>
      <w:r>
        <w:rPr>
          <w:rFonts w:hint="eastAsia" w:hAnsi="宋体"/>
          <w:sz w:val="24"/>
          <w:szCs w:val="24"/>
          <w:lang w:val="en-US" w:eastAsia="zh-CN"/>
        </w:rPr>
        <w:t>4</w:t>
      </w:r>
      <w:r>
        <w:rPr>
          <w:rFonts w:hAnsi="宋体"/>
          <w:sz w:val="24"/>
          <w:szCs w:val="24"/>
        </w:rPr>
        <w:t>.2</w:t>
      </w:r>
      <w:r>
        <w:rPr>
          <w:rFonts w:hint="eastAsia" w:hAnsi="宋体"/>
          <w:sz w:val="24"/>
          <w:szCs w:val="24"/>
        </w:rPr>
        <w:t>投标人要按开标一览表（统一格式）和分项报价表（统一格式）、开标一览明细表的内容填写单价、总价及其他事项。投标总价中不得包含招标文件要求以外的内容，否则，在评标时不予核减。若投标人不同意，被视为无效投标。</w:t>
      </w:r>
    </w:p>
    <w:p w14:paraId="27DDF112">
      <w:pPr>
        <w:snapToGrid w:val="0"/>
        <w:spacing w:line="460" w:lineRule="exact"/>
        <w:ind w:left="480" w:hanging="480" w:hangingChars="200"/>
        <w:textAlignment w:val="baseline"/>
        <w:rPr>
          <w:rFonts w:hAnsi="宋体"/>
          <w:sz w:val="24"/>
          <w:szCs w:val="24"/>
        </w:rPr>
      </w:pPr>
      <w:r>
        <w:rPr>
          <w:rFonts w:hint="eastAsia" w:hAnsi="宋体"/>
          <w:sz w:val="24"/>
          <w:szCs w:val="24"/>
        </w:rPr>
        <w:t>1</w:t>
      </w:r>
      <w:r>
        <w:rPr>
          <w:rFonts w:hint="eastAsia" w:hAnsi="宋体"/>
          <w:sz w:val="24"/>
          <w:szCs w:val="24"/>
          <w:lang w:val="en-US" w:eastAsia="zh-CN"/>
        </w:rPr>
        <w:t>4</w:t>
      </w:r>
      <w:r>
        <w:rPr>
          <w:rFonts w:hint="eastAsia" w:hAnsi="宋体"/>
          <w:sz w:val="24"/>
          <w:szCs w:val="24"/>
        </w:rPr>
        <w:t>.3投标总价中不得缺漏招标文件所要求的内容，否则，评标时将有效投标中该项内容的最高价计入其投标总价。缺漏部分中标后须提供，且中标价以投标报价为准；若投标人不同意，</w:t>
      </w:r>
      <w:r>
        <w:rPr>
          <w:rFonts w:hint="eastAsia" w:hAnsi="宋体"/>
          <w:b/>
          <w:bCs/>
          <w:sz w:val="24"/>
          <w:szCs w:val="24"/>
        </w:rPr>
        <w:t>被视为无效投标</w:t>
      </w:r>
      <w:r>
        <w:rPr>
          <w:rFonts w:hint="eastAsia" w:hAnsi="宋体"/>
          <w:sz w:val="24"/>
          <w:szCs w:val="24"/>
        </w:rPr>
        <w:t>。</w:t>
      </w:r>
    </w:p>
    <w:p w14:paraId="5CB84ACF">
      <w:pPr>
        <w:snapToGrid w:val="0"/>
        <w:spacing w:line="460" w:lineRule="exact"/>
        <w:ind w:left="480" w:hanging="480" w:hangingChars="200"/>
        <w:textAlignment w:val="baseline"/>
        <w:rPr>
          <w:rFonts w:hAnsi="宋体"/>
          <w:sz w:val="24"/>
          <w:szCs w:val="24"/>
        </w:rPr>
      </w:pPr>
      <w:r>
        <w:rPr>
          <w:rFonts w:hint="eastAsia" w:hAnsi="宋体"/>
          <w:sz w:val="24"/>
          <w:szCs w:val="24"/>
        </w:rPr>
        <w:t>1</w:t>
      </w:r>
      <w:r>
        <w:rPr>
          <w:rFonts w:hint="eastAsia" w:hAnsi="宋体"/>
          <w:sz w:val="24"/>
          <w:szCs w:val="24"/>
          <w:lang w:val="en-US" w:eastAsia="zh-CN"/>
        </w:rPr>
        <w:t>4</w:t>
      </w:r>
      <w:r>
        <w:rPr>
          <w:rFonts w:hAnsi="宋体"/>
          <w:sz w:val="24"/>
          <w:szCs w:val="24"/>
        </w:rPr>
        <w:t>.</w:t>
      </w:r>
      <w:r>
        <w:rPr>
          <w:rFonts w:hint="eastAsia" w:hAnsi="宋体"/>
          <w:sz w:val="24"/>
          <w:szCs w:val="24"/>
        </w:rPr>
        <w:t>4 投标人所报的投标报价在合同执行过程中是固定不变的，不得以任何理由予以变更。投标人应对所有招标内容进行投标，且只提供最优方案一套，投标人提交任何包含价格调整要求的投标将按非实质性响应投标</w:t>
      </w:r>
      <w:r>
        <w:rPr>
          <w:rFonts w:hint="eastAsia" w:hAnsi="宋体"/>
          <w:b/>
          <w:bCs/>
          <w:sz w:val="24"/>
          <w:szCs w:val="24"/>
        </w:rPr>
        <w:t>被视为无效投标</w:t>
      </w:r>
      <w:r>
        <w:rPr>
          <w:rFonts w:hint="eastAsia" w:hAnsi="宋体"/>
          <w:sz w:val="24"/>
          <w:szCs w:val="24"/>
        </w:rPr>
        <w:t>。</w:t>
      </w:r>
    </w:p>
    <w:p w14:paraId="1208AD61">
      <w:pPr>
        <w:snapToGrid w:val="0"/>
        <w:spacing w:line="460" w:lineRule="exact"/>
        <w:textAlignment w:val="baseline"/>
        <w:rPr>
          <w:rFonts w:hAnsi="宋体"/>
          <w:sz w:val="24"/>
          <w:szCs w:val="24"/>
        </w:rPr>
      </w:pPr>
      <w:r>
        <w:rPr>
          <w:rFonts w:hint="eastAsia" w:hAnsi="宋体"/>
          <w:sz w:val="24"/>
          <w:szCs w:val="24"/>
        </w:rPr>
        <w:t>1</w:t>
      </w:r>
      <w:r>
        <w:rPr>
          <w:rFonts w:hint="eastAsia" w:hAnsi="宋体"/>
          <w:sz w:val="24"/>
          <w:szCs w:val="24"/>
          <w:lang w:val="en-US" w:eastAsia="zh-CN"/>
        </w:rPr>
        <w:t>4</w:t>
      </w:r>
      <w:r>
        <w:rPr>
          <w:rFonts w:hAnsi="宋体"/>
          <w:sz w:val="24"/>
          <w:szCs w:val="24"/>
        </w:rPr>
        <w:t>.</w:t>
      </w:r>
      <w:r>
        <w:rPr>
          <w:rFonts w:hint="eastAsia" w:hAnsi="宋体"/>
          <w:sz w:val="24"/>
          <w:szCs w:val="24"/>
        </w:rPr>
        <w:t>5最低报价不能作为中标的保证。</w:t>
      </w:r>
    </w:p>
    <w:p w14:paraId="27AACFDA">
      <w:pPr>
        <w:snapToGrid w:val="0"/>
        <w:spacing w:line="460" w:lineRule="exact"/>
        <w:textAlignment w:val="baseline"/>
        <w:rPr>
          <w:rFonts w:hAnsi="宋体"/>
          <w:b/>
          <w:bCs/>
          <w:sz w:val="24"/>
          <w:szCs w:val="24"/>
        </w:rPr>
      </w:pPr>
      <w:r>
        <w:rPr>
          <w:rFonts w:hint="eastAsia" w:hAnsi="宋体"/>
          <w:b/>
          <w:bCs/>
          <w:sz w:val="24"/>
          <w:szCs w:val="24"/>
        </w:rPr>
        <w:t>1</w:t>
      </w:r>
      <w:r>
        <w:rPr>
          <w:rFonts w:hint="eastAsia" w:hAnsi="宋体"/>
          <w:b/>
          <w:bCs/>
          <w:sz w:val="24"/>
          <w:szCs w:val="24"/>
          <w:lang w:val="en-US" w:eastAsia="zh-CN"/>
        </w:rPr>
        <w:t>5</w:t>
      </w:r>
      <w:r>
        <w:rPr>
          <w:rFonts w:hint="eastAsia" w:hAnsi="宋体"/>
          <w:b/>
          <w:bCs/>
          <w:sz w:val="24"/>
          <w:szCs w:val="24"/>
        </w:rPr>
        <w:t>、投标的有效期</w:t>
      </w:r>
    </w:p>
    <w:p w14:paraId="6AA94B08">
      <w:pPr>
        <w:snapToGrid w:val="0"/>
        <w:spacing w:line="460" w:lineRule="exact"/>
        <w:textAlignment w:val="baseline"/>
        <w:rPr>
          <w:rFonts w:hAnsi="宋体"/>
          <w:sz w:val="24"/>
          <w:szCs w:val="24"/>
        </w:rPr>
      </w:pPr>
      <w:r>
        <w:rPr>
          <w:rFonts w:hint="eastAsia" w:hAnsi="宋体"/>
          <w:sz w:val="24"/>
          <w:szCs w:val="24"/>
        </w:rPr>
        <w:t>1</w:t>
      </w:r>
      <w:r>
        <w:rPr>
          <w:rFonts w:hint="eastAsia" w:hAnsi="宋体"/>
          <w:sz w:val="24"/>
          <w:szCs w:val="24"/>
          <w:lang w:val="en-US" w:eastAsia="zh-CN"/>
        </w:rPr>
        <w:t>5</w:t>
      </w:r>
      <w:r>
        <w:rPr>
          <w:rFonts w:hint="eastAsia" w:hAnsi="宋体"/>
          <w:sz w:val="24"/>
          <w:szCs w:val="24"/>
        </w:rPr>
        <w:t>.1投标有效期按“投标人须知前附表”规定的时间内保持有效。投标有效期不足的投标将被视为无效投标。</w:t>
      </w:r>
    </w:p>
    <w:p w14:paraId="1BC36998">
      <w:pPr>
        <w:snapToGrid w:val="0"/>
        <w:spacing w:line="460" w:lineRule="exact"/>
        <w:textAlignment w:val="baseline"/>
        <w:rPr>
          <w:rFonts w:hAnsi="宋体"/>
          <w:sz w:val="24"/>
          <w:szCs w:val="24"/>
        </w:rPr>
      </w:pPr>
      <w:r>
        <w:rPr>
          <w:rFonts w:hint="eastAsia" w:hAnsi="宋体"/>
          <w:sz w:val="24"/>
          <w:szCs w:val="24"/>
        </w:rPr>
        <w:t>1</w:t>
      </w:r>
      <w:r>
        <w:rPr>
          <w:rFonts w:hint="eastAsia" w:hAnsi="宋体"/>
          <w:sz w:val="24"/>
          <w:szCs w:val="24"/>
          <w:lang w:val="en-US" w:eastAsia="zh-CN"/>
        </w:rPr>
        <w:t>5</w:t>
      </w:r>
      <w:r>
        <w:rPr>
          <w:rFonts w:hint="eastAsia" w:hAnsi="宋体"/>
          <w:sz w:val="24"/>
          <w:szCs w:val="24"/>
        </w:rPr>
        <w:t>.2在特殊情况下，采购代理机构可延长投标有效期。延长投标有效期在江西省公共资源交易网上发布，延期函以网上公告的形式通知所有已参加投标的投标人。已参加投标的投标人应以书面形式答复采购代理机构，同意延长有效期的投标人不能修改其投标文件，有关投标保证金的规定在投标有效期的延长期内继续有效。</w:t>
      </w:r>
    </w:p>
    <w:p w14:paraId="4919512A">
      <w:pPr>
        <w:snapToGrid w:val="0"/>
        <w:spacing w:line="460" w:lineRule="exact"/>
        <w:textAlignment w:val="baseline"/>
        <w:rPr>
          <w:rFonts w:hAnsi="宋体"/>
          <w:b/>
          <w:bCs/>
          <w:sz w:val="24"/>
          <w:szCs w:val="24"/>
        </w:rPr>
      </w:pPr>
      <w:bookmarkStart w:id="55" w:name="_Toc286758323"/>
      <w:r>
        <w:rPr>
          <w:rFonts w:hint="eastAsia" w:hAnsi="宋体"/>
          <w:b/>
          <w:bCs/>
          <w:sz w:val="24"/>
          <w:szCs w:val="24"/>
        </w:rPr>
        <w:t>1</w:t>
      </w:r>
      <w:r>
        <w:rPr>
          <w:rFonts w:hint="eastAsia" w:hAnsi="宋体"/>
          <w:b/>
          <w:bCs/>
          <w:sz w:val="24"/>
          <w:szCs w:val="24"/>
          <w:lang w:val="en-US" w:eastAsia="zh-CN"/>
        </w:rPr>
        <w:t>6</w:t>
      </w:r>
      <w:r>
        <w:rPr>
          <w:rFonts w:hint="eastAsia" w:hAnsi="宋体"/>
          <w:b/>
          <w:bCs/>
          <w:sz w:val="24"/>
          <w:szCs w:val="24"/>
        </w:rPr>
        <w:t>.投标保证金</w:t>
      </w:r>
    </w:p>
    <w:p w14:paraId="3DFC8827">
      <w:pPr>
        <w:snapToGrid w:val="0"/>
        <w:spacing w:line="460" w:lineRule="exact"/>
        <w:textAlignment w:val="baseline"/>
        <w:rPr>
          <w:rFonts w:hAnsi="宋体"/>
          <w:sz w:val="24"/>
          <w:szCs w:val="24"/>
        </w:rPr>
      </w:pPr>
      <w:r>
        <w:rPr>
          <w:rFonts w:hint="eastAsia" w:hAnsi="宋体"/>
          <w:sz w:val="24"/>
          <w:szCs w:val="24"/>
        </w:rPr>
        <w:t>1</w:t>
      </w:r>
      <w:r>
        <w:rPr>
          <w:rFonts w:hint="eastAsia" w:hAnsi="宋体"/>
          <w:sz w:val="24"/>
          <w:szCs w:val="24"/>
          <w:lang w:val="en-US" w:eastAsia="zh-CN"/>
        </w:rPr>
        <w:t>6</w:t>
      </w:r>
      <w:r>
        <w:rPr>
          <w:rFonts w:hint="eastAsia" w:hAnsi="宋体"/>
          <w:sz w:val="24"/>
          <w:szCs w:val="24"/>
        </w:rPr>
        <w:t>.1投标人应按招标文件“投标须知前附表”规定的金额递交保证金。保证金必须在规定时间到达采购人指定帐户（以到账时间为准，在此时间之前，投标保证金未到指定账户的，视为放弃投标）</w:t>
      </w:r>
    </w:p>
    <w:p w14:paraId="41501B3A">
      <w:pPr>
        <w:snapToGrid w:val="0"/>
        <w:spacing w:line="460" w:lineRule="exact"/>
        <w:textAlignment w:val="baseline"/>
        <w:rPr>
          <w:rFonts w:hAnsi="宋体"/>
          <w:sz w:val="24"/>
          <w:szCs w:val="24"/>
        </w:rPr>
      </w:pPr>
      <w:r>
        <w:rPr>
          <w:rFonts w:hint="eastAsia" w:hAnsi="宋体"/>
          <w:sz w:val="24"/>
          <w:szCs w:val="24"/>
        </w:rPr>
        <w:t>注：①投标保证金进帐凭证应注明投标项目名称，以便查对核实。</w:t>
      </w:r>
    </w:p>
    <w:p w14:paraId="58FEC1B7">
      <w:pPr>
        <w:snapToGrid w:val="0"/>
        <w:spacing w:line="460" w:lineRule="exact"/>
        <w:textAlignment w:val="baseline"/>
        <w:rPr>
          <w:rFonts w:hAnsi="宋体"/>
          <w:sz w:val="24"/>
          <w:szCs w:val="24"/>
        </w:rPr>
      </w:pPr>
      <w:r>
        <w:rPr>
          <w:rFonts w:hint="eastAsia" w:hAnsi="宋体"/>
          <w:sz w:val="24"/>
          <w:szCs w:val="24"/>
        </w:rPr>
        <w:t>  ②投标保证金的具体情况以到账证明为准。由于供应商自身的原因而造成本保证金没有及时或足额到帐的相关责任，由供应商自行负责。</w:t>
      </w:r>
    </w:p>
    <w:p w14:paraId="657C62DE">
      <w:pPr>
        <w:snapToGrid w:val="0"/>
        <w:spacing w:line="460" w:lineRule="exact"/>
        <w:textAlignment w:val="baseline"/>
        <w:rPr>
          <w:rFonts w:hAnsi="宋体"/>
          <w:sz w:val="24"/>
          <w:szCs w:val="24"/>
        </w:rPr>
      </w:pPr>
      <w:r>
        <w:rPr>
          <w:rFonts w:hint="eastAsia" w:hAnsi="宋体"/>
          <w:sz w:val="24"/>
          <w:szCs w:val="24"/>
        </w:rPr>
        <w:t>  ③投标保证金是为了保护采购人免遭因投标人的行为而蒙受损失，如供应商的行为使采购人受到伤害时，采购人可没收供应商的投标保证金。</w:t>
      </w:r>
    </w:p>
    <w:p w14:paraId="4C6A7C68">
      <w:pPr>
        <w:snapToGrid w:val="0"/>
        <w:spacing w:line="460" w:lineRule="exact"/>
        <w:textAlignment w:val="baseline"/>
        <w:rPr>
          <w:rFonts w:hAnsi="宋体"/>
          <w:sz w:val="24"/>
          <w:szCs w:val="24"/>
        </w:rPr>
      </w:pPr>
      <w:r>
        <w:rPr>
          <w:rFonts w:hint="eastAsia" w:hAnsi="宋体"/>
          <w:sz w:val="24"/>
          <w:szCs w:val="24"/>
        </w:rPr>
        <w:t>  ④对于未按要求提交投标保证金的投标，采购人将视其为非响应性应答而予以拒绝。</w:t>
      </w:r>
    </w:p>
    <w:p w14:paraId="696DA01C">
      <w:pPr>
        <w:snapToGrid w:val="0"/>
        <w:spacing w:line="460" w:lineRule="exact"/>
        <w:textAlignment w:val="baseline"/>
        <w:rPr>
          <w:rFonts w:hAnsi="宋体"/>
          <w:sz w:val="24"/>
          <w:szCs w:val="24"/>
        </w:rPr>
      </w:pPr>
      <w:r>
        <w:rPr>
          <w:rFonts w:hint="eastAsia" w:hAnsi="宋体"/>
          <w:sz w:val="24"/>
          <w:szCs w:val="24"/>
          <w:lang w:val="en-US" w:eastAsia="zh-CN"/>
        </w:rPr>
        <w:t>16</w:t>
      </w:r>
      <w:r>
        <w:rPr>
          <w:rFonts w:hint="eastAsia" w:hAnsi="宋体"/>
          <w:sz w:val="24"/>
          <w:szCs w:val="24"/>
        </w:rPr>
        <w:t>.2招标采购单位应当在中标通知书发出后五个工作日内退还未中标供应商的投标保证金，在采购合同签订后五个工作日内原路退还中标供应商的投标保证金。招标采购单位逾期未退还投标保证金的，除应当退还投标保证金本金外，还应当按商业银行同期贷款利率上浮20%后的利率支付资金占用费。</w:t>
      </w:r>
    </w:p>
    <w:p w14:paraId="0C8EA7F9">
      <w:pPr>
        <w:snapToGrid w:val="0"/>
        <w:spacing w:line="460" w:lineRule="exact"/>
        <w:textAlignment w:val="baseline"/>
        <w:rPr>
          <w:rFonts w:hAnsi="宋体"/>
          <w:sz w:val="24"/>
          <w:szCs w:val="24"/>
        </w:rPr>
      </w:pPr>
      <w:r>
        <w:rPr>
          <w:rFonts w:hint="eastAsia" w:hAnsi="宋体"/>
          <w:sz w:val="24"/>
          <w:szCs w:val="24"/>
        </w:rPr>
        <w:t>1</w:t>
      </w:r>
      <w:r>
        <w:rPr>
          <w:rFonts w:hint="eastAsia" w:hAnsi="宋体"/>
          <w:sz w:val="24"/>
          <w:szCs w:val="24"/>
          <w:lang w:val="en-US" w:eastAsia="zh-CN"/>
        </w:rPr>
        <w:t>6</w:t>
      </w:r>
      <w:r>
        <w:rPr>
          <w:rFonts w:hint="eastAsia" w:hAnsi="宋体"/>
          <w:sz w:val="24"/>
          <w:szCs w:val="24"/>
        </w:rPr>
        <w:t>.3发生下列情形之一，投标保证金将被没收。</w:t>
      </w:r>
    </w:p>
    <w:p w14:paraId="1C4CB87A">
      <w:pPr>
        <w:snapToGrid w:val="0"/>
        <w:spacing w:line="460" w:lineRule="exact"/>
        <w:textAlignment w:val="baseline"/>
        <w:rPr>
          <w:rFonts w:hAnsi="宋体"/>
          <w:sz w:val="24"/>
          <w:szCs w:val="24"/>
        </w:rPr>
      </w:pPr>
      <w:r>
        <w:rPr>
          <w:rFonts w:hint="eastAsia" w:hAnsi="宋体"/>
          <w:sz w:val="24"/>
          <w:szCs w:val="24"/>
        </w:rPr>
        <w:t>1</w:t>
      </w:r>
      <w:r>
        <w:rPr>
          <w:rFonts w:hint="eastAsia" w:hAnsi="宋体"/>
          <w:sz w:val="24"/>
          <w:szCs w:val="24"/>
          <w:lang w:val="en-US" w:eastAsia="zh-CN"/>
        </w:rPr>
        <w:t>6</w:t>
      </w:r>
      <w:r>
        <w:rPr>
          <w:rFonts w:hint="eastAsia" w:hAnsi="宋体"/>
          <w:sz w:val="24"/>
          <w:szCs w:val="24"/>
        </w:rPr>
        <w:t>.3.1供应商未在开标截止日一天前以书面形式通知代理机构撤回其投标的；</w:t>
      </w:r>
    </w:p>
    <w:p w14:paraId="14502711">
      <w:pPr>
        <w:snapToGrid w:val="0"/>
        <w:spacing w:line="460" w:lineRule="exact"/>
        <w:textAlignment w:val="baseline"/>
        <w:rPr>
          <w:rFonts w:hAnsi="宋体"/>
          <w:sz w:val="24"/>
          <w:szCs w:val="24"/>
        </w:rPr>
      </w:pPr>
      <w:r>
        <w:rPr>
          <w:rFonts w:hint="eastAsia" w:hAnsi="宋体"/>
          <w:sz w:val="24"/>
          <w:szCs w:val="24"/>
        </w:rPr>
        <w:t>1</w:t>
      </w:r>
      <w:r>
        <w:rPr>
          <w:rFonts w:hint="eastAsia" w:hAnsi="宋体"/>
          <w:sz w:val="24"/>
          <w:szCs w:val="24"/>
          <w:lang w:val="en-US" w:eastAsia="zh-CN"/>
        </w:rPr>
        <w:t>6</w:t>
      </w:r>
      <w:r>
        <w:rPr>
          <w:rFonts w:hint="eastAsia" w:hAnsi="宋体"/>
          <w:sz w:val="24"/>
          <w:szCs w:val="24"/>
        </w:rPr>
        <w:t>.3.2中标供应商未能按招标文件的规定签订合同；</w:t>
      </w:r>
    </w:p>
    <w:p w14:paraId="67D250E9">
      <w:pPr>
        <w:snapToGrid w:val="0"/>
        <w:spacing w:line="460" w:lineRule="exact"/>
        <w:textAlignment w:val="baseline"/>
        <w:rPr>
          <w:rFonts w:hAnsi="宋体"/>
          <w:sz w:val="24"/>
          <w:szCs w:val="24"/>
        </w:rPr>
      </w:pPr>
      <w:r>
        <w:rPr>
          <w:rFonts w:hint="eastAsia" w:hAnsi="宋体"/>
          <w:sz w:val="24"/>
          <w:szCs w:val="24"/>
          <w:lang w:val="zh-CN"/>
        </w:rPr>
        <w:t>1</w:t>
      </w:r>
      <w:r>
        <w:rPr>
          <w:rFonts w:hint="eastAsia" w:hAnsi="宋体"/>
          <w:sz w:val="24"/>
          <w:szCs w:val="24"/>
          <w:lang w:val="en-US" w:eastAsia="zh-CN"/>
        </w:rPr>
        <w:t>6</w:t>
      </w:r>
      <w:r>
        <w:rPr>
          <w:rFonts w:hint="eastAsia" w:hAnsi="宋体"/>
          <w:sz w:val="24"/>
          <w:szCs w:val="24"/>
          <w:lang w:val="zh-CN"/>
        </w:rPr>
        <w:t>.3.3</w:t>
      </w:r>
      <w:r>
        <w:rPr>
          <w:rFonts w:hint="eastAsia" w:hAnsi="宋体"/>
          <w:sz w:val="24"/>
          <w:szCs w:val="24"/>
        </w:rPr>
        <w:t>中标供应商未能按招标文件的有关规定交纳成交服务费；</w:t>
      </w:r>
    </w:p>
    <w:p w14:paraId="4DCC4745">
      <w:pPr>
        <w:snapToGrid w:val="0"/>
        <w:spacing w:line="460" w:lineRule="exact"/>
        <w:textAlignment w:val="baseline"/>
        <w:rPr>
          <w:rFonts w:hAnsi="宋体"/>
          <w:sz w:val="24"/>
          <w:szCs w:val="24"/>
        </w:rPr>
      </w:pPr>
      <w:r>
        <w:rPr>
          <w:rFonts w:hint="eastAsia" w:hAnsi="宋体"/>
          <w:sz w:val="24"/>
          <w:szCs w:val="24"/>
          <w:lang w:val="zh-CN"/>
        </w:rPr>
        <w:t>1</w:t>
      </w:r>
      <w:r>
        <w:rPr>
          <w:rFonts w:hint="eastAsia" w:hAnsi="宋体"/>
          <w:sz w:val="24"/>
          <w:szCs w:val="24"/>
          <w:lang w:val="en-US" w:eastAsia="zh-CN"/>
        </w:rPr>
        <w:t>6</w:t>
      </w:r>
      <w:r>
        <w:rPr>
          <w:rFonts w:hint="eastAsia" w:hAnsi="宋体"/>
          <w:sz w:val="24"/>
          <w:szCs w:val="24"/>
          <w:lang w:val="zh-CN"/>
        </w:rPr>
        <w:t>.3.4</w:t>
      </w:r>
      <w:r>
        <w:rPr>
          <w:rFonts w:hint="eastAsia" w:hAnsi="宋体"/>
          <w:sz w:val="24"/>
          <w:szCs w:val="24"/>
        </w:rPr>
        <w:t>在响应文件中未提供真实有效的证明材料；</w:t>
      </w:r>
    </w:p>
    <w:p w14:paraId="2369CCED">
      <w:pPr>
        <w:snapToGrid w:val="0"/>
        <w:spacing w:line="460" w:lineRule="exact"/>
        <w:textAlignment w:val="baseline"/>
        <w:rPr>
          <w:rFonts w:hAnsi="宋体"/>
          <w:sz w:val="24"/>
          <w:szCs w:val="24"/>
        </w:rPr>
      </w:pPr>
      <w:r>
        <w:rPr>
          <w:rFonts w:hint="eastAsia" w:hAnsi="宋体"/>
          <w:sz w:val="24"/>
          <w:szCs w:val="24"/>
          <w:lang w:val="zh-CN"/>
        </w:rPr>
        <w:t>1</w:t>
      </w:r>
      <w:r>
        <w:rPr>
          <w:rFonts w:hint="eastAsia" w:hAnsi="宋体"/>
          <w:sz w:val="24"/>
          <w:szCs w:val="24"/>
          <w:lang w:val="en-US" w:eastAsia="zh-CN"/>
        </w:rPr>
        <w:t>6</w:t>
      </w:r>
      <w:r>
        <w:rPr>
          <w:rFonts w:hint="eastAsia" w:hAnsi="宋体"/>
          <w:sz w:val="24"/>
          <w:szCs w:val="24"/>
          <w:lang w:val="zh-CN"/>
        </w:rPr>
        <w:t>.3.5</w:t>
      </w:r>
      <w:r>
        <w:rPr>
          <w:rFonts w:hint="eastAsia" w:hAnsi="宋体"/>
          <w:sz w:val="24"/>
          <w:szCs w:val="24"/>
        </w:rPr>
        <w:t>中标供应商以他人名义投标或者以其他方式弄虚作假，骗取成交的。</w:t>
      </w:r>
    </w:p>
    <w:p w14:paraId="633CB404">
      <w:pPr>
        <w:snapToGrid w:val="0"/>
        <w:spacing w:line="460" w:lineRule="exact"/>
        <w:textAlignment w:val="baseline"/>
        <w:rPr>
          <w:rFonts w:hAnsi="宋体"/>
          <w:sz w:val="24"/>
          <w:szCs w:val="24"/>
        </w:rPr>
      </w:pPr>
      <w:r>
        <w:rPr>
          <w:rFonts w:hint="eastAsia" w:hAnsi="宋体"/>
          <w:sz w:val="24"/>
          <w:szCs w:val="24"/>
          <w:lang w:val="zh-CN"/>
        </w:rPr>
        <w:t>1</w:t>
      </w:r>
      <w:r>
        <w:rPr>
          <w:rFonts w:hint="eastAsia" w:hAnsi="宋体"/>
          <w:sz w:val="24"/>
          <w:szCs w:val="24"/>
          <w:lang w:val="en-US" w:eastAsia="zh-CN"/>
        </w:rPr>
        <w:t>6</w:t>
      </w:r>
      <w:r>
        <w:rPr>
          <w:rFonts w:hint="eastAsia" w:hAnsi="宋体"/>
          <w:sz w:val="24"/>
          <w:szCs w:val="24"/>
          <w:lang w:val="zh-CN"/>
        </w:rPr>
        <w:t>.3.6</w:t>
      </w:r>
      <w:r>
        <w:rPr>
          <w:rFonts w:hint="eastAsia" w:hAnsi="宋体"/>
          <w:sz w:val="24"/>
          <w:szCs w:val="24"/>
        </w:rPr>
        <w:t>违反《中华人民共和国政府采购法》及其他相关法规规定和本招标文件的相关约定。</w:t>
      </w:r>
    </w:p>
    <w:p w14:paraId="6FF89634">
      <w:pPr>
        <w:snapToGrid w:val="0"/>
        <w:spacing w:line="460" w:lineRule="exact"/>
        <w:textAlignment w:val="baseline"/>
        <w:rPr>
          <w:rFonts w:hAnsi="宋体"/>
          <w:sz w:val="24"/>
          <w:szCs w:val="24"/>
        </w:rPr>
      </w:pPr>
      <w:r>
        <w:rPr>
          <w:rFonts w:hint="eastAsia" w:hAnsi="宋体"/>
          <w:sz w:val="24"/>
          <w:szCs w:val="24"/>
        </w:rPr>
        <w:t>1</w:t>
      </w:r>
      <w:r>
        <w:rPr>
          <w:rFonts w:hint="eastAsia" w:hAnsi="宋体"/>
          <w:sz w:val="24"/>
          <w:szCs w:val="24"/>
          <w:lang w:val="en-US" w:eastAsia="zh-CN"/>
        </w:rPr>
        <w:t>6</w:t>
      </w:r>
      <w:r>
        <w:rPr>
          <w:rFonts w:hint="eastAsia" w:hAnsi="宋体"/>
          <w:sz w:val="24"/>
          <w:szCs w:val="24"/>
        </w:rPr>
        <w:t>.4.投标有效期</w:t>
      </w:r>
      <w:bookmarkEnd w:id="55"/>
    </w:p>
    <w:p w14:paraId="1DF18755">
      <w:pPr>
        <w:snapToGrid w:val="0"/>
        <w:spacing w:line="460" w:lineRule="exact"/>
        <w:textAlignment w:val="baseline"/>
        <w:rPr>
          <w:rFonts w:hAnsi="宋体"/>
          <w:sz w:val="24"/>
          <w:szCs w:val="24"/>
        </w:rPr>
      </w:pPr>
      <w:r>
        <w:rPr>
          <w:rFonts w:hint="eastAsia" w:hAnsi="宋体"/>
          <w:sz w:val="24"/>
          <w:szCs w:val="24"/>
        </w:rPr>
        <w:t>1</w:t>
      </w:r>
      <w:r>
        <w:rPr>
          <w:rFonts w:hint="eastAsia" w:hAnsi="宋体"/>
          <w:sz w:val="24"/>
          <w:szCs w:val="24"/>
          <w:lang w:val="en-US" w:eastAsia="zh-CN"/>
        </w:rPr>
        <w:t>6</w:t>
      </w:r>
      <w:r>
        <w:rPr>
          <w:rFonts w:hint="eastAsia" w:hAnsi="宋体"/>
          <w:sz w:val="24"/>
          <w:szCs w:val="24"/>
        </w:rPr>
        <w:t>.5投标有效期按“投标人须知前附表”规定的时间内保持有效。投标有效期不足的投标将被视为无效投标。</w:t>
      </w:r>
    </w:p>
    <w:p w14:paraId="1D05E704">
      <w:pPr>
        <w:snapToGrid w:val="0"/>
        <w:spacing w:line="430" w:lineRule="exact"/>
        <w:textAlignment w:val="baseline"/>
        <w:rPr>
          <w:rFonts w:hAnsi="宋体"/>
          <w:spacing w:val="-4"/>
          <w:kern w:val="2"/>
          <w:sz w:val="24"/>
          <w:szCs w:val="24"/>
        </w:rPr>
      </w:pPr>
      <w:r>
        <w:rPr>
          <w:rFonts w:hint="eastAsia" w:hAnsi="宋体"/>
          <w:sz w:val="24"/>
          <w:szCs w:val="24"/>
        </w:rPr>
        <w:t>1</w:t>
      </w:r>
      <w:r>
        <w:rPr>
          <w:rFonts w:hint="eastAsia" w:hAnsi="宋体"/>
          <w:sz w:val="24"/>
          <w:szCs w:val="24"/>
          <w:lang w:val="en-US" w:eastAsia="zh-CN"/>
        </w:rPr>
        <w:t>6</w:t>
      </w:r>
      <w:r>
        <w:rPr>
          <w:rFonts w:hint="eastAsia" w:hAnsi="宋体"/>
          <w:sz w:val="24"/>
          <w:szCs w:val="24"/>
        </w:rPr>
        <w:t>.6在特殊情况下，采购代理机构可延长投标有效期。延长投标有效期在江西省公共资源交易网上发布，延期函以网上公告的形式通知所有已参加投标的供应商。已参加投标的供应商应以书面形式答复采购代理机构，同意延长有效期的投标人不能修改其投标文</w:t>
      </w:r>
      <w:r>
        <w:rPr>
          <w:rFonts w:hint="eastAsia" w:hAnsi="宋体"/>
          <w:spacing w:val="-4"/>
          <w:kern w:val="2"/>
          <w:sz w:val="24"/>
          <w:szCs w:val="24"/>
        </w:rPr>
        <w:t>件，有关投标保证金的规定在投标有效期的延长期内继续有效。</w:t>
      </w:r>
    </w:p>
    <w:p w14:paraId="3B0049E4">
      <w:pPr>
        <w:snapToGrid w:val="0"/>
        <w:spacing w:line="430" w:lineRule="exact"/>
        <w:textAlignment w:val="baseline"/>
        <w:rPr>
          <w:rFonts w:hAnsi="宋体"/>
          <w:b/>
          <w:bCs/>
          <w:spacing w:val="-4"/>
          <w:kern w:val="2"/>
          <w:sz w:val="24"/>
          <w:szCs w:val="24"/>
        </w:rPr>
      </w:pPr>
      <w:bookmarkStart w:id="56" w:name="_Toc32705"/>
      <w:bookmarkStart w:id="57" w:name="_Toc2337"/>
      <w:bookmarkStart w:id="58" w:name="_Toc83626622"/>
      <w:bookmarkStart w:id="59" w:name="_Toc83627160"/>
      <w:bookmarkStart w:id="60" w:name="_Toc450122249"/>
      <w:bookmarkStart w:id="61" w:name="_Toc447031328"/>
      <w:bookmarkStart w:id="62" w:name="_Toc17118"/>
      <w:r>
        <w:rPr>
          <w:rFonts w:hint="eastAsia" w:hAnsi="宋体"/>
          <w:b/>
          <w:bCs/>
          <w:spacing w:val="-4"/>
          <w:kern w:val="2"/>
          <w:sz w:val="24"/>
          <w:szCs w:val="24"/>
        </w:rPr>
        <w:t>五、投标文件的递交</w:t>
      </w:r>
      <w:bookmarkEnd w:id="56"/>
      <w:bookmarkEnd w:id="57"/>
      <w:bookmarkEnd w:id="58"/>
      <w:bookmarkEnd w:id="59"/>
    </w:p>
    <w:p w14:paraId="5189EB63">
      <w:pPr>
        <w:snapToGrid w:val="0"/>
        <w:spacing w:line="430" w:lineRule="exact"/>
        <w:textAlignment w:val="baseline"/>
        <w:rPr>
          <w:rFonts w:hAnsi="宋体"/>
          <w:b/>
          <w:bCs/>
          <w:spacing w:val="-4"/>
          <w:kern w:val="2"/>
          <w:sz w:val="24"/>
          <w:szCs w:val="24"/>
        </w:rPr>
      </w:pPr>
      <w:r>
        <w:rPr>
          <w:rFonts w:hint="eastAsia" w:hAnsi="宋体"/>
          <w:b/>
          <w:bCs/>
          <w:spacing w:val="-4"/>
          <w:kern w:val="2"/>
          <w:sz w:val="24"/>
          <w:szCs w:val="24"/>
        </w:rPr>
        <w:t>1</w:t>
      </w:r>
      <w:r>
        <w:rPr>
          <w:rFonts w:hint="eastAsia" w:hAnsi="宋体"/>
          <w:b/>
          <w:bCs/>
          <w:spacing w:val="-4"/>
          <w:kern w:val="2"/>
          <w:sz w:val="24"/>
          <w:szCs w:val="24"/>
          <w:lang w:val="en-US" w:eastAsia="zh-CN"/>
        </w:rPr>
        <w:t>7</w:t>
      </w:r>
      <w:r>
        <w:rPr>
          <w:rFonts w:hint="eastAsia" w:hAnsi="宋体"/>
          <w:b/>
          <w:bCs/>
          <w:spacing w:val="-4"/>
          <w:kern w:val="2"/>
          <w:sz w:val="24"/>
          <w:szCs w:val="24"/>
        </w:rPr>
        <w:t>、投标文件的递交</w:t>
      </w:r>
    </w:p>
    <w:p w14:paraId="228E13BD">
      <w:pPr>
        <w:snapToGrid w:val="0"/>
        <w:spacing w:line="430" w:lineRule="exact"/>
        <w:textAlignment w:val="baseline"/>
        <w:rPr>
          <w:rFonts w:hAnsi="宋体"/>
          <w:sz w:val="24"/>
          <w:szCs w:val="24"/>
        </w:rPr>
      </w:pPr>
      <w:r>
        <w:rPr>
          <w:rFonts w:hint="eastAsia" w:hAnsi="宋体"/>
          <w:sz w:val="24"/>
          <w:szCs w:val="24"/>
        </w:rPr>
        <w:t>1</w:t>
      </w:r>
      <w:r>
        <w:rPr>
          <w:rFonts w:hint="eastAsia" w:hAnsi="宋体"/>
          <w:sz w:val="24"/>
          <w:szCs w:val="24"/>
          <w:lang w:val="en-US" w:eastAsia="zh-CN"/>
        </w:rPr>
        <w:t>7</w:t>
      </w:r>
      <w:r>
        <w:rPr>
          <w:rFonts w:hint="eastAsia" w:hAnsi="宋体"/>
          <w:sz w:val="24"/>
          <w:szCs w:val="24"/>
        </w:rPr>
        <w:t>.1 投标人应仔细阅读招标文件，在完全了解招标文件的内容、要求后，编写投标文件；</w:t>
      </w:r>
    </w:p>
    <w:p w14:paraId="540DB362">
      <w:pPr>
        <w:snapToGrid w:val="0"/>
        <w:spacing w:line="430" w:lineRule="exact"/>
        <w:textAlignment w:val="baseline"/>
        <w:rPr>
          <w:rFonts w:hAnsi="宋体"/>
          <w:sz w:val="24"/>
          <w:szCs w:val="24"/>
        </w:rPr>
      </w:pPr>
      <w:r>
        <w:rPr>
          <w:rFonts w:hint="eastAsia" w:hAnsi="宋体"/>
          <w:sz w:val="24"/>
          <w:szCs w:val="24"/>
        </w:rPr>
        <w:t>1</w:t>
      </w:r>
      <w:r>
        <w:rPr>
          <w:rFonts w:hint="eastAsia" w:hAnsi="宋体"/>
          <w:sz w:val="24"/>
          <w:szCs w:val="24"/>
          <w:lang w:val="en-US" w:eastAsia="zh-CN"/>
        </w:rPr>
        <w:t>7</w:t>
      </w:r>
      <w:r>
        <w:rPr>
          <w:rFonts w:hint="eastAsia" w:hAnsi="宋体"/>
          <w:sz w:val="24"/>
          <w:szCs w:val="24"/>
        </w:rPr>
        <w:t>.2 纸质版投标文件必须以无线胶装的形式按投标文件的构成顺序自编目录及页码装订成册；否则，可能发生的文件散落或缺损，由此产生的后果其责任由投标人承担；</w:t>
      </w:r>
    </w:p>
    <w:p w14:paraId="69D22221">
      <w:pPr>
        <w:snapToGrid w:val="0"/>
        <w:spacing w:line="430" w:lineRule="exact"/>
        <w:textAlignment w:val="baseline"/>
        <w:rPr>
          <w:rFonts w:hAnsi="宋体"/>
          <w:sz w:val="24"/>
          <w:szCs w:val="24"/>
        </w:rPr>
      </w:pPr>
      <w:r>
        <w:rPr>
          <w:rFonts w:hint="eastAsia" w:hAnsi="宋体"/>
          <w:sz w:val="24"/>
          <w:szCs w:val="24"/>
        </w:rPr>
        <w:t>1</w:t>
      </w:r>
      <w:r>
        <w:rPr>
          <w:rFonts w:hint="eastAsia" w:hAnsi="宋体"/>
          <w:sz w:val="24"/>
          <w:szCs w:val="24"/>
          <w:lang w:val="en-US" w:eastAsia="zh-CN"/>
        </w:rPr>
        <w:t>7</w:t>
      </w:r>
      <w:r>
        <w:rPr>
          <w:rFonts w:hint="eastAsia" w:hAnsi="宋体"/>
          <w:sz w:val="24"/>
          <w:szCs w:val="24"/>
        </w:rPr>
        <w:t>.3供应商应将投标文件正本一份和“供应商须知前附表”规定的副本分开密封装在单独的密封袋中。副本可为正本的复印件，并在每份文件右上角注明“正本”、“副本”字样，一旦正本和副本不符，以正本为准。用封条在投标文件密封袋背面开口处密封。封口处加盖供应商的单位公章，且在包装正面标明“正本”和“副本”。投标文件袋正面按照规定需写明项目名称、项目编号、供应商名称、地址、邮政编码、联系人、电话，并注明“开标时启封”字样。</w:t>
      </w:r>
    </w:p>
    <w:p w14:paraId="50FC2CCC">
      <w:pPr>
        <w:snapToGrid w:val="0"/>
        <w:spacing w:line="430" w:lineRule="exact"/>
        <w:textAlignment w:val="baseline"/>
        <w:rPr>
          <w:rFonts w:hAnsi="宋体"/>
          <w:b/>
          <w:bCs/>
          <w:spacing w:val="-4"/>
          <w:kern w:val="2"/>
          <w:sz w:val="24"/>
          <w:szCs w:val="24"/>
        </w:rPr>
      </w:pPr>
      <w:r>
        <w:rPr>
          <w:rFonts w:hint="eastAsia" w:hAnsi="宋体"/>
          <w:b/>
          <w:bCs/>
          <w:spacing w:val="-4"/>
          <w:kern w:val="2"/>
          <w:sz w:val="24"/>
          <w:szCs w:val="24"/>
        </w:rPr>
        <w:t>1</w:t>
      </w:r>
      <w:r>
        <w:rPr>
          <w:rFonts w:hint="eastAsia" w:hAnsi="宋体"/>
          <w:b/>
          <w:bCs/>
          <w:spacing w:val="-4"/>
          <w:kern w:val="2"/>
          <w:sz w:val="24"/>
          <w:szCs w:val="24"/>
          <w:lang w:val="en-US" w:eastAsia="zh-CN"/>
        </w:rPr>
        <w:t>8</w:t>
      </w:r>
      <w:r>
        <w:rPr>
          <w:rFonts w:hint="eastAsia" w:hAnsi="宋体"/>
          <w:b/>
          <w:bCs/>
          <w:spacing w:val="-4"/>
          <w:kern w:val="2"/>
          <w:sz w:val="24"/>
          <w:szCs w:val="24"/>
        </w:rPr>
        <w:t>、投标截止期</w:t>
      </w:r>
    </w:p>
    <w:p w14:paraId="000CB9CC">
      <w:pPr>
        <w:snapToGrid w:val="0"/>
        <w:spacing w:line="430" w:lineRule="exact"/>
        <w:ind w:left="567" w:hanging="567"/>
        <w:textAlignment w:val="baseline"/>
        <w:rPr>
          <w:rFonts w:hAnsi="宋体"/>
          <w:spacing w:val="-4"/>
          <w:kern w:val="2"/>
          <w:sz w:val="24"/>
          <w:szCs w:val="24"/>
        </w:rPr>
      </w:pPr>
      <w:r>
        <w:rPr>
          <w:rFonts w:hint="eastAsia" w:hAnsi="宋体"/>
          <w:spacing w:val="-4"/>
          <w:kern w:val="2"/>
          <w:sz w:val="24"/>
          <w:szCs w:val="24"/>
        </w:rPr>
        <w:t>1</w:t>
      </w:r>
      <w:r>
        <w:rPr>
          <w:rFonts w:hint="eastAsia" w:hAnsi="宋体"/>
          <w:spacing w:val="-4"/>
          <w:kern w:val="2"/>
          <w:sz w:val="24"/>
          <w:szCs w:val="24"/>
          <w:lang w:val="en-US" w:eastAsia="zh-CN"/>
        </w:rPr>
        <w:t>8</w:t>
      </w:r>
      <w:r>
        <w:rPr>
          <w:rFonts w:hAnsi="宋体"/>
          <w:spacing w:val="-4"/>
          <w:kern w:val="2"/>
          <w:sz w:val="24"/>
          <w:szCs w:val="24"/>
        </w:rPr>
        <w:t>.1</w:t>
      </w:r>
      <w:r>
        <w:rPr>
          <w:rFonts w:hint="eastAsia" w:hAnsi="宋体"/>
          <w:spacing w:val="-4"/>
          <w:kern w:val="2"/>
          <w:sz w:val="24"/>
          <w:szCs w:val="24"/>
        </w:rPr>
        <w:t>投标文件必须在招标文件规定投标截止时间前递交，</w:t>
      </w:r>
      <w:r>
        <w:rPr>
          <w:rFonts w:hint="eastAsia" w:hAnsi="宋体"/>
          <w:b/>
          <w:bCs/>
          <w:spacing w:val="-4"/>
          <w:kern w:val="2"/>
          <w:sz w:val="24"/>
          <w:szCs w:val="24"/>
        </w:rPr>
        <w:t>否则被视为无效投标</w:t>
      </w:r>
      <w:r>
        <w:rPr>
          <w:rFonts w:hint="eastAsia" w:hAnsi="宋体"/>
          <w:spacing w:val="-4"/>
          <w:kern w:val="2"/>
          <w:sz w:val="24"/>
          <w:szCs w:val="24"/>
        </w:rPr>
        <w:t>。</w:t>
      </w:r>
    </w:p>
    <w:p w14:paraId="348C1A6A">
      <w:pPr>
        <w:spacing w:line="460" w:lineRule="exact"/>
        <w:jc w:val="left"/>
        <w:rPr>
          <w:rFonts w:hAnsi="宋体"/>
          <w:spacing w:val="-4"/>
          <w:kern w:val="2"/>
          <w:sz w:val="24"/>
          <w:szCs w:val="24"/>
        </w:rPr>
      </w:pPr>
      <w:r>
        <w:rPr>
          <w:rFonts w:hint="eastAsia" w:hAnsi="宋体"/>
          <w:spacing w:val="-4"/>
          <w:kern w:val="2"/>
          <w:sz w:val="24"/>
          <w:szCs w:val="24"/>
        </w:rPr>
        <w:t>1</w:t>
      </w:r>
      <w:r>
        <w:rPr>
          <w:rFonts w:hint="eastAsia" w:hAnsi="宋体"/>
          <w:spacing w:val="-4"/>
          <w:kern w:val="2"/>
          <w:sz w:val="24"/>
          <w:szCs w:val="24"/>
          <w:lang w:val="en-US" w:eastAsia="zh-CN"/>
        </w:rPr>
        <w:t>8</w:t>
      </w:r>
      <w:r>
        <w:rPr>
          <w:rFonts w:hAnsi="宋体"/>
          <w:spacing w:val="-4"/>
          <w:kern w:val="2"/>
          <w:sz w:val="24"/>
          <w:szCs w:val="24"/>
        </w:rPr>
        <w:t>.</w:t>
      </w:r>
      <w:r>
        <w:rPr>
          <w:rFonts w:hint="eastAsia" w:hAnsi="宋体"/>
          <w:spacing w:val="-4"/>
          <w:kern w:val="2"/>
          <w:sz w:val="24"/>
          <w:szCs w:val="24"/>
        </w:rPr>
        <w:t>2采购代理机构推迟投标截止时间，在</w:t>
      </w:r>
      <w:r>
        <w:rPr>
          <w:rFonts w:hint="eastAsia" w:hAnsi="宋体" w:cs="宋体"/>
          <w:color w:val="000000"/>
          <w:sz w:val="24"/>
        </w:rPr>
        <w:t>阳光采购服务平台（</w:t>
      </w:r>
      <w:r>
        <w:rPr>
          <w:rFonts w:hint="eastAsia" w:hAnsi="宋体" w:cs="宋体"/>
          <w:color w:val="000000"/>
          <w:sz w:val="24"/>
          <w:lang w:eastAsia="zh-CN"/>
        </w:rPr>
        <w:t>https://www.ygcgfwpt.com/</w:t>
      </w:r>
      <w:r>
        <w:rPr>
          <w:rFonts w:hint="eastAsia" w:hAnsi="宋体" w:cs="宋体"/>
          <w:color w:val="000000"/>
          <w:sz w:val="24"/>
        </w:rPr>
        <w:t>）</w:t>
      </w:r>
      <w:r>
        <w:rPr>
          <w:rFonts w:hint="eastAsia" w:hAnsi="宋体"/>
          <w:spacing w:val="-4"/>
          <w:kern w:val="2"/>
          <w:sz w:val="24"/>
          <w:szCs w:val="24"/>
        </w:rPr>
        <w:t>上发布延期公告，延期函以网上公告的形式通知所有已下载招标文件的投标单位。在这种情况下，采购代理机构、采购人和投标人受投标截止时间制约的所有权利和义务均应延长至新的投标截止时间。</w:t>
      </w:r>
    </w:p>
    <w:p w14:paraId="1C6F4073">
      <w:pPr>
        <w:snapToGrid w:val="0"/>
        <w:spacing w:line="430" w:lineRule="exact"/>
        <w:textAlignment w:val="baseline"/>
        <w:rPr>
          <w:rFonts w:hAnsi="宋体"/>
          <w:b/>
          <w:bCs/>
          <w:spacing w:val="-4"/>
          <w:kern w:val="2"/>
          <w:sz w:val="24"/>
          <w:szCs w:val="24"/>
        </w:rPr>
      </w:pPr>
      <w:r>
        <w:rPr>
          <w:rFonts w:hint="eastAsia" w:hAnsi="宋体"/>
          <w:b/>
          <w:bCs/>
          <w:spacing w:val="-4"/>
          <w:kern w:val="2"/>
          <w:sz w:val="24"/>
          <w:szCs w:val="24"/>
          <w:lang w:val="en-US" w:eastAsia="zh-CN"/>
        </w:rPr>
        <w:t>19</w:t>
      </w:r>
      <w:r>
        <w:rPr>
          <w:rFonts w:hint="eastAsia" w:hAnsi="宋体"/>
          <w:b/>
          <w:bCs/>
          <w:spacing w:val="-4"/>
          <w:kern w:val="2"/>
          <w:sz w:val="24"/>
          <w:szCs w:val="24"/>
        </w:rPr>
        <w:t>、迟交的投标文件</w:t>
      </w:r>
    </w:p>
    <w:p w14:paraId="7CDEDB91">
      <w:pPr>
        <w:snapToGrid w:val="0"/>
        <w:spacing w:line="430" w:lineRule="exact"/>
        <w:ind w:left="567" w:hanging="567"/>
        <w:textAlignment w:val="baseline"/>
        <w:rPr>
          <w:rFonts w:hAnsi="宋体"/>
          <w:spacing w:val="-4"/>
          <w:kern w:val="2"/>
          <w:sz w:val="24"/>
          <w:szCs w:val="24"/>
        </w:rPr>
      </w:pPr>
      <w:r>
        <w:rPr>
          <w:rFonts w:hint="eastAsia" w:hAnsi="宋体"/>
          <w:spacing w:val="-4"/>
          <w:kern w:val="2"/>
          <w:sz w:val="24"/>
          <w:szCs w:val="24"/>
          <w:lang w:val="en-US" w:eastAsia="zh-CN"/>
        </w:rPr>
        <w:t>19</w:t>
      </w:r>
      <w:r>
        <w:rPr>
          <w:rFonts w:hint="eastAsia" w:hAnsi="宋体"/>
          <w:spacing w:val="-4"/>
          <w:kern w:val="2"/>
          <w:sz w:val="24"/>
          <w:szCs w:val="24"/>
        </w:rPr>
        <w:t>.1在投标截止时间以后上传的投标文件，采购代理机构将拒绝接收。</w:t>
      </w:r>
    </w:p>
    <w:p w14:paraId="11FBF74A">
      <w:pPr>
        <w:snapToGrid w:val="0"/>
        <w:spacing w:line="430" w:lineRule="exact"/>
        <w:textAlignment w:val="baseline"/>
        <w:rPr>
          <w:rFonts w:hAnsi="宋体"/>
          <w:b/>
          <w:bCs/>
          <w:spacing w:val="-4"/>
          <w:kern w:val="2"/>
          <w:sz w:val="24"/>
          <w:szCs w:val="24"/>
        </w:rPr>
      </w:pPr>
      <w:r>
        <w:rPr>
          <w:rFonts w:hint="eastAsia" w:hAnsi="宋体"/>
          <w:b/>
          <w:bCs/>
          <w:spacing w:val="-4"/>
          <w:kern w:val="2"/>
          <w:sz w:val="24"/>
          <w:szCs w:val="24"/>
        </w:rPr>
        <w:t>21、投标文件的修改和撤回</w:t>
      </w:r>
    </w:p>
    <w:p w14:paraId="0D4ED326">
      <w:pPr>
        <w:snapToGrid w:val="0"/>
        <w:spacing w:line="430" w:lineRule="exact"/>
        <w:ind w:left="7" w:hanging="7"/>
        <w:textAlignment w:val="baseline"/>
        <w:rPr>
          <w:rFonts w:hAnsi="宋体"/>
          <w:spacing w:val="-4"/>
          <w:kern w:val="2"/>
          <w:sz w:val="24"/>
          <w:szCs w:val="24"/>
        </w:rPr>
      </w:pPr>
      <w:r>
        <w:rPr>
          <w:rFonts w:hint="eastAsia" w:hAnsi="宋体"/>
          <w:spacing w:val="-4"/>
          <w:kern w:val="2"/>
          <w:sz w:val="24"/>
          <w:szCs w:val="24"/>
        </w:rPr>
        <w:t>2</w:t>
      </w:r>
      <w:r>
        <w:rPr>
          <w:rFonts w:hint="eastAsia" w:hAnsi="宋体"/>
          <w:spacing w:val="-4"/>
          <w:kern w:val="2"/>
          <w:sz w:val="24"/>
          <w:szCs w:val="24"/>
          <w:lang w:val="en-US" w:eastAsia="zh-CN"/>
        </w:rPr>
        <w:t>0</w:t>
      </w:r>
      <w:r>
        <w:rPr>
          <w:rFonts w:hAnsi="宋体"/>
          <w:spacing w:val="-4"/>
          <w:kern w:val="2"/>
          <w:sz w:val="24"/>
          <w:szCs w:val="24"/>
        </w:rPr>
        <w:t>.1</w:t>
      </w:r>
      <w:r>
        <w:rPr>
          <w:rFonts w:hint="eastAsia" w:hAnsi="宋体"/>
          <w:spacing w:val="-4"/>
          <w:kern w:val="2"/>
          <w:sz w:val="24"/>
          <w:szCs w:val="24"/>
        </w:rPr>
        <w:t>在投标截止时间前，投标人修改或撤回投标文件的，投标人可以修改投标文件或撤回其投标。</w:t>
      </w:r>
    </w:p>
    <w:p w14:paraId="2EE035F5">
      <w:pPr>
        <w:snapToGrid w:val="0"/>
        <w:spacing w:line="430" w:lineRule="exact"/>
        <w:ind w:left="7" w:hanging="7"/>
        <w:textAlignment w:val="baseline"/>
        <w:rPr>
          <w:rFonts w:hAnsi="宋体"/>
          <w:spacing w:val="-4"/>
          <w:kern w:val="2"/>
          <w:sz w:val="24"/>
          <w:szCs w:val="24"/>
        </w:rPr>
      </w:pPr>
      <w:r>
        <w:rPr>
          <w:rFonts w:hint="eastAsia" w:hAnsi="宋体"/>
          <w:spacing w:val="-4"/>
          <w:kern w:val="2"/>
          <w:sz w:val="24"/>
          <w:szCs w:val="24"/>
        </w:rPr>
        <w:t>2</w:t>
      </w:r>
      <w:r>
        <w:rPr>
          <w:rFonts w:hint="eastAsia" w:hAnsi="宋体"/>
          <w:spacing w:val="-4"/>
          <w:kern w:val="2"/>
          <w:sz w:val="24"/>
          <w:szCs w:val="24"/>
          <w:lang w:val="en-US" w:eastAsia="zh-CN"/>
        </w:rPr>
        <w:t>0</w:t>
      </w:r>
      <w:r>
        <w:rPr>
          <w:rFonts w:hAnsi="宋体"/>
          <w:spacing w:val="-4"/>
          <w:kern w:val="2"/>
          <w:sz w:val="24"/>
          <w:szCs w:val="24"/>
        </w:rPr>
        <w:t>.</w:t>
      </w:r>
      <w:r>
        <w:rPr>
          <w:rFonts w:hint="eastAsia" w:hAnsi="宋体"/>
          <w:spacing w:val="-4"/>
          <w:kern w:val="2"/>
          <w:sz w:val="24"/>
          <w:szCs w:val="24"/>
        </w:rPr>
        <w:t>2从投标截止期至投标有效期期满这段时间内，投标人不得撤回其投标，否则不予退还其交纳的投标保证金。</w:t>
      </w:r>
    </w:p>
    <w:p w14:paraId="778C5BF0">
      <w:pPr>
        <w:snapToGrid w:val="0"/>
        <w:spacing w:line="430" w:lineRule="exact"/>
        <w:textAlignment w:val="baseline"/>
        <w:rPr>
          <w:rFonts w:hAnsi="宋体"/>
          <w:b/>
          <w:bCs/>
          <w:spacing w:val="-4"/>
          <w:kern w:val="2"/>
          <w:sz w:val="28"/>
          <w:szCs w:val="28"/>
        </w:rPr>
      </w:pPr>
      <w:bookmarkStart w:id="63" w:name="_Toc83626623"/>
      <w:bookmarkStart w:id="64" w:name="_Toc7672"/>
      <w:bookmarkStart w:id="65" w:name="_Toc31967"/>
      <w:bookmarkStart w:id="66" w:name="_Toc83627161"/>
      <w:r>
        <w:rPr>
          <w:rFonts w:hint="eastAsia" w:hAnsi="宋体"/>
          <w:b/>
          <w:bCs/>
          <w:spacing w:val="-4"/>
          <w:kern w:val="2"/>
          <w:sz w:val="28"/>
          <w:szCs w:val="28"/>
        </w:rPr>
        <w:t>六、开标与评标</w:t>
      </w:r>
      <w:bookmarkEnd w:id="60"/>
      <w:bookmarkEnd w:id="61"/>
      <w:bookmarkEnd w:id="62"/>
      <w:bookmarkEnd w:id="63"/>
      <w:bookmarkEnd w:id="64"/>
      <w:bookmarkEnd w:id="65"/>
      <w:bookmarkEnd w:id="66"/>
    </w:p>
    <w:p w14:paraId="64309B13">
      <w:pPr>
        <w:snapToGrid w:val="0"/>
        <w:spacing w:line="460" w:lineRule="exact"/>
        <w:textAlignment w:val="baseline"/>
        <w:rPr>
          <w:rFonts w:hAnsi="宋体"/>
          <w:b/>
          <w:sz w:val="24"/>
          <w:szCs w:val="24"/>
        </w:rPr>
      </w:pPr>
      <w:bookmarkStart w:id="67" w:name="_Toc286758331"/>
      <w:r>
        <w:rPr>
          <w:rFonts w:hint="eastAsia" w:hAnsi="宋体"/>
          <w:b/>
          <w:sz w:val="24"/>
          <w:szCs w:val="24"/>
        </w:rPr>
        <w:t>2</w:t>
      </w:r>
      <w:r>
        <w:rPr>
          <w:rFonts w:hint="eastAsia" w:hAnsi="宋体"/>
          <w:b/>
          <w:sz w:val="24"/>
          <w:szCs w:val="24"/>
          <w:lang w:val="en-US" w:eastAsia="zh-CN"/>
        </w:rPr>
        <w:t>1</w:t>
      </w:r>
      <w:r>
        <w:rPr>
          <w:rFonts w:hint="eastAsia" w:hAnsi="宋体"/>
          <w:b/>
          <w:sz w:val="24"/>
          <w:szCs w:val="24"/>
        </w:rPr>
        <w:t>.开标</w:t>
      </w:r>
      <w:bookmarkEnd w:id="67"/>
    </w:p>
    <w:p w14:paraId="2865104D">
      <w:pPr>
        <w:snapToGrid w:val="0"/>
        <w:spacing w:line="460" w:lineRule="exact"/>
        <w:textAlignment w:val="baseline"/>
        <w:rPr>
          <w:rFonts w:hAnsi="宋体"/>
          <w:sz w:val="24"/>
          <w:szCs w:val="24"/>
        </w:rPr>
      </w:pPr>
      <w:r>
        <w:rPr>
          <w:rFonts w:hint="eastAsia" w:hAnsi="宋体"/>
          <w:sz w:val="24"/>
          <w:szCs w:val="24"/>
        </w:rPr>
        <w:t>2</w:t>
      </w:r>
      <w:r>
        <w:rPr>
          <w:rFonts w:hint="eastAsia" w:hAnsi="宋体"/>
          <w:sz w:val="24"/>
          <w:szCs w:val="24"/>
          <w:lang w:val="en-US" w:eastAsia="zh-CN"/>
        </w:rPr>
        <w:t>1</w:t>
      </w:r>
      <w:r>
        <w:rPr>
          <w:rFonts w:hAnsi="宋体"/>
          <w:sz w:val="24"/>
          <w:szCs w:val="24"/>
        </w:rPr>
        <w:t>.1</w:t>
      </w:r>
      <w:r>
        <w:rPr>
          <w:rFonts w:hint="eastAsia" w:hAnsi="宋体"/>
          <w:sz w:val="24"/>
          <w:szCs w:val="24"/>
        </w:rPr>
        <w:t>采购代理机构在“投标邀请”中规定的时间和地点组织公开开标。开标时，</w:t>
      </w:r>
      <w:r>
        <w:rPr>
          <w:rFonts w:hint="eastAsia" w:ascii="Times New Roman"/>
          <w:bCs/>
          <w:sz w:val="24"/>
        </w:rPr>
        <w:t>在投标截止时间前，各投标人必须按要求进行现场签到。</w:t>
      </w:r>
    </w:p>
    <w:p w14:paraId="765E1B4E">
      <w:pPr>
        <w:snapToGrid w:val="0"/>
        <w:spacing w:line="460" w:lineRule="exact"/>
        <w:textAlignment w:val="baseline"/>
        <w:rPr>
          <w:rFonts w:hAnsi="宋体"/>
          <w:sz w:val="24"/>
          <w:szCs w:val="24"/>
        </w:rPr>
      </w:pPr>
      <w:r>
        <w:rPr>
          <w:rFonts w:hint="eastAsia" w:hAnsi="宋体"/>
          <w:sz w:val="24"/>
          <w:szCs w:val="24"/>
        </w:rPr>
        <w:t>2</w:t>
      </w:r>
      <w:r>
        <w:rPr>
          <w:rFonts w:hint="eastAsia" w:hAnsi="宋体"/>
          <w:sz w:val="24"/>
          <w:szCs w:val="24"/>
          <w:lang w:val="en-US" w:eastAsia="zh-CN"/>
        </w:rPr>
        <w:t>1</w:t>
      </w:r>
      <w:r>
        <w:rPr>
          <w:rFonts w:hAnsi="宋体"/>
          <w:sz w:val="24"/>
          <w:szCs w:val="24"/>
        </w:rPr>
        <w:t>.2</w:t>
      </w:r>
      <w:r>
        <w:rPr>
          <w:rFonts w:hint="eastAsia" w:hAnsi="宋体"/>
          <w:sz w:val="24"/>
          <w:szCs w:val="24"/>
        </w:rPr>
        <w:t>开标时，采购代理机构将宣读投标人名称、投标总价、交货期、交货地点、投标声明以及采购代理机构认为合适的其他内容。</w:t>
      </w:r>
    </w:p>
    <w:p w14:paraId="30FE1267">
      <w:pPr>
        <w:snapToGrid w:val="0"/>
        <w:spacing w:line="460" w:lineRule="exact"/>
        <w:ind w:left="7" w:hanging="7"/>
        <w:textAlignment w:val="baseline"/>
        <w:rPr>
          <w:rFonts w:hAnsi="宋体"/>
          <w:sz w:val="24"/>
          <w:szCs w:val="24"/>
        </w:rPr>
      </w:pPr>
      <w:bookmarkStart w:id="68" w:name="_Toc286758332"/>
      <w:r>
        <w:rPr>
          <w:rFonts w:hint="eastAsia" w:hAnsi="宋体"/>
          <w:sz w:val="24"/>
          <w:szCs w:val="24"/>
        </w:rPr>
        <w:t>2</w:t>
      </w:r>
      <w:r>
        <w:rPr>
          <w:rFonts w:hint="eastAsia" w:hAnsi="宋体"/>
          <w:sz w:val="24"/>
          <w:szCs w:val="24"/>
          <w:lang w:val="en-US" w:eastAsia="zh-CN"/>
        </w:rPr>
        <w:t>1</w:t>
      </w:r>
      <w:r>
        <w:rPr>
          <w:rFonts w:hint="eastAsia" w:hAnsi="宋体"/>
          <w:sz w:val="24"/>
          <w:szCs w:val="24"/>
        </w:rPr>
        <w:t>.3只有开标时唱出的投标声明，在评标时才予以考虑。在开标时没有宣读的投标文件，在评标时将不予考虑。</w:t>
      </w:r>
      <w:bookmarkEnd w:id="68"/>
    </w:p>
    <w:p w14:paraId="3E0BCF5C">
      <w:pPr>
        <w:snapToGrid w:val="0"/>
        <w:spacing w:line="460" w:lineRule="exact"/>
        <w:textAlignment w:val="baseline"/>
        <w:rPr>
          <w:rFonts w:hAnsi="宋体"/>
          <w:b/>
          <w:sz w:val="24"/>
          <w:szCs w:val="24"/>
        </w:rPr>
      </w:pPr>
      <w:bookmarkStart w:id="69" w:name="_Toc286758333"/>
      <w:bookmarkStart w:id="70" w:name="_Toc262628244"/>
      <w:bookmarkStart w:id="71" w:name="_Toc262628245"/>
      <w:bookmarkStart w:id="72" w:name="_Toc286758334"/>
      <w:r>
        <w:rPr>
          <w:rFonts w:hint="eastAsia" w:hAnsi="宋体"/>
          <w:b/>
          <w:sz w:val="24"/>
          <w:szCs w:val="24"/>
        </w:rPr>
        <w:t>2</w:t>
      </w:r>
      <w:r>
        <w:rPr>
          <w:rFonts w:hint="eastAsia" w:hAnsi="宋体"/>
          <w:b/>
          <w:sz w:val="24"/>
          <w:szCs w:val="24"/>
          <w:lang w:val="en-US" w:eastAsia="zh-CN"/>
        </w:rPr>
        <w:t>2</w:t>
      </w:r>
      <w:r>
        <w:rPr>
          <w:rFonts w:hint="eastAsia" w:hAnsi="宋体"/>
          <w:b/>
          <w:sz w:val="24"/>
          <w:szCs w:val="24"/>
        </w:rPr>
        <w:t>.投标文件的初审</w:t>
      </w:r>
      <w:bookmarkEnd w:id="69"/>
      <w:bookmarkEnd w:id="70"/>
    </w:p>
    <w:p w14:paraId="3C713B50">
      <w:pPr>
        <w:snapToGrid w:val="0"/>
        <w:spacing w:line="460" w:lineRule="exact"/>
        <w:textAlignment w:val="baseline"/>
        <w:rPr>
          <w:rFonts w:hAnsi="宋体"/>
          <w:sz w:val="24"/>
          <w:szCs w:val="24"/>
        </w:rPr>
      </w:pPr>
      <w:r>
        <w:rPr>
          <w:rFonts w:hint="eastAsia" w:hAnsi="宋体"/>
          <w:sz w:val="24"/>
          <w:szCs w:val="24"/>
        </w:rPr>
        <w:t>2</w:t>
      </w:r>
      <w:r>
        <w:rPr>
          <w:rFonts w:hint="eastAsia" w:hAnsi="宋体"/>
          <w:sz w:val="24"/>
          <w:szCs w:val="24"/>
          <w:lang w:val="en-US" w:eastAsia="zh-CN"/>
        </w:rPr>
        <w:t>2</w:t>
      </w:r>
      <w:r>
        <w:rPr>
          <w:rFonts w:hint="eastAsia" w:hAnsi="宋体"/>
          <w:sz w:val="24"/>
          <w:szCs w:val="24"/>
        </w:rPr>
        <w:t>.1投标文件的初审分为：</w:t>
      </w:r>
    </w:p>
    <w:p w14:paraId="795718AB">
      <w:pPr>
        <w:snapToGrid w:val="0"/>
        <w:spacing w:line="460" w:lineRule="exact"/>
        <w:ind w:left="5" w:hanging="5"/>
        <w:textAlignment w:val="baseline"/>
        <w:rPr>
          <w:rFonts w:hAnsi="宋体"/>
          <w:sz w:val="24"/>
          <w:szCs w:val="24"/>
        </w:rPr>
      </w:pPr>
      <w:r>
        <w:rPr>
          <w:rFonts w:hint="eastAsia" w:hAnsi="宋体"/>
          <w:sz w:val="24"/>
          <w:szCs w:val="24"/>
        </w:rPr>
        <w:t>1）资格性检查。采购人（或者采购代理机构）依据法律法规和招标文件的规定对投标人的资格进行审查，以确定投标人是否具备投标资格。投标人不符合招标文件规定资格要求的为不具备投标资格。</w:t>
      </w:r>
    </w:p>
    <w:p w14:paraId="74A7FBD6">
      <w:pPr>
        <w:snapToGrid w:val="0"/>
        <w:spacing w:line="460" w:lineRule="exact"/>
        <w:ind w:left="-1"/>
        <w:textAlignment w:val="baseline"/>
        <w:rPr>
          <w:rFonts w:hAnsi="宋体"/>
          <w:sz w:val="24"/>
          <w:szCs w:val="24"/>
        </w:rPr>
      </w:pPr>
      <w:r>
        <w:rPr>
          <w:rFonts w:hint="eastAsia" w:hAnsi="宋体"/>
          <w:sz w:val="24"/>
          <w:szCs w:val="24"/>
        </w:rPr>
        <w:t>2）符合性检查。依据招标文件的规定，对投标文件的有效性、完整性和对招标文件的响应程度、有无计算错误进行审查，以确定是否对招标文件的实质性要求作出响应。</w:t>
      </w:r>
    </w:p>
    <w:p w14:paraId="0511E67E">
      <w:pPr>
        <w:snapToGrid w:val="0"/>
        <w:spacing w:line="460" w:lineRule="exact"/>
        <w:ind w:left="567" w:hanging="567"/>
        <w:textAlignment w:val="baseline"/>
        <w:rPr>
          <w:rFonts w:hAnsi="宋体"/>
          <w:sz w:val="24"/>
          <w:szCs w:val="24"/>
        </w:rPr>
      </w:pPr>
      <w:r>
        <w:rPr>
          <w:rFonts w:hint="eastAsia" w:hAnsi="宋体"/>
          <w:sz w:val="24"/>
          <w:szCs w:val="24"/>
        </w:rPr>
        <w:t>2</w:t>
      </w:r>
      <w:r>
        <w:rPr>
          <w:rFonts w:hint="eastAsia" w:hAnsi="宋体"/>
          <w:sz w:val="24"/>
          <w:szCs w:val="24"/>
          <w:lang w:val="en-US" w:eastAsia="zh-CN"/>
        </w:rPr>
        <w:t>2</w:t>
      </w:r>
      <w:r>
        <w:rPr>
          <w:rFonts w:hAnsi="宋体"/>
          <w:sz w:val="24"/>
          <w:szCs w:val="24"/>
        </w:rPr>
        <w:t xml:space="preserve">.2 </w:t>
      </w:r>
      <w:r>
        <w:rPr>
          <w:rFonts w:hint="eastAsia" w:hAnsi="宋体"/>
          <w:sz w:val="24"/>
          <w:szCs w:val="24"/>
        </w:rPr>
        <w:t>初审中，算术计算错误将按以下方法更正：</w:t>
      </w:r>
    </w:p>
    <w:p w14:paraId="7C4EA298">
      <w:pPr>
        <w:snapToGrid w:val="0"/>
        <w:spacing w:line="460" w:lineRule="exact"/>
        <w:ind w:left="14" w:hanging="14" w:hangingChars="6"/>
        <w:textAlignment w:val="baseline"/>
        <w:rPr>
          <w:rFonts w:hAnsi="宋体"/>
          <w:sz w:val="24"/>
          <w:szCs w:val="24"/>
        </w:rPr>
      </w:pPr>
      <w:r>
        <w:rPr>
          <w:rFonts w:hint="eastAsia" w:hAnsi="宋体"/>
          <w:sz w:val="24"/>
          <w:szCs w:val="24"/>
        </w:rPr>
        <w:t>1）如果开标一览表（报价表）内容与投标文件中开标一览明细表内容不一致的，以开标一览表（报价表）为准。</w:t>
      </w:r>
    </w:p>
    <w:p w14:paraId="28039A95">
      <w:pPr>
        <w:snapToGrid w:val="0"/>
        <w:spacing w:line="460" w:lineRule="exact"/>
        <w:ind w:left="17" w:hanging="16" w:hangingChars="7"/>
        <w:textAlignment w:val="baseline"/>
        <w:rPr>
          <w:rFonts w:hAnsi="宋体"/>
          <w:sz w:val="24"/>
          <w:szCs w:val="24"/>
        </w:rPr>
      </w:pPr>
      <w:r>
        <w:rPr>
          <w:rFonts w:hint="eastAsia" w:hAnsi="宋体"/>
          <w:sz w:val="24"/>
          <w:szCs w:val="24"/>
        </w:rPr>
        <w:t>2）投标文件的大写金额和小写金额不一致的，以大写金额为准；总价金额与按单价汇总金额不一致的，以单价金额计算结果为准；单价金额小数点有明显错位的，应以总价为准，并修改单价；</w:t>
      </w:r>
    </w:p>
    <w:p w14:paraId="3AF8E2CA">
      <w:pPr>
        <w:snapToGrid w:val="0"/>
        <w:spacing w:line="460" w:lineRule="exact"/>
        <w:textAlignment w:val="baseline"/>
        <w:rPr>
          <w:rFonts w:hAnsi="宋体"/>
          <w:sz w:val="24"/>
          <w:szCs w:val="24"/>
        </w:rPr>
      </w:pPr>
      <w:r>
        <w:rPr>
          <w:rFonts w:hint="eastAsia" w:hAnsi="宋体"/>
          <w:sz w:val="24"/>
          <w:szCs w:val="24"/>
        </w:rPr>
        <w:t>3</w:t>
      </w:r>
      <w:r>
        <w:rPr>
          <w:rFonts w:hAnsi="宋体"/>
          <w:sz w:val="24"/>
          <w:szCs w:val="24"/>
        </w:rPr>
        <w:t xml:space="preserve">) </w:t>
      </w:r>
      <w:r>
        <w:rPr>
          <w:rFonts w:hint="eastAsia" w:hAnsi="宋体"/>
          <w:sz w:val="24"/>
          <w:szCs w:val="24"/>
        </w:rPr>
        <w:t>如果投标人不同意对其错误的更正，其投标被视为无效投标。</w:t>
      </w:r>
    </w:p>
    <w:p w14:paraId="1AFCE2E5">
      <w:pPr>
        <w:snapToGrid w:val="0"/>
        <w:spacing w:line="460" w:lineRule="exact"/>
        <w:ind w:left="-1"/>
        <w:textAlignment w:val="baseline"/>
        <w:rPr>
          <w:rFonts w:hAnsi="宋体"/>
          <w:bCs/>
          <w:sz w:val="24"/>
          <w:szCs w:val="24"/>
        </w:rPr>
      </w:pPr>
      <w:r>
        <w:rPr>
          <w:rFonts w:hint="eastAsia" w:hAnsi="宋体"/>
          <w:sz w:val="24"/>
          <w:szCs w:val="24"/>
        </w:rPr>
        <w:t>2</w:t>
      </w:r>
      <w:r>
        <w:rPr>
          <w:rFonts w:hint="eastAsia" w:hAnsi="宋体"/>
          <w:sz w:val="24"/>
          <w:szCs w:val="24"/>
          <w:lang w:val="en-US" w:eastAsia="zh-CN"/>
        </w:rPr>
        <w:t>2</w:t>
      </w:r>
      <w:r>
        <w:rPr>
          <w:rFonts w:hAnsi="宋体"/>
          <w:sz w:val="24"/>
          <w:szCs w:val="24"/>
        </w:rPr>
        <w:t>.3</w:t>
      </w:r>
      <w:r>
        <w:rPr>
          <w:rFonts w:hint="eastAsia" w:hAnsi="宋体"/>
          <w:sz w:val="24"/>
          <w:szCs w:val="24"/>
        </w:rPr>
        <w:t xml:space="preserve"> 评标委员会可以允许投标文件中存在不构成实质性偏差的不正规、不一致或不规范，但不能损害或影响任何投标人的相对排序。</w:t>
      </w:r>
      <w:bookmarkEnd w:id="71"/>
      <w:bookmarkEnd w:id="72"/>
    </w:p>
    <w:p w14:paraId="22026CB6">
      <w:pPr>
        <w:snapToGrid w:val="0"/>
        <w:spacing w:line="460" w:lineRule="exact"/>
        <w:textAlignment w:val="baseline"/>
        <w:rPr>
          <w:rFonts w:hAnsi="宋体"/>
          <w:sz w:val="24"/>
          <w:szCs w:val="24"/>
        </w:rPr>
      </w:pPr>
      <w:r>
        <w:rPr>
          <w:rFonts w:hint="eastAsia" w:hAnsi="宋体"/>
          <w:sz w:val="24"/>
          <w:szCs w:val="24"/>
        </w:rPr>
        <w:t>2</w:t>
      </w:r>
      <w:r>
        <w:rPr>
          <w:rFonts w:hint="eastAsia" w:hAnsi="宋体"/>
          <w:sz w:val="24"/>
          <w:szCs w:val="24"/>
          <w:lang w:val="en-US" w:eastAsia="zh-CN"/>
        </w:rPr>
        <w:t>2</w:t>
      </w:r>
      <w:r>
        <w:rPr>
          <w:rFonts w:hint="eastAsia" w:hAnsi="宋体"/>
          <w:sz w:val="24"/>
          <w:szCs w:val="24"/>
        </w:rPr>
        <w:t>.4实质上没有响应招标文件要求的投标被视为无效投标。投标人不得通过修正或撤消不合要求的偏离或保留从而使投标成为实质上响应的投标。具体内容详见“符合性审查”。</w:t>
      </w:r>
    </w:p>
    <w:p w14:paraId="5EEFD6CA">
      <w:pPr>
        <w:snapToGrid w:val="0"/>
        <w:spacing w:line="460" w:lineRule="exact"/>
        <w:ind w:left="-1"/>
        <w:textAlignment w:val="baseline"/>
        <w:rPr>
          <w:rFonts w:hAnsi="宋体"/>
          <w:sz w:val="24"/>
          <w:szCs w:val="24"/>
        </w:rPr>
      </w:pPr>
      <w:r>
        <w:rPr>
          <w:rFonts w:hint="eastAsia" w:hAnsi="宋体"/>
          <w:sz w:val="24"/>
          <w:szCs w:val="24"/>
        </w:rPr>
        <w:t>2</w:t>
      </w:r>
      <w:r>
        <w:rPr>
          <w:rFonts w:hint="eastAsia" w:hAnsi="宋体"/>
          <w:sz w:val="24"/>
          <w:szCs w:val="24"/>
          <w:lang w:val="en-US" w:eastAsia="zh-CN"/>
        </w:rPr>
        <w:t>2</w:t>
      </w:r>
      <w:r>
        <w:rPr>
          <w:rFonts w:hAnsi="宋体"/>
          <w:sz w:val="24"/>
          <w:szCs w:val="24"/>
        </w:rPr>
        <w:t>.5</w:t>
      </w:r>
      <w:r>
        <w:rPr>
          <w:rFonts w:hint="eastAsia" w:hAnsi="宋体"/>
          <w:sz w:val="24"/>
          <w:szCs w:val="24"/>
        </w:rPr>
        <w:t>评标委员会决定投标的响应性只根据投标本身的真实无误的内容，而不依据外部的证据。</w:t>
      </w:r>
    </w:p>
    <w:p w14:paraId="7CD72247">
      <w:pPr>
        <w:snapToGrid w:val="0"/>
        <w:spacing w:line="460" w:lineRule="exact"/>
        <w:textAlignment w:val="baseline"/>
        <w:rPr>
          <w:rFonts w:hAnsi="宋体"/>
          <w:b/>
          <w:sz w:val="24"/>
          <w:szCs w:val="24"/>
        </w:rPr>
      </w:pPr>
      <w:r>
        <w:rPr>
          <w:rFonts w:hint="eastAsia" w:hAnsi="宋体"/>
          <w:b/>
          <w:sz w:val="24"/>
          <w:szCs w:val="24"/>
        </w:rPr>
        <w:t>2</w:t>
      </w:r>
      <w:r>
        <w:rPr>
          <w:rFonts w:hint="eastAsia" w:hAnsi="宋体"/>
          <w:b/>
          <w:sz w:val="24"/>
          <w:szCs w:val="24"/>
          <w:lang w:val="en-US" w:eastAsia="zh-CN"/>
        </w:rPr>
        <w:t>3</w:t>
      </w:r>
      <w:r>
        <w:rPr>
          <w:rFonts w:hint="eastAsia" w:hAnsi="宋体"/>
          <w:b/>
          <w:sz w:val="24"/>
          <w:szCs w:val="24"/>
        </w:rPr>
        <w:t>. 投标的澄清</w:t>
      </w:r>
    </w:p>
    <w:p w14:paraId="4A343FBA">
      <w:pPr>
        <w:snapToGrid w:val="0"/>
        <w:spacing w:line="460" w:lineRule="exact"/>
        <w:textAlignment w:val="baseline"/>
        <w:rPr>
          <w:rFonts w:hAnsi="宋体"/>
          <w:sz w:val="24"/>
          <w:szCs w:val="24"/>
        </w:rPr>
      </w:pPr>
      <w:r>
        <w:rPr>
          <w:rFonts w:hint="eastAsia" w:hAnsi="宋体"/>
          <w:sz w:val="24"/>
          <w:szCs w:val="24"/>
        </w:rPr>
        <w:t>2</w:t>
      </w:r>
      <w:r>
        <w:rPr>
          <w:rFonts w:hint="eastAsia" w:hAnsi="宋体"/>
          <w:sz w:val="24"/>
          <w:szCs w:val="24"/>
          <w:lang w:val="en-US" w:eastAsia="zh-CN"/>
        </w:rPr>
        <w:t>3</w:t>
      </w:r>
      <w:r>
        <w:rPr>
          <w:rFonts w:hAnsi="宋体"/>
          <w:sz w:val="24"/>
          <w:szCs w:val="24"/>
        </w:rPr>
        <w:t>.1</w:t>
      </w:r>
      <w:r>
        <w:rPr>
          <w:rFonts w:hint="eastAsia" w:hAnsi="宋体"/>
          <w:sz w:val="24"/>
          <w:szCs w:val="24"/>
        </w:rPr>
        <w:t>在评标期间，评标委员会可要求投标人对其投标文件进行澄清，但澄清不得对投标价格等实质内容做任何修改。有关澄清的要求和答复均应以书面形式提交，投标人的澄清、说明书面材料，由其授权的代表签字。</w:t>
      </w:r>
    </w:p>
    <w:p w14:paraId="6648BFB7">
      <w:pPr>
        <w:snapToGrid w:val="0"/>
        <w:spacing w:line="460" w:lineRule="exact"/>
        <w:textAlignment w:val="baseline"/>
        <w:rPr>
          <w:rFonts w:hAnsi="宋体"/>
          <w:b/>
          <w:sz w:val="24"/>
          <w:szCs w:val="24"/>
        </w:rPr>
      </w:pPr>
      <w:bookmarkStart w:id="73" w:name="_Toc262628246"/>
      <w:bookmarkStart w:id="74" w:name="_Toc286758335"/>
      <w:r>
        <w:rPr>
          <w:rFonts w:hint="eastAsia" w:hAnsi="宋体"/>
          <w:b/>
          <w:sz w:val="24"/>
          <w:szCs w:val="24"/>
        </w:rPr>
        <w:t>2</w:t>
      </w:r>
      <w:r>
        <w:rPr>
          <w:rFonts w:hint="eastAsia" w:hAnsi="宋体"/>
          <w:b/>
          <w:sz w:val="24"/>
          <w:szCs w:val="24"/>
          <w:lang w:val="en-US" w:eastAsia="zh-CN"/>
        </w:rPr>
        <w:t>4</w:t>
      </w:r>
      <w:r>
        <w:rPr>
          <w:rFonts w:hint="eastAsia" w:hAnsi="宋体"/>
          <w:b/>
          <w:sz w:val="24"/>
          <w:szCs w:val="24"/>
        </w:rPr>
        <w:t>.投标的评价与比较</w:t>
      </w:r>
      <w:bookmarkEnd w:id="73"/>
      <w:bookmarkEnd w:id="74"/>
    </w:p>
    <w:p w14:paraId="304C6123">
      <w:pPr>
        <w:snapToGrid w:val="0"/>
        <w:spacing w:line="460" w:lineRule="exact"/>
        <w:textAlignment w:val="baseline"/>
        <w:rPr>
          <w:rFonts w:hAnsi="宋体"/>
          <w:sz w:val="24"/>
          <w:szCs w:val="24"/>
        </w:rPr>
      </w:pPr>
      <w:r>
        <w:rPr>
          <w:rFonts w:hint="eastAsia" w:hAnsi="宋体"/>
          <w:sz w:val="24"/>
          <w:szCs w:val="24"/>
        </w:rPr>
        <w:t>2</w:t>
      </w:r>
      <w:r>
        <w:rPr>
          <w:rFonts w:hint="eastAsia" w:hAnsi="宋体"/>
          <w:sz w:val="24"/>
          <w:szCs w:val="24"/>
          <w:lang w:val="en-US" w:eastAsia="zh-CN"/>
        </w:rPr>
        <w:t>4</w:t>
      </w:r>
      <w:r>
        <w:rPr>
          <w:rFonts w:hAnsi="宋体"/>
          <w:sz w:val="24"/>
          <w:szCs w:val="24"/>
        </w:rPr>
        <w:t>.1</w:t>
      </w:r>
      <w:r>
        <w:rPr>
          <w:rFonts w:hint="eastAsia" w:hAnsi="宋体"/>
          <w:sz w:val="24"/>
          <w:szCs w:val="24"/>
        </w:rPr>
        <w:t>评标委员会将按照本项目的“评审办法”，对符合性检查合格的投标文件进行商务和技术评审，综合比较与评价。</w:t>
      </w:r>
    </w:p>
    <w:p w14:paraId="4C9B8556">
      <w:pPr>
        <w:snapToGrid w:val="0"/>
        <w:spacing w:line="460" w:lineRule="exact"/>
        <w:textAlignment w:val="baseline"/>
        <w:rPr>
          <w:rFonts w:hAnsi="宋体"/>
          <w:b/>
          <w:sz w:val="24"/>
          <w:szCs w:val="24"/>
        </w:rPr>
      </w:pPr>
      <w:bookmarkStart w:id="75" w:name="_Toc286758336"/>
      <w:r>
        <w:rPr>
          <w:rFonts w:hint="eastAsia" w:hAnsi="宋体"/>
          <w:b/>
          <w:sz w:val="24"/>
          <w:szCs w:val="24"/>
        </w:rPr>
        <w:t>2</w:t>
      </w:r>
      <w:r>
        <w:rPr>
          <w:rFonts w:hint="eastAsia" w:hAnsi="宋体"/>
          <w:b/>
          <w:sz w:val="24"/>
          <w:szCs w:val="24"/>
          <w:lang w:val="en-US" w:eastAsia="zh-CN"/>
        </w:rPr>
        <w:t>5</w:t>
      </w:r>
      <w:r>
        <w:rPr>
          <w:rFonts w:hint="eastAsia" w:hAnsi="宋体"/>
          <w:b/>
          <w:sz w:val="24"/>
          <w:szCs w:val="24"/>
        </w:rPr>
        <w:t>. 评标委员会和评标办法</w:t>
      </w:r>
      <w:bookmarkEnd w:id="75"/>
    </w:p>
    <w:p w14:paraId="46074B0D">
      <w:pPr>
        <w:snapToGrid w:val="0"/>
        <w:spacing w:line="460" w:lineRule="exact"/>
        <w:ind w:left="567" w:hanging="567"/>
        <w:textAlignment w:val="baseline"/>
        <w:rPr>
          <w:rFonts w:hAnsi="宋体"/>
          <w:sz w:val="24"/>
          <w:szCs w:val="24"/>
        </w:rPr>
      </w:pPr>
      <w:r>
        <w:rPr>
          <w:rFonts w:hint="eastAsia" w:hAnsi="宋体"/>
          <w:sz w:val="24"/>
          <w:szCs w:val="24"/>
        </w:rPr>
        <w:t>2</w:t>
      </w:r>
      <w:r>
        <w:rPr>
          <w:rFonts w:hint="eastAsia" w:hAnsi="宋体"/>
          <w:sz w:val="24"/>
          <w:szCs w:val="24"/>
          <w:lang w:val="en-US" w:eastAsia="zh-CN"/>
        </w:rPr>
        <w:t>5</w:t>
      </w:r>
      <w:r>
        <w:rPr>
          <w:rFonts w:hAnsi="宋体"/>
          <w:sz w:val="24"/>
          <w:szCs w:val="24"/>
        </w:rPr>
        <w:t>.1</w:t>
      </w:r>
      <w:r>
        <w:rPr>
          <w:rFonts w:hint="eastAsia" w:hAnsi="宋体"/>
          <w:sz w:val="24"/>
          <w:szCs w:val="24"/>
        </w:rPr>
        <w:t>评标由依照有关法规组建的评标委员会负责。</w:t>
      </w:r>
    </w:p>
    <w:p w14:paraId="69231D30">
      <w:pPr>
        <w:snapToGrid w:val="0"/>
        <w:spacing w:line="460" w:lineRule="exact"/>
        <w:textAlignment w:val="baseline"/>
        <w:rPr>
          <w:rFonts w:hAnsi="宋体"/>
          <w:bCs/>
          <w:sz w:val="24"/>
          <w:szCs w:val="24"/>
        </w:rPr>
      </w:pPr>
      <w:r>
        <w:rPr>
          <w:rFonts w:hint="eastAsia" w:hAnsi="宋体"/>
          <w:sz w:val="24"/>
          <w:szCs w:val="24"/>
        </w:rPr>
        <w:t>2</w:t>
      </w:r>
      <w:r>
        <w:rPr>
          <w:rFonts w:hint="eastAsia" w:hAnsi="宋体"/>
          <w:sz w:val="24"/>
          <w:szCs w:val="24"/>
          <w:lang w:val="en-US" w:eastAsia="zh-CN"/>
        </w:rPr>
        <w:t>5</w:t>
      </w:r>
      <w:r>
        <w:rPr>
          <w:rFonts w:hint="eastAsia" w:hAnsi="宋体"/>
          <w:sz w:val="24"/>
          <w:szCs w:val="24"/>
        </w:rPr>
        <w:t>.2</w:t>
      </w:r>
      <w:r>
        <w:rPr>
          <w:rFonts w:hint="eastAsia" w:hAnsi="宋体"/>
          <w:bCs/>
          <w:sz w:val="24"/>
          <w:szCs w:val="24"/>
        </w:rPr>
        <w:t>评标采取综合评分法。评标委员会将按照评审办法，依据招标文件要求对投标文件投标报价、技术、商务等内容进行综合评分，计算出每个投标人的总得分。</w:t>
      </w:r>
    </w:p>
    <w:p w14:paraId="2E7C84AC">
      <w:pPr>
        <w:snapToGrid w:val="0"/>
        <w:spacing w:line="440" w:lineRule="exact"/>
        <w:textAlignment w:val="baseline"/>
        <w:rPr>
          <w:rFonts w:hAnsi="宋体"/>
          <w:bCs/>
          <w:sz w:val="24"/>
          <w:szCs w:val="24"/>
        </w:rPr>
      </w:pPr>
      <w:r>
        <w:rPr>
          <w:rFonts w:hint="eastAsia" w:hAnsi="宋体"/>
          <w:bCs/>
          <w:sz w:val="24"/>
          <w:szCs w:val="24"/>
        </w:rPr>
        <w:t>2</w:t>
      </w:r>
      <w:r>
        <w:rPr>
          <w:rFonts w:hint="eastAsia" w:hAnsi="宋体"/>
          <w:bCs/>
          <w:sz w:val="24"/>
          <w:szCs w:val="24"/>
          <w:lang w:val="en-US" w:eastAsia="zh-CN"/>
        </w:rPr>
        <w:t>5</w:t>
      </w:r>
      <w:r>
        <w:rPr>
          <w:rFonts w:hint="eastAsia" w:hAnsi="宋体"/>
          <w:bCs/>
          <w:sz w:val="24"/>
          <w:szCs w:val="24"/>
        </w:rPr>
        <w:t>.3综合评分总分内容详见“评审办法”。</w:t>
      </w:r>
    </w:p>
    <w:p w14:paraId="18C6BD5F">
      <w:pPr>
        <w:snapToGrid w:val="0"/>
        <w:spacing w:line="440" w:lineRule="exact"/>
        <w:textAlignment w:val="baseline"/>
        <w:rPr>
          <w:rFonts w:hAnsi="宋体"/>
          <w:b/>
          <w:sz w:val="24"/>
          <w:szCs w:val="24"/>
        </w:rPr>
      </w:pPr>
      <w:r>
        <w:rPr>
          <w:rFonts w:hint="eastAsia" w:hAnsi="宋体"/>
          <w:b/>
          <w:sz w:val="24"/>
          <w:szCs w:val="24"/>
        </w:rPr>
        <w:t>2</w:t>
      </w:r>
      <w:r>
        <w:rPr>
          <w:rFonts w:hint="eastAsia" w:hAnsi="宋体"/>
          <w:b/>
          <w:sz w:val="24"/>
          <w:szCs w:val="24"/>
          <w:lang w:val="en-US" w:eastAsia="zh-CN"/>
        </w:rPr>
        <w:t>6</w:t>
      </w:r>
      <w:r>
        <w:rPr>
          <w:rFonts w:hint="eastAsia" w:hAnsi="宋体"/>
          <w:b/>
          <w:sz w:val="24"/>
          <w:szCs w:val="24"/>
        </w:rPr>
        <w:t>.投标无效</w:t>
      </w:r>
    </w:p>
    <w:p w14:paraId="3F26924B">
      <w:pPr>
        <w:snapToGrid w:val="0"/>
        <w:spacing w:line="440" w:lineRule="exact"/>
        <w:textAlignment w:val="baseline"/>
        <w:rPr>
          <w:rFonts w:hAnsi="宋体"/>
          <w:bCs/>
          <w:sz w:val="24"/>
          <w:szCs w:val="24"/>
        </w:rPr>
      </w:pPr>
      <w:r>
        <w:rPr>
          <w:rFonts w:hint="eastAsia" w:hAnsi="宋体"/>
          <w:bCs/>
          <w:sz w:val="24"/>
          <w:szCs w:val="24"/>
        </w:rPr>
        <w:t>2</w:t>
      </w:r>
      <w:r>
        <w:rPr>
          <w:rFonts w:hint="eastAsia" w:hAnsi="宋体"/>
          <w:bCs/>
          <w:sz w:val="24"/>
          <w:szCs w:val="24"/>
          <w:lang w:val="en-US" w:eastAsia="zh-CN"/>
        </w:rPr>
        <w:t>6</w:t>
      </w:r>
      <w:r>
        <w:rPr>
          <w:rFonts w:hint="eastAsia" w:hAnsi="宋体"/>
          <w:bCs/>
          <w:sz w:val="24"/>
          <w:szCs w:val="24"/>
        </w:rPr>
        <w:t xml:space="preserve">.1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 </w:t>
      </w:r>
    </w:p>
    <w:p w14:paraId="041742C9">
      <w:pPr>
        <w:snapToGrid w:val="0"/>
        <w:spacing w:line="440" w:lineRule="exact"/>
        <w:textAlignment w:val="baseline"/>
        <w:rPr>
          <w:rFonts w:hAnsi="宋体"/>
          <w:bCs/>
          <w:sz w:val="24"/>
          <w:szCs w:val="24"/>
        </w:rPr>
      </w:pPr>
      <w:r>
        <w:rPr>
          <w:rFonts w:hint="eastAsia" w:hAnsi="宋体"/>
          <w:bCs/>
          <w:sz w:val="24"/>
          <w:szCs w:val="24"/>
        </w:rPr>
        <w:t>2</w:t>
      </w:r>
      <w:r>
        <w:rPr>
          <w:rFonts w:hint="eastAsia" w:hAnsi="宋体"/>
          <w:bCs/>
          <w:sz w:val="24"/>
          <w:szCs w:val="24"/>
          <w:lang w:val="en-US" w:eastAsia="zh-CN"/>
        </w:rPr>
        <w:t>6</w:t>
      </w:r>
      <w:r>
        <w:rPr>
          <w:rFonts w:hint="eastAsia" w:hAnsi="宋体"/>
          <w:bCs/>
          <w:sz w:val="24"/>
          <w:szCs w:val="24"/>
        </w:rPr>
        <w:t>.2投标人存在下列情况之一的，投标无效:</w:t>
      </w:r>
    </w:p>
    <w:p w14:paraId="49D8934C">
      <w:pPr>
        <w:snapToGrid w:val="0"/>
        <w:spacing w:line="440" w:lineRule="exact"/>
        <w:textAlignment w:val="baseline"/>
        <w:rPr>
          <w:rFonts w:hAnsi="宋体"/>
          <w:bCs/>
          <w:sz w:val="24"/>
          <w:szCs w:val="24"/>
        </w:rPr>
      </w:pPr>
      <w:r>
        <w:rPr>
          <w:rFonts w:hint="eastAsia" w:hAnsi="宋体"/>
          <w:bCs/>
          <w:sz w:val="24"/>
          <w:szCs w:val="24"/>
        </w:rPr>
        <w:t>（1）未按照招标文件的规定提交投标保证金的；</w:t>
      </w:r>
    </w:p>
    <w:p w14:paraId="6B2B21CA">
      <w:pPr>
        <w:snapToGrid w:val="0"/>
        <w:spacing w:line="440" w:lineRule="exact"/>
        <w:textAlignment w:val="baseline"/>
        <w:rPr>
          <w:rFonts w:hAnsi="宋体"/>
          <w:bCs/>
          <w:sz w:val="24"/>
          <w:szCs w:val="24"/>
        </w:rPr>
      </w:pPr>
      <w:r>
        <w:rPr>
          <w:rFonts w:hint="eastAsia" w:hAnsi="宋体"/>
          <w:bCs/>
          <w:sz w:val="24"/>
          <w:szCs w:val="24"/>
        </w:rPr>
        <w:t>（2）投标文件未按招标文件要求签署、盖章的；</w:t>
      </w:r>
    </w:p>
    <w:p w14:paraId="4026CB72">
      <w:pPr>
        <w:snapToGrid w:val="0"/>
        <w:spacing w:line="440" w:lineRule="exact"/>
        <w:textAlignment w:val="baseline"/>
        <w:rPr>
          <w:rFonts w:hAnsi="宋体"/>
          <w:bCs/>
          <w:sz w:val="24"/>
          <w:szCs w:val="24"/>
        </w:rPr>
      </w:pPr>
      <w:r>
        <w:rPr>
          <w:rFonts w:hint="eastAsia" w:hAnsi="宋体"/>
          <w:bCs/>
          <w:sz w:val="24"/>
          <w:szCs w:val="24"/>
        </w:rPr>
        <w:t>（3）不具备招标文件中规定的资格要求的；</w:t>
      </w:r>
    </w:p>
    <w:p w14:paraId="00D58A93">
      <w:pPr>
        <w:snapToGrid w:val="0"/>
        <w:spacing w:line="440" w:lineRule="exact"/>
        <w:textAlignment w:val="baseline"/>
        <w:rPr>
          <w:rFonts w:hAnsi="宋体"/>
          <w:bCs/>
          <w:sz w:val="24"/>
          <w:szCs w:val="24"/>
        </w:rPr>
      </w:pPr>
      <w:r>
        <w:rPr>
          <w:rFonts w:hint="eastAsia" w:hAnsi="宋体"/>
          <w:bCs/>
          <w:sz w:val="24"/>
          <w:szCs w:val="24"/>
        </w:rPr>
        <w:t>（4）报价超过招标文件中规定的预算金额或者最高限价的；</w:t>
      </w:r>
    </w:p>
    <w:p w14:paraId="69A06235">
      <w:pPr>
        <w:snapToGrid w:val="0"/>
        <w:spacing w:line="440" w:lineRule="exact"/>
        <w:textAlignment w:val="baseline"/>
        <w:rPr>
          <w:rFonts w:hAnsi="宋体"/>
          <w:bCs/>
          <w:sz w:val="24"/>
          <w:szCs w:val="24"/>
        </w:rPr>
      </w:pPr>
      <w:r>
        <w:rPr>
          <w:rFonts w:hint="eastAsia" w:hAnsi="宋体"/>
          <w:bCs/>
          <w:sz w:val="24"/>
          <w:szCs w:val="24"/>
        </w:rPr>
        <w:t>（5）投标文件含有采购人不能接受的附加条件的；</w:t>
      </w:r>
    </w:p>
    <w:p w14:paraId="3F48094C">
      <w:pPr>
        <w:snapToGrid w:val="0"/>
        <w:spacing w:line="440" w:lineRule="exact"/>
        <w:textAlignment w:val="baseline"/>
        <w:rPr>
          <w:rFonts w:hAnsi="宋体"/>
          <w:bCs/>
          <w:sz w:val="24"/>
          <w:szCs w:val="24"/>
        </w:rPr>
      </w:pPr>
      <w:r>
        <w:rPr>
          <w:rFonts w:hint="eastAsia" w:hAnsi="宋体"/>
          <w:bCs/>
          <w:sz w:val="24"/>
          <w:szCs w:val="24"/>
        </w:rPr>
        <w:t>（6）法律、法规和招标文件规定的其他无效情形。</w:t>
      </w:r>
    </w:p>
    <w:p w14:paraId="078C4B29">
      <w:pPr>
        <w:snapToGrid w:val="0"/>
        <w:spacing w:line="440" w:lineRule="exact"/>
        <w:textAlignment w:val="baseline"/>
        <w:rPr>
          <w:rFonts w:hAnsi="宋体"/>
          <w:bCs/>
          <w:sz w:val="24"/>
          <w:szCs w:val="24"/>
        </w:rPr>
      </w:pPr>
      <w:r>
        <w:rPr>
          <w:rFonts w:hint="eastAsia" w:hAnsi="宋体"/>
          <w:bCs/>
          <w:sz w:val="24"/>
          <w:szCs w:val="24"/>
        </w:rPr>
        <w:t>2</w:t>
      </w:r>
      <w:r>
        <w:rPr>
          <w:rFonts w:hint="eastAsia" w:hAnsi="宋体"/>
          <w:bCs/>
          <w:sz w:val="24"/>
          <w:szCs w:val="24"/>
          <w:lang w:val="en-US" w:eastAsia="zh-CN"/>
        </w:rPr>
        <w:t>6</w:t>
      </w:r>
      <w:r>
        <w:rPr>
          <w:rFonts w:hint="eastAsia" w:hAnsi="宋体"/>
          <w:bCs/>
          <w:sz w:val="24"/>
          <w:szCs w:val="24"/>
        </w:rPr>
        <w:t xml:space="preserve">.3在招标采购中，出现下列情形之一的，应予废标： </w:t>
      </w:r>
    </w:p>
    <w:p w14:paraId="58BD54E0">
      <w:pPr>
        <w:snapToGrid w:val="0"/>
        <w:spacing w:line="440" w:lineRule="exact"/>
        <w:textAlignment w:val="baseline"/>
        <w:rPr>
          <w:rFonts w:hAnsi="宋体"/>
          <w:bCs/>
          <w:sz w:val="24"/>
          <w:szCs w:val="24"/>
        </w:rPr>
      </w:pPr>
      <w:r>
        <w:rPr>
          <w:rFonts w:hint="eastAsia" w:hAnsi="宋体"/>
          <w:bCs/>
          <w:sz w:val="24"/>
          <w:szCs w:val="24"/>
        </w:rPr>
        <w:t>（1）符合专业条件的投标人或者对招标文件作实质响应的投标人不足三家的；</w:t>
      </w:r>
    </w:p>
    <w:p w14:paraId="4A508FBD">
      <w:pPr>
        <w:snapToGrid w:val="0"/>
        <w:spacing w:line="440" w:lineRule="exact"/>
        <w:textAlignment w:val="baseline"/>
        <w:rPr>
          <w:rFonts w:hAnsi="宋体"/>
          <w:bCs/>
          <w:sz w:val="24"/>
          <w:szCs w:val="24"/>
        </w:rPr>
      </w:pPr>
      <w:r>
        <w:rPr>
          <w:rFonts w:hint="eastAsia" w:hAnsi="宋体"/>
          <w:bCs/>
          <w:sz w:val="24"/>
          <w:szCs w:val="24"/>
        </w:rPr>
        <w:t>（2）出现影响采购公正的违法、违规行为的；</w:t>
      </w:r>
    </w:p>
    <w:p w14:paraId="3CC1070A">
      <w:pPr>
        <w:snapToGrid w:val="0"/>
        <w:spacing w:line="440" w:lineRule="exact"/>
        <w:textAlignment w:val="baseline"/>
        <w:rPr>
          <w:rFonts w:hAnsi="宋体"/>
          <w:bCs/>
          <w:sz w:val="24"/>
          <w:szCs w:val="24"/>
        </w:rPr>
      </w:pPr>
      <w:r>
        <w:rPr>
          <w:rFonts w:hint="eastAsia" w:hAnsi="宋体"/>
          <w:bCs/>
          <w:sz w:val="24"/>
          <w:szCs w:val="24"/>
        </w:rPr>
        <w:t>（3）投标人的报价均超过了采购预算，采购人不能支付的；</w:t>
      </w:r>
    </w:p>
    <w:p w14:paraId="1FDE693E">
      <w:pPr>
        <w:snapToGrid w:val="0"/>
        <w:spacing w:line="440" w:lineRule="exact"/>
        <w:textAlignment w:val="baseline"/>
        <w:rPr>
          <w:rFonts w:hAnsi="宋体"/>
          <w:bCs/>
          <w:sz w:val="24"/>
          <w:szCs w:val="24"/>
        </w:rPr>
      </w:pPr>
      <w:r>
        <w:rPr>
          <w:rFonts w:hint="eastAsia" w:hAnsi="宋体"/>
          <w:bCs/>
          <w:sz w:val="24"/>
          <w:szCs w:val="24"/>
        </w:rPr>
        <w:t xml:space="preserve">（4）因重大变故，采购任务取消 </w:t>
      </w:r>
    </w:p>
    <w:p w14:paraId="0EFDB2AB">
      <w:pPr>
        <w:snapToGrid w:val="0"/>
        <w:spacing w:line="440" w:lineRule="exact"/>
        <w:textAlignment w:val="baseline"/>
        <w:rPr>
          <w:rFonts w:hAnsi="宋体"/>
          <w:bCs/>
          <w:sz w:val="24"/>
          <w:szCs w:val="24"/>
        </w:rPr>
      </w:pPr>
      <w:r>
        <w:rPr>
          <w:rFonts w:hint="eastAsia" w:hAnsi="宋体"/>
          <w:bCs/>
          <w:sz w:val="24"/>
          <w:szCs w:val="24"/>
        </w:rPr>
        <w:t>2</w:t>
      </w:r>
      <w:r>
        <w:rPr>
          <w:rFonts w:hint="eastAsia" w:hAnsi="宋体"/>
          <w:bCs/>
          <w:sz w:val="24"/>
          <w:szCs w:val="24"/>
          <w:lang w:val="en-US" w:eastAsia="zh-CN"/>
        </w:rPr>
        <w:t>6</w:t>
      </w:r>
      <w:r>
        <w:rPr>
          <w:rFonts w:hint="eastAsia" w:hAnsi="宋体"/>
          <w:bCs/>
          <w:sz w:val="24"/>
          <w:szCs w:val="24"/>
        </w:rPr>
        <w:t>.4 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3315E21">
      <w:pPr>
        <w:snapToGrid w:val="0"/>
        <w:spacing w:line="440" w:lineRule="exact"/>
        <w:textAlignment w:val="baseline"/>
        <w:rPr>
          <w:rFonts w:hAnsi="宋体"/>
          <w:bCs/>
          <w:sz w:val="24"/>
          <w:szCs w:val="24"/>
        </w:rPr>
      </w:pPr>
      <w:r>
        <w:rPr>
          <w:rFonts w:hint="eastAsia" w:hAnsi="宋体"/>
          <w:bCs/>
          <w:sz w:val="24"/>
          <w:szCs w:val="24"/>
        </w:rPr>
        <w:t>2</w:t>
      </w:r>
      <w:r>
        <w:rPr>
          <w:rFonts w:hint="eastAsia" w:hAnsi="宋体"/>
          <w:bCs/>
          <w:sz w:val="24"/>
          <w:szCs w:val="24"/>
          <w:lang w:val="en-US" w:eastAsia="zh-CN"/>
        </w:rPr>
        <w:t>6</w:t>
      </w:r>
      <w:r>
        <w:rPr>
          <w:rFonts w:hint="eastAsia" w:hAnsi="宋体"/>
          <w:bCs/>
          <w:sz w:val="24"/>
          <w:szCs w:val="24"/>
        </w:rPr>
        <w:t>.4 评标委员会决定投标的实质性响应，只根据投标本身的真实无误的内容，除查询投标人信用记录，其他评审工作不依据外部的证据，但投标有不真实不正确的内容时除外。</w:t>
      </w:r>
      <w:r>
        <w:rPr>
          <w:rFonts w:hAnsi="宋体"/>
          <w:bCs/>
          <w:sz w:val="24"/>
          <w:szCs w:val="24"/>
        </w:rPr>
        <w:cr/>
      </w:r>
      <w:bookmarkStart w:id="76" w:name="_Toc286758337"/>
      <w:r>
        <w:rPr>
          <w:rFonts w:hint="eastAsia" w:hAnsi="宋体"/>
          <w:b/>
          <w:sz w:val="24"/>
          <w:szCs w:val="24"/>
        </w:rPr>
        <w:t>2</w:t>
      </w:r>
      <w:r>
        <w:rPr>
          <w:rFonts w:hint="eastAsia" w:hAnsi="宋体"/>
          <w:b/>
          <w:sz w:val="24"/>
          <w:szCs w:val="24"/>
          <w:lang w:val="en-US" w:eastAsia="zh-CN"/>
        </w:rPr>
        <w:t>7</w:t>
      </w:r>
      <w:r>
        <w:rPr>
          <w:rFonts w:hint="eastAsia" w:hAnsi="宋体"/>
          <w:b/>
          <w:sz w:val="24"/>
          <w:szCs w:val="24"/>
        </w:rPr>
        <w:t>.</w:t>
      </w:r>
      <w:bookmarkStart w:id="77" w:name="_Toc262628248"/>
      <w:r>
        <w:rPr>
          <w:rFonts w:hint="eastAsia" w:hAnsi="宋体"/>
          <w:b/>
          <w:sz w:val="24"/>
          <w:szCs w:val="24"/>
        </w:rPr>
        <w:t xml:space="preserve"> 与评标委员会的接触</w:t>
      </w:r>
      <w:bookmarkEnd w:id="76"/>
      <w:bookmarkEnd w:id="77"/>
    </w:p>
    <w:p w14:paraId="45C2812B">
      <w:pPr>
        <w:snapToGrid w:val="0"/>
        <w:spacing w:line="460" w:lineRule="exact"/>
        <w:ind w:left="480" w:hanging="480" w:hangingChars="200"/>
        <w:textAlignment w:val="baseline"/>
        <w:rPr>
          <w:rFonts w:hAnsi="宋体"/>
          <w:bCs/>
          <w:sz w:val="24"/>
          <w:szCs w:val="24"/>
        </w:rPr>
      </w:pPr>
      <w:r>
        <w:rPr>
          <w:rFonts w:hint="eastAsia" w:hAnsi="宋体"/>
          <w:bCs/>
          <w:sz w:val="24"/>
          <w:szCs w:val="24"/>
        </w:rPr>
        <w:t>2</w:t>
      </w:r>
      <w:r>
        <w:rPr>
          <w:rFonts w:hint="eastAsia" w:hAnsi="宋体"/>
          <w:bCs/>
          <w:sz w:val="24"/>
          <w:szCs w:val="24"/>
          <w:lang w:val="en-US" w:eastAsia="zh-CN"/>
        </w:rPr>
        <w:t>7</w:t>
      </w:r>
      <w:r>
        <w:rPr>
          <w:rFonts w:hAnsi="宋体"/>
          <w:bCs/>
          <w:sz w:val="24"/>
          <w:szCs w:val="24"/>
        </w:rPr>
        <w:t xml:space="preserve">.1 </w:t>
      </w:r>
      <w:r>
        <w:rPr>
          <w:rFonts w:hint="eastAsia" w:hAnsi="宋体"/>
          <w:bCs/>
          <w:sz w:val="24"/>
          <w:szCs w:val="24"/>
        </w:rPr>
        <w:t>除按本须知“第23.1条”规定的外，从开标之日起至授予合同期间，投标人不得就其投标有关的事项与评标委员会接触。</w:t>
      </w:r>
    </w:p>
    <w:p w14:paraId="534782CA">
      <w:pPr>
        <w:snapToGrid w:val="0"/>
        <w:spacing w:line="460" w:lineRule="exact"/>
        <w:ind w:left="480" w:hanging="480" w:hangingChars="200"/>
        <w:textAlignment w:val="baseline"/>
        <w:rPr>
          <w:rFonts w:hAnsi="宋体"/>
          <w:bCs/>
          <w:sz w:val="24"/>
          <w:szCs w:val="24"/>
        </w:rPr>
      </w:pPr>
      <w:r>
        <w:rPr>
          <w:rFonts w:hint="eastAsia" w:hAnsi="宋体"/>
          <w:bCs/>
          <w:sz w:val="24"/>
          <w:szCs w:val="24"/>
        </w:rPr>
        <w:t>2</w:t>
      </w:r>
      <w:r>
        <w:rPr>
          <w:rFonts w:hint="eastAsia" w:hAnsi="宋体"/>
          <w:bCs/>
          <w:sz w:val="24"/>
          <w:szCs w:val="24"/>
          <w:lang w:val="en-US" w:eastAsia="zh-CN"/>
        </w:rPr>
        <w:t>7</w:t>
      </w:r>
      <w:r>
        <w:rPr>
          <w:rFonts w:hAnsi="宋体"/>
          <w:bCs/>
          <w:sz w:val="24"/>
          <w:szCs w:val="24"/>
        </w:rPr>
        <w:t xml:space="preserve">.2 </w:t>
      </w:r>
      <w:r>
        <w:rPr>
          <w:rFonts w:hint="eastAsia" w:hAnsi="宋体"/>
          <w:bCs/>
          <w:sz w:val="24"/>
          <w:szCs w:val="24"/>
        </w:rPr>
        <w:t>投标人试图对评标委员会的评标、比较或授予合同的决定施加任何影响，都可能导致其投标无效。</w:t>
      </w:r>
    </w:p>
    <w:p w14:paraId="6D4E16CE">
      <w:pPr>
        <w:snapToGrid w:val="0"/>
        <w:spacing w:line="440" w:lineRule="exact"/>
        <w:textAlignment w:val="baseline"/>
        <w:rPr>
          <w:rFonts w:hAnsi="宋体"/>
          <w:b/>
          <w:sz w:val="28"/>
          <w:szCs w:val="28"/>
        </w:rPr>
      </w:pPr>
      <w:bookmarkStart w:id="78" w:name="_Toc8939"/>
      <w:bookmarkStart w:id="79" w:name="_Toc83627162"/>
      <w:bookmarkStart w:id="80" w:name="_Toc450122250"/>
      <w:bookmarkStart w:id="81" w:name="_Toc83626624"/>
      <w:bookmarkStart w:id="82" w:name="_Toc447031329"/>
      <w:bookmarkStart w:id="83" w:name="_Toc5935"/>
      <w:bookmarkStart w:id="84" w:name="_Toc22283"/>
      <w:r>
        <w:rPr>
          <w:rFonts w:hint="eastAsia" w:hAnsi="宋体"/>
          <w:b/>
          <w:sz w:val="28"/>
          <w:szCs w:val="28"/>
        </w:rPr>
        <w:t>七、</w:t>
      </w:r>
      <w:bookmarkEnd w:id="78"/>
      <w:bookmarkEnd w:id="79"/>
      <w:bookmarkEnd w:id="80"/>
      <w:bookmarkEnd w:id="81"/>
      <w:bookmarkEnd w:id="82"/>
      <w:bookmarkEnd w:id="83"/>
      <w:bookmarkEnd w:id="84"/>
      <w:bookmarkStart w:id="85" w:name="_Toc83627163"/>
      <w:bookmarkStart w:id="86" w:name="_Toc447031330"/>
      <w:bookmarkStart w:id="87" w:name="_Toc83626625"/>
      <w:bookmarkStart w:id="88" w:name="_Toc14141"/>
      <w:bookmarkStart w:id="89" w:name="_Toc450122251"/>
      <w:bookmarkStart w:id="90" w:name="_Toc12471"/>
      <w:bookmarkStart w:id="91" w:name="_Toc2230"/>
      <w:r>
        <w:rPr>
          <w:rFonts w:hint="eastAsia" w:hAnsi="宋体"/>
          <w:b/>
          <w:sz w:val="28"/>
          <w:szCs w:val="28"/>
        </w:rPr>
        <w:t>推荐中标候选供应商、确定中标供应商</w:t>
      </w:r>
      <w:bookmarkEnd w:id="85"/>
      <w:bookmarkEnd w:id="86"/>
      <w:bookmarkEnd w:id="87"/>
      <w:bookmarkEnd w:id="88"/>
      <w:bookmarkEnd w:id="89"/>
      <w:bookmarkEnd w:id="90"/>
      <w:bookmarkEnd w:id="91"/>
    </w:p>
    <w:p w14:paraId="3C98761E">
      <w:pPr>
        <w:snapToGrid w:val="0"/>
        <w:spacing w:line="460" w:lineRule="exact"/>
        <w:ind w:left="480" w:hanging="480" w:hangingChars="200"/>
        <w:textAlignment w:val="baseline"/>
        <w:rPr>
          <w:rFonts w:hAnsi="宋体"/>
          <w:bCs/>
          <w:sz w:val="24"/>
          <w:szCs w:val="24"/>
        </w:rPr>
      </w:pPr>
      <w:r>
        <w:rPr>
          <w:rFonts w:hint="eastAsia" w:hAnsi="宋体"/>
          <w:bCs/>
          <w:sz w:val="24"/>
          <w:szCs w:val="24"/>
        </w:rPr>
        <w:t>2</w:t>
      </w:r>
      <w:r>
        <w:rPr>
          <w:rFonts w:hint="eastAsia" w:hAnsi="宋体"/>
          <w:bCs/>
          <w:sz w:val="24"/>
          <w:szCs w:val="24"/>
          <w:lang w:val="en-US" w:eastAsia="zh-CN"/>
        </w:rPr>
        <w:t>8</w:t>
      </w:r>
      <w:r>
        <w:rPr>
          <w:rFonts w:hint="eastAsia" w:hAnsi="宋体"/>
          <w:bCs/>
          <w:sz w:val="24"/>
          <w:szCs w:val="24"/>
        </w:rPr>
        <w:t>.推荐中标候选供应商标准</w:t>
      </w:r>
    </w:p>
    <w:p w14:paraId="4F8BA96B">
      <w:pPr>
        <w:snapToGrid w:val="0"/>
        <w:spacing w:line="460" w:lineRule="exact"/>
        <w:ind w:left="480" w:hanging="480" w:hangingChars="200"/>
        <w:textAlignment w:val="baseline"/>
        <w:rPr>
          <w:rFonts w:hAnsi="宋体"/>
          <w:bCs/>
          <w:sz w:val="24"/>
          <w:szCs w:val="24"/>
        </w:rPr>
      </w:pPr>
      <w:r>
        <w:rPr>
          <w:rFonts w:hint="eastAsia" w:hAnsi="宋体"/>
          <w:bCs/>
          <w:sz w:val="24"/>
          <w:szCs w:val="24"/>
        </w:rPr>
        <w:t>2</w:t>
      </w:r>
      <w:r>
        <w:rPr>
          <w:rFonts w:hint="eastAsia" w:hAnsi="宋体"/>
          <w:bCs/>
          <w:sz w:val="24"/>
          <w:szCs w:val="24"/>
          <w:lang w:val="en-US" w:eastAsia="zh-CN"/>
        </w:rPr>
        <w:t>8</w:t>
      </w:r>
      <w:r>
        <w:rPr>
          <w:rFonts w:hint="eastAsia" w:hAnsi="宋体"/>
          <w:bCs/>
          <w:sz w:val="24"/>
          <w:szCs w:val="24"/>
        </w:rPr>
        <w:t>.1按评审后总得分由高到低顺序排列。</w:t>
      </w:r>
    </w:p>
    <w:p w14:paraId="4D5B362E">
      <w:pPr>
        <w:snapToGrid w:val="0"/>
        <w:spacing w:line="460" w:lineRule="exact"/>
        <w:ind w:left="480" w:hanging="480" w:hangingChars="200"/>
        <w:textAlignment w:val="baseline"/>
        <w:rPr>
          <w:rFonts w:hAnsi="宋体"/>
          <w:sz w:val="24"/>
          <w:szCs w:val="24"/>
        </w:rPr>
      </w:pPr>
      <w:r>
        <w:rPr>
          <w:rFonts w:hint="eastAsia" w:hAnsi="宋体"/>
          <w:bCs/>
          <w:sz w:val="24"/>
          <w:szCs w:val="24"/>
        </w:rPr>
        <w:t>2</w:t>
      </w:r>
      <w:r>
        <w:rPr>
          <w:rFonts w:hint="eastAsia" w:hAnsi="宋体"/>
          <w:bCs/>
          <w:sz w:val="24"/>
          <w:szCs w:val="24"/>
          <w:lang w:val="en-US" w:eastAsia="zh-CN"/>
        </w:rPr>
        <w:t>8</w:t>
      </w:r>
      <w:r>
        <w:rPr>
          <w:rFonts w:hint="eastAsia" w:hAnsi="宋体"/>
          <w:bCs/>
          <w:sz w:val="24"/>
          <w:szCs w:val="24"/>
        </w:rPr>
        <w:t>.2得分相同的，按投标报价由低到高顺序排列。得分且投标报价相同的，按技术指标优劣顺序排列</w:t>
      </w:r>
      <w:r>
        <w:rPr>
          <w:rFonts w:hint="eastAsia" w:hAnsi="宋体"/>
          <w:sz w:val="24"/>
          <w:szCs w:val="24"/>
        </w:rPr>
        <w:t>。</w:t>
      </w:r>
      <w:r>
        <w:rPr>
          <w:rFonts w:hint="eastAsia" w:hAnsi="宋体"/>
          <w:bCs/>
          <w:sz w:val="24"/>
          <w:szCs w:val="24"/>
        </w:rPr>
        <w:t>得分、投标报价、技术指标优劣均相同的，由评标委员会随机抽取确定排序。</w:t>
      </w:r>
    </w:p>
    <w:p w14:paraId="2BB41FF1">
      <w:pPr>
        <w:snapToGrid w:val="0"/>
        <w:spacing w:line="440" w:lineRule="exact"/>
        <w:textAlignment w:val="baseline"/>
        <w:rPr>
          <w:rFonts w:hAnsi="宋体"/>
          <w:bCs/>
          <w:sz w:val="24"/>
          <w:szCs w:val="24"/>
        </w:rPr>
      </w:pPr>
      <w:bookmarkStart w:id="92" w:name="_Toc286758340"/>
      <w:r>
        <w:rPr>
          <w:rFonts w:hint="eastAsia" w:hAnsi="宋体"/>
          <w:bCs/>
          <w:sz w:val="24"/>
          <w:szCs w:val="24"/>
          <w:lang w:val="en-US" w:eastAsia="zh-CN"/>
        </w:rPr>
        <w:t>29</w:t>
      </w:r>
      <w:r>
        <w:rPr>
          <w:rFonts w:hint="eastAsia" w:hAnsi="宋体"/>
          <w:bCs/>
          <w:sz w:val="24"/>
          <w:szCs w:val="24"/>
        </w:rPr>
        <w:t>.确定中标供应商</w:t>
      </w:r>
    </w:p>
    <w:p w14:paraId="308F2523">
      <w:pPr>
        <w:snapToGrid w:val="0"/>
        <w:spacing w:line="440" w:lineRule="exact"/>
        <w:textAlignment w:val="baseline"/>
        <w:rPr>
          <w:rFonts w:hAnsi="宋体"/>
          <w:bCs/>
          <w:sz w:val="24"/>
          <w:szCs w:val="24"/>
        </w:rPr>
      </w:pPr>
      <w:r>
        <w:rPr>
          <w:rFonts w:hint="eastAsia" w:hAnsi="宋体"/>
          <w:bCs/>
          <w:sz w:val="24"/>
          <w:szCs w:val="24"/>
          <w:lang w:val="en-US" w:eastAsia="zh-CN"/>
        </w:rPr>
        <w:t>29</w:t>
      </w:r>
      <w:r>
        <w:rPr>
          <w:rFonts w:hint="eastAsia" w:hAnsi="宋体"/>
          <w:bCs/>
          <w:sz w:val="24"/>
          <w:szCs w:val="24"/>
        </w:rPr>
        <w:t>.1采购代理机构应当在评标结束后五个工作日内将评标报告送采购人。</w:t>
      </w:r>
    </w:p>
    <w:p w14:paraId="5B0BAA2C">
      <w:pPr>
        <w:snapToGrid w:val="0"/>
        <w:spacing w:line="440" w:lineRule="exact"/>
        <w:textAlignment w:val="baseline"/>
        <w:rPr>
          <w:rFonts w:hAnsi="宋体"/>
          <w:bCs/>
          <w:sz w:val="24"/>
          <w:szCs w:val="24"/>
        </w:rPr>
      </w:pPr>
      <w:r>
        <w:rPr>
          <w:rFonts w:hint="eastAsia" w:hAnsi="宋体"/>
          <w:bCs/>
          <w:sz w:val="24"/>
          <w:szCs w:val="24"/>
          <w:lang w:val="en-US" w:eastAsia="zh-CN"/>
        </w:rPr>
        <w:t>29</w:t>
      </w:r>
      <w:r>
        <w:rPr>
          <w:rFonts w:hint="eastAsia" w:hAnsi="宋体"/>
          <w:bCs/>
          <w:sz w:val="24"/>
          <w:szCs w:val="24"/>
        </w:rPr>
        <w:t>.2采购人应当在收到评标报告后五个工作日内，按照评标报告中推荐的中标候选供应商顺序确定中标供应商，也可以事先授权评标委员会直接确定中标供应商。</w:t>
      </w:r>
    </w:p>
    <w:p w14:paraId="77BEC5B3">
      <w:pPr>
        <w:snapToGrid w:val="0"/>
        <w:spacing w:line="440" w:lineRule="exact"/>
        <w:textAlignment w:val="baseline"/>
        <w:rPr>
          <w:rFonts w:hAnsi="宋体"/>
          <w:b/>
          <w:sz w:val="28"/>
          <w:szCs w:val="28"/>
        </w:rPr>
      </w:pPr>
      <w:bookmarkStart w:id="93" w:name="_Toc83626626"/>
      <w:bookmarkStart w:id="94" w:name="_Toc447031331"/>
      <w:bookmarkStart w:id="95" w:name="_Toc24021"/>
      <w:bookmarkStart w:id="96" w:name="_Toc23477"/>
      <w:bookmarkStart w:id="97" w:name="_Toc4716"/>
      <w:bookmarkStart w:id="98" w:name="_Toc83627164"/>
      <w:bookmarkStart w:id="99" w:name="_Toc450122252"/>
      <w:r>
        <w:rPr>
          <w:rFonts w:hint="eastAsia" w:hAnsi="宋体"/>
          <w:b/>
          <w:sz w:val="28"/>
          <w:szCs w:val="28"/>
        </w:rPr>
        <w:t>八、公示、质疑</w:t>
      </w:r>
      <w:bookmarkEnd w:id="93"/>
      <w:bookmarkEnd w:id="94"/>
      <w:bookmarkEnd w:id="95"/>
      <w:bookmarkEnd w:id="96"/>
      <w:bookmarkEnd w:id="97"/>
      <w:bookmarkEnd w:id="98"/>
      <w:bookmarkEnd w:id="99"/>
    </w:p>
    <w:p w14:paraId="01113E56">
      <w:pPr>
        <w:snapToGrid w:val="0"/>
        <w:textAlignment w:val="baseline"/>
        <w:rPr>
          <w:rFonts w:hAnsi="宋体"/>
          <w:b/>
          <w:sz w:val="24"/>
          <w:szCs w:val="24"/>
        </w:rPr>
      </w:pPr>
      <w:r>
        <w:rPr>
          <w:rFonts w:hint="eastAsia" w:hAnsi="宋体"/>
          <w:b/>
          <w:sz w:val="24"/>
          <w:szCs w:val="24"/>
        </w:rPr>
        <w:t>3</w:t>
      </w:r>
      <w:r>
        <w:rPr>
          <w:rFonts w:hint="eastAsia" w:hAnsi="宋体"/>
          <w:b/>
          <w:sz w:val="24"/>
          <w:szCs w:val="24"/>
          <w:lang w:val="en-US" w:eastAsia="zh-CN"/>
        </w:rPr>
        <w:t>0</w:t>
      </w:r>
      <w:r>
        <w:rPr>
          <w:rFonts w:hint="eastAsia" w:hAnsi="宋体"/>
          <w:b/>
          <w:sz w:val="24"/>
          <w:szCs w:val="24"/>
        </w:rPr>
        <w:t>. 公示</w:t>
      </w:r>
      <w:bookmarkEnd w:id="92"/>
    </w:p>
    <w:p w14:paraId="6EE7EBF2">
      <w:pPr>
        <w:spacing w:line="460" w:lineRule="exact"/>
        <w:jc w:val="left"/>
        <w:rPr>
          <w:rFonts w:hAnsi="宋体"/>
          <w:sz w:val="24"/>
          <w:szCs w:val="24"/>
        </w:rPr>
      </w:pPr>
      <w:r>
        <w:rPr>
          <w:rFonts w:hint="eastAsia" w:hAnsi="宋体"/>
          <w:sz w:val="24"/>
          <w:szCs w:val="24"/>
        </w:rPr>
        <w:t>3</w:t>
      </w:r>
      <w:r>
        <w:rPr>
          <w:rFonts w:hint="eastAsia" w:hAnsi="宋体"/>
          <w:sz w:val="24"/>
          <w:szCs w:val="24"/>
          <w:lang w:val="en-US" w:eastAsia="zh-CN"/>
        </w:rPr>
        <w:t>0</w:t>
      </w:r>
      <w:r>
        <w:rPr>
          <w:rFonts w:hAnsi="宋体"/>
          <w:sz w:val="24"/>
          <w:szCs w:val="24"/>
        </w:rPr>
        <w:t>.1</w:t>
      </w:r>
      <w:r>
        <w:rPr>
          <w:rFonts w:hint="eastAsia" w:hAnsi="宋体"/>
          <w:sz w:val="24"/>
          <w:szCs w:val="24"/>
        </w:rPr>
        <w:t xml:space="preserve"> 中标供应商确定后，将在</w:t>
      </w:r>
      <w:r>
        <w:rPr>
          <w:rFonts w:hint="eastAsia" w:hAnsi="宋体" w:cs="宋体"/>
          <w:color w:val="000000"/>
          <w:sz w:val="24"/>
        </w:rPr>
        <w:t>阳光采购服务平台（</w:t>
      </w:r>
      <w:r>
        <w:rPr>
          <w:rFonts w:hint="eastAsia" w:hAnsi="宋体" w:cs="宋体"/>
          <w:color w:val="000000"/>
          <w:sz w:val="24"/>
          <w:lang w:eastAsia="zh-CN"/>
        </w:rPr>
        <w:t>https://www.ygcgfwpt.com/</w:t>
      </w:r>
      <w:r>
        <w:rPr>
          <w:rFonts w:hint="eastAsia" w:hAnsi="宋体" w:cs="宋体"/>
          <w:color w:val="000000"/>
          <w:sz w:val="24"/>
        </w:rPr>
        <w:t>）</w:t>
      </w:r>
      <w:r>
        <w:rPr>
          <w:rFonts w:hint="eastAsia" w:hAnsi="宋体"/>
          <w:bCs/>
          <w:sz w:val="24"/>
          <w:szCs w:val="24"/>
        </w:rPr>
        <w:t>上</w:t>
      </w:r>
      <w:r>
        <w:rPr>
          <w:rFonts w:hint="eastAsia" w:hAnsi="宋体"/>
          <w:sz w:val="24"/>
          <w:szCs w:val="24"/>
        </w:rPr>
        <w:t>进行评标结果公示，公示期为1个工作日。</w:t>
      </w:r>
    </w:p>
    <w:p w14:paraId="001AE09C">
      <w:pPr>
        <w:snapToGrid w:val="0"/>
        <w:spacing w:line="440" w:lineRule="exact"/>
        <w:ind w:left="567" w:hanging="567"/>
        <w:textAlignment w:val="baseline"/>
        <w:rPr>
          <w:rFonts w:hAnsi="宋体"/>
          <w:sz w:val="24"/>
          <w:szCs w:val="24"/>
        </w:rPr>
      </w:pPr>
      <w:r>
        <w:rPr>
          <w:rFonts w:hint="eastAsia" w:hAnsi="宋体"/>
          <w:sz w:val="24"/>
          <w:szCs w:val="24"/>
        </w:rPr>
        <w:t>3</w:t>
      </w:r>
      <w:r>
        <w:rPr>
          <w:rFonts w:hint="eastAsia" w:hAnsi="宋体"/>
          <w:sz w:val="24"/>
          <w:szCs w:val="24"/>
          <w:lang w:val="en-US" w:eastAsia="zh-CN"/>
        </w:rPr>
        <w:t>1</w:t>
      </w:r>
      <w:r>
        <w:rPr>
          <w:rFonts w:hint="eastAsia" w:hAnsi="宋体"/>
          <w:sz w:val="24"/>
          <w:szCs w:val="24"/>
        </w:rPr>
        <w:t>. 质疑</w:t>
      </w:r>
    </w:p>
    <w:p w14:paraId="428A96FD">
      <w:pPr>
        <w:snapToGrid w:val="0"/>
        <w:spacing w:line="440" w:lineRule="exact"/>
        <w:ind w:left="7" w:hanging="7"/>
        <w:textAlignment w:val="baseline"/>
        <w:rPr>
          <w:rFonts w:hAnsi="宋体"/>
          <w:sz w:val="24"/>
          <w:szCs w:val="24"/>
        </w:rPr>
      </w:pPr>
      <w:r>
        <w:rPr>
          <w:rFonts w:hint="eastAsia" w:hAnsi="宋体"/>
          <w:sz w:val="24"/>
          <w:szCs w:val="24"/>
        </w:rPr>
        <w:t>3</w:t>
      </w:r>
      <w:r>
        <w:rPr>
          <w:rFonts w:hint="eastAsia" w:hAnsi="宋体"/>
          <w:sz w:val="24"/>
          <w:szCs w:val="24"/>
          <w:lang w:val="en-US" w:eastAsia="zh-CN"/>
        </w:rPr>
        <w:t>1</w:t>
      </w:r>
      <w:r>
        <w:rPr>
          <w:rFonts w:hint="eastAsia" w:hAnsi="宋体"/>
          <w:sz w:val="24"/>
          <w:szCs w:val="24"/>
        </w:rPr>
        <w:t>.1投标人对中标结果有质疑的，质疑书应当在公示期内须将原件送达采购代理机构。质疑书必须署名，由法定代表人或者投标人代表签字（盖章），并加盖投标人单位公章。</w:t>
      </w:r>
    </w:p>
    <w:p w14:paraId="6BF9AE4D">
      <w:pPr>
        <w:snapToGrid w:val="0"/>
        <w:spacing w:line="440" w:lineRule="exact"/>
        <w:ind w:left="7" w:hanging="7"/>
        <w:textAlignment w:val="baseline"/>
        <w:rPr>
          <w:rFonts w:hAnsi="宋体"/>
          <w:sz w:val="24"/>
          <w:szCs w:val="24"/>
        </w:rPr>
      </w:pPr>
      <w:r>
        <w:rPr>
          <w:rFonts w:hint="eastAsia" w:hAnsi="宋体"/>
          <w:sz w:val="24"/>
          <w:szCs w:val="24"/>
        </w:rPr>
        <w:t>质疑书应当包括下列主要内容：</w:t>
      </w:r>
    </w:p>
    <w:p w14:paraId="61FC5A9A">
      <w:pPr>
        <w:snapToGrid w:val="0"/>
        <w:spacing w:line="440" w:lineRule="exact"/>
        <w:ind w:left="7" w:hanging="7"/>
        <w:textAlignment w:val="baseline"/>
        <w:rPr>
          <w:rFonts w:hAnsi="宋体"/>
          <w:sz w:val="24"/>
          <w:szCs w:val="24"/>
        </w:rPr>
      </w:pPr>
      <w:r>
        <w:rPr>
          <w:rFonts w:hint="eastAsia" w:hAnsi="宋体"/>
          <w:sz w:val="24"/>
          <w:szCs w:val="24"/>
        </w:rPr>
        <w:t xml:space="preserve"> 1）质疑人和被质疑人的名称、质疑人的地址、电话、营业执照复印件、法人授权书等；</w:t>
      </w:r>
    </w:p>
    <w:p w14:paraId="1F3ABF89">
      <w:pPr>
        <w:snapToGrid w:val="0"/>
        <w:spacing w:line="440" w:lineRule="exact"/>
        <w:ind w:left="7" w:hanging="7"/>
        <w:textAlignment w:val="baseline"/>
        <w:rPr>
          <w:rFonts w:hAnsi="宋体"/>
          <w:sz w:val="24"/>
          <w:szCs w:val="24"/>
        </w:rPr>
      </w:pPr>
      <w:r>
        <w:rPr>
          <w:rFonts w:hint="eastAsia" w:hAnsi="宋体"/>
          <w:sz w:val="24"/>
          <w:szCs w:val="24"/>
        </w:rPr>
        <w:t xml:space="preserve"> 2）具体的质疑事项、事实根据和法律依据以及相关证明材料；</w:t>
      </w:r>
    </w:p>
    <w:p w14:paraId="4C838657">
      <w:pPr>
        <w:snapToGrid w:val="0"/>
        <w:spacing w:line="440" w:lineRule="exact"/>
        <w:ind w:left="7" w:hanging="7"/>
        <w:textAlignment w:val="baseline"/>
        <w:rPr>
          <w:rFonts w:hAnsi="宋体"/>
          <w:sz w:val="24"/>
          <w:szCs w:val="24"/>
        </w:rPr>
      </w:pPr>
      <w:r>
        <w:rPr>
          <w:rFonts w:hint="eastAsia" w:hAnsi="宋体"/>
          <w:sz w:val="24"/>
          <w:szCs w:val="24"/>
        </w:rPr>
        <w:t xml:space="preserve"> 3）提起质疑的日期。</w:t>
      </w:r>
    </w:p>
    <w:p w14:paraId="228D4BDC">
      <w:pPr>
        <w:snapToGrid w:val="0"/>
        <w:spacing w:line="440" w:lineRule="exact"/>
        <w:textAlignment w:val="baseline"/>
        <w:rPr>
          <w:rFonts w:hAnsi="宋体"/>
          <w:b/>
          <w:sz w:val="28"/>
          <w:szCs w:val="28"/>
        </w:rPr>
      </w:pPr>
      <w:bookmarkStart w:id="100" w:name="_Toc83627165"/>
      <w:bookmarkStart w:id="101" w:name="_Toc21253"/>
      <w:bookmarkStart w:id="102" w:name="_Toc6197"/>
      <w:bookmarkStart w:id="103" w:name="_Toc83626627"/>
      <w:bookmarkStart w:id="104" w:name="_Toc450122253"/>
      <w:bookmarkStart w:id="105" w:name="_Toc27474"/>
      <w:bookmarkStart w:id="106" w:name="_Toc447031332"/>
      <w:bookmarkStart w:id="107" w:name="_Toc286758341"/>
      <w:r>
        <w:rPr>
          <w:rFonts w:hint="eastAsia" w:hAnsi="宋体"/>
          <w:b/>
          <w:sz w:val="28"/>
          <w:szCs w:val="28"/>
        </w:rPr>
        <w:t>九、中标通知书、签订合同</w:t>
      </w:r>
      <w:bookmarkEnd w:id="100"/>
      <w:bookmarkEnd w:id="101"/>
      <w:bookmarkEnd w:id="102"/>
      <w:bookmarkEnd w:id="103"/>
      <w:bookmarkEnd w:id="104"/>
      <w:bookmarkEnd w:id="105"/>
      <w:bookmarkEnd w:id="106"/>
    </w:p>
    <w:p w14:paraId="5DD96C0D">
      <w:pPr>
        <w:snapToGrid w:val="0"/>
        <w:spacing w:line="440" w:lineRule="exact"/>
        <w:textAlignment w:val="baseline"/>
        <w:rPr>
          <w:rFonts w:hAnsi="宋体"/>
          <w:b/>
          <w:sz w:val="24"/>
          <w:szCs w:val="24"/>
        </w:rPr>
      </w:pPr>
      <w:r>
        <w:rPr>
          <w:rFonts w:hint="eastAsia" w:hAnsi="宋体"/>
          <w:b/>
          <w:sz w:val="24"/>
          <w:szCs w:val="24"/>
        </w:rPr>
        <w:t>32. 中标通知书</w:t>
      </w:r>
      <w:bookmarkEnd w:id="107"/>
    </w:p>
    <w:p w14:paraId="45CF1005">
      <w:pPr>
        <w:snapToGrid w:val="0"/>
        <w:spacing w:line="440" w:lineRule="exact"/>
        <w:ind w:left="7" w:hanging="7"/>
        <w:textAlignment w:val="baseline"/>
        <w:rPr>
          <w:rFonts w:hAnsi="宋体"/>
          <w:sz w:val="24"/>
          <w:szCs w:val="24"/>
        </w:rPr>
      </w:pPr>
      <w:r>
        <w:rPr>
          <w:rFonts w:hint="eastAsia" w:hAnsi="宋体"/>
          <w:sz w:val="24"/>
          <w:szCs w:val="24"/>
        </w:rPr>
        <w:t>32</w:t>
      </w:r>
      <w:r>
        <w:rPr>
          <w:rFonts w:hAnsi="宋体"/>
          <w:sz w:val="24"/>
          <w:szCs w:val="24"/>
        </w:rPr>
        <w:t>.1</w:t>
      </w:r>
      <w:r>
        <w:rPr>
          <w:rFonts w:hint="eastAsia" w:hAnsi="宋体"/>
          <w:sz w:val="24"/>
          <w:szCs w:val="24"/>
        </w:rPr>
        <w:t>中标结果公告期满后，采购代理机构将向中标供应商发出中标通知书，中标供应商在领取中标通知书时须按相关规定的收费标准向采购代理机构缴纳采购代理服务费及开标相关费用。</w:t>
      </w:r>
    </w:p>
    <w:p w14:paraId="35061EC3">
      <w:pPr>
        <w:snapToGrid w:val="0"/>
        <w:spacing w:line="420" w:lineRule="exact"/>
        <w:ind w:left="567" w:hanging="567"/>
        <w:textAlignment w:val="baseline"/>
        <w:rPr>
          <w:rFonts w:hAnsi="宋体"/>
          <w:sz w:val="24"/>
          <w:szCs w:val="24"/>
        </w:rPr>
      </w:pPr>
      <w:r>
        <w:rPr>
          <w:rFonts w:hint="eastAsia" w:hAnsi="宋体"/>
          <w:sz w:val="24"/>
          <w:szCs w:val="24"/>
        </w:rPr>
        <w:t>32</w:t>
      </w:r>
      <w:r>
        <w:rPr>
          <w:rFonts w:hAnsi="宋体"/>
          <w:sz w:val="24"/>
          <w:szCs w:val="24"/>
        </w:rPr>
        <w:t xml:space="preserve">.2 </w:t>
      </w:r>
      <w:r>
        <w:rPr>
          <w:rFonts w:hint="eastAsia" w:hAnsi="宋体"/>
          <w:sz w:val="24"/>
          <w:szCs w:val="24"/>
        </w:rPr>
        <w:t>中标通知书是合同的一个组成部分。</w:t>
      </w:r>
    </w:p>
    <w:p w14:paraId="715F8EE6">
      <w:pPr>
        <w:snapToGrid w:val="0"/>
        <w:spacing w:line="420" w:lineRule="exact"/>
        <w:textAlignment w:val="baseline"/>
        <w:rPr>
          <w:rFonts w:hAnsi="宋体"/>
          <w:b/>
          <w:sz w:val="24"/>
          <w:szCs w:val="24"/>
        </w:rPr>
      </w:pPr>
      <w:r>
        <w:rPr>
          <w:rFonts w:hint="eastAsia" w:hAnsi="宋体"/>
          <w:b/>
          <w:sz w:val="24"/>
          <w:szCs w:val="24"/>
        </w:rPr>
        <w:t>33. 签订合同</w:t>
      </w:r>
    </w:p>
    <w:p w14:paraId="6AB863E6">
      <w:pPr>
        <w:snapToGrid w:val="0"/>
        <w:spacing w:line="420" w:lineRule="exact"/>
        <w:ind w:left="7" w:hanging="7"/>
        <w:textAlignment w:val="baseline"/>
        <w:rPr>
          <w:rFonts w:hAnsi="宋体"/>
          <w:sz w:val="24"/>
          <w:szCs w:val="24"/>
        </w:rPr>
      </w:pPr>
      <w:r>
        <w:rPr>
          <w:rFonts w:hint="eastAsia" w:hAnsi="宋体"/>
          <w:sz w:val="24"/>
          <w:szCs w:val="24"/>
        </w:rPr>
        <w:t>33</w:t>
      </w:r>
      <w:r>
        <w:rPr>
          <w:rFonts w:hAnsi="宋体"/>
          <w:sz w:val="24"/>
          <w:szCs w:val="24"/>
        </w:rPr>
        <w:t>.1</w:t>
      </w:r>
      <w:r>
        <w:rPr>
          <w:rFonts w:hint="eastAsia" w:hAnsi="宋体"/>
          <w:sz w:val="24"/>
          <w:szCs w:val="24"/>
        </w:rPr>
        <w:t>采购人或者采购代理机构应当自中标通知书发出之日起三十日内，按照招标文件和中标供应商投标文件的约定，与中标供应商签订书面合同。</w:t>
      </w:r>
    </w:p>
    <w:p w14:paraId="5D5BC6C4">
      <w:pPr>
        <w:snapToGrid w:val="0"/>
        <w:spacing w:line="420" w:lineRule="exact"/>
        <w:ind w:firstLine="480" w:firstLineChars="200"/>
        <w:textAlignment w:val="baseline"/>
        <w:rPr>
          <w:rFonts w:hAnsi="宋体"/>
          <w:sz w:val="24"/>
          <w:szCs w:val="24"/>
        </w:rPr>
      </w:pPr>
      <w:r>
        <w:rPr>
          <w:rFonts w:hint="eastAsia" w:hAnsi="宋体"/>
          <w:sz w:val="24"/>
          <w:szCs w:val="24"/>
        </w:rPr>
        <w:t>中标供应商应按中标通知书规定的时间、地点与采购人签订合同，否则按开标后</w:t>
      </w:r>
    </w:p>
    <w:p w14:paraId="21B2EECF">
      <w:pPr>
        <w:snapToGrid w:val="0"/>
        <w:spacing w:line="420" w:lineRule="exact"/>
        <w:textAlignment w:val="baseline"/>
        <w:rPr>
          <w:rFonts w:hAnsi="宋体"/>
          <w:sz w:val="24"/>
          <w:szCs w:val="24"/>
        </w:rPr>
      </w:pPr>
      <w:r>
        <w:rPr>
          <w:rFonts w:hint="eastAsia" w:hAnsi="宋体"/>
          <w:sz w:val="24"/>
          <w:szCs w:val="24"/>
        </w:rPr>
        <w:t>撤回投标处理。</w:t>
      </w:r>
    </w:p>
    <w:p w14:paraId="2B4E262E">
      <w:pPr>
        <w:snapToGrid w:val="0"/>
        <w:spacing w:line="420" w:lineRule="exact"/>
        <w:ind w:left="567" w:hanging="567"/>
        <w:textAlignment w:val="baseline"/>
        <w:rPr>
          <w:rFonts w:hAnsi="宋体"/>
          <w:sz w:val="24"/>
          <w:szCs w:val="24"/>
        </w:rPr>
      </w:pPr>
      <w:r>
        <w:rPr>
          <w:rFonts w:hint="eastAsia" w:hAnsi="宋体"/>
          <w:sz w:val="24"/>
          <w:szCs w:val="24"/>
        </w:rPr>
        <w:t>33</w:t>
      </w:r>
      <w:r>
        <w:rPr>
          <w:rFonts w:hAnsi="宋体"/>
          <w:sz w:val="24"/>
          <w:szCs w:val="24"/>
        </w:rPr>
        <w:t>.2</w:t>
      </w:r>
      <w:r>
        <w:rPr>
          <w:rFonts w:hint="eastAsia" w:hAnsi="宋体"/>
          <w:sz w:val="24"/>
          <w:szCs w:val="24"/>
        </w:rPr>
        <w:t xml:space="preserve"> 招标文件、中标供应商的投标文件及评标过程中有关澄清文件均为签订合同的依据。</w:t>
      </w:r>
    </w:p>
    <w:p w14:paraId="145542F2">
      <w:pPr>
        <w:snapToGrid w:val="0"/>
        <w:spacing w:line="420" w:lineRule="exact"/>
        <w:ind w:left="7" w:hanging="7"/>
        <w:textAlignment w:val="baseline"/>
        <w:rPr>
          <w:rFonts w:hAnsi="宋体"/>
          <w:sz w:val="24"/>
          <w:szCs w:val="24"/>
        </w:rPr>
      </w:pPr>
      <w:r>
        <w:rPr>
          <w:rFonts w:hint="eastAsia" w:hAnsi="宋体"/>
          <w:sz w:val="24"/>
          <w:szCs w:val="24"/>
        </w:rPr>
        <w:t>33.3合同履行中，采购人需追加与合同标的相同的货物的，在不改变合同其他条款的前提下，可以与供应商协商签订补充合同，但所有补充合同的采购金额不得超过原合同采购金额的百分之十。</w:t>
      </w:r>
    </w:p>
    <w:p w14:paraId="1F5EF2A5">
      <w:pPr>
        <w:snapToGrid w:val="0"/>
        <w:spacing w:line="440" w:lineRule="exact"/>
        <w:textAlignment w:val="baseline"/>
        <w:rPr>
          <w:rFonts w:hAnsi="宋体"/>
          <w:b/>
          <w:sz w:val="28"/>
          <w:szCs w:val="28"/>
        </w:rPr>
      </w:pPr>
      <w:bookmarkStart w:id="108" w:name="_Toc25563"/>
      <w:bookmarkStart w:id="109" w:name="_Toc447031333"/>
      <w:bookmarkStart w:id="110" w:name="_Toc450122254"/>
      <w:bookmarkStart w:id="111" w:name="_Toc5003"/>
      <w:bookmarkStart w:id="112" w:name="_Toc83627166"/>
      <w:bookmarkStart w:id="113" w:name="_Toc83626628"/>
      <w:bookmarkStart w:id="114" w:name="_Toc3002"/>
      <w:r>
        <w:rPr>
          <w:rFonts w:hint="eastAsia" w:hAnsi="宋体"/>
          <w:b/>
          <w:sz w:val="28"/>
          <w:szCs w:val="28"/>
        </w:rPr>
        <w:t>十、履约保证金</w:t>
      </w:r>
      <w:bookmarkEnd w:id="108"/>
      <w:bookmarkEnd w:id="109"/>
      <w:bookmarkEnd w:id="110"/>
      <w:r>
        <w:rPr>
          <w:rFonts w:hint="eastAsia" w:hAnsi="宋体"/>
          <w:b/>
          <w:sz w:val="28"/>
          <w:szCs w:val="28"/>
        </w:rPr>
        <w:t>及</w:t>
      </w:r>
      <w:bookmarkEnd w:id="111"/>
      <w:bookmarkEnd w:id="112"/>
      <w:bookmarkEnd w:id="113"/>
      <w:r>
        <w:rPr>
          <w:rFonts w:hint="eastAsia" w:hAnsi="宋体"/>
          <w:b/>
          <w:sz w:val="28"/>
          <w:szCs w:val="28"/>
        </w:rPr>
        <w:t>采购代理服务费</w:t>
      </w:r>
      <w:bookmarkEnd w:id="114"/>
    </w:p>
    <w:p w14:paraId="695066AA">
      <w:pPr>
        <w:snapToGrid w:val="0"/>
        <w:spacing w:line="420" w:lineRule="exact"/>
        <w:textAlignment w:val="baseline"/>
        <w:rPr>
          <w:rFonts w:hAnsi="宋体"/>
          <w:b/>
          <w:sz w:val="24"/>
          <w:szCs w:val="24"/>
        </w:rPr>
      </w:pPr>
      <w:r>
        <w:rPr>
          <w:rFonts w:hint="eastAsia" w:hAnsi="宋体"/>
          <w:b/>
          <w:sz w:val="24"/>
          <w:szCs w:val="24"/>
        </w:rPr>
        <w:t>34. 履约保证金</w:t>
      </w:r>
    </w:p>
    <w:p w14:paraId="13B2970B">
      <w:pPr>
        <w:snapToGrid w:val="0"/>
        <w:spacing w:line="420" w:lineRule="exact"/>
        <w:ind w:left="7" w:hanging="7"/>
        <w:textAlignment w:val="baseline"/>
        <w:rPr>
          <w:rFonts w:hAnsi="宋体"/>
          <w:sz w:val="24"/>
          <w:szCs w:val="24"/>
          <w:highlight w:val="none"/>
        </w:rPr>
      </w:pPr>
      <w:r>
        <w:rPr>
          <w:rFonts w:hint="eastAsia" w:hAnsi="宋体"/>
          <w:spacing w:val="-12"/>
          <w:sz w:val="24"/>
          <w:szCs w:val="24"/>
        </w:rPr>
        <w:t>34.1</w:t>
      </w:r>
      <w:r>
        <w:rPr>
          <w:rFonts w:hint="eastAsia" w:hAnsi="宋体"/>
          <w:sz w:val="24"/>
          <w:szCs w:val="24"/>
        </w:rPr>
        <w:t>中标供应商在与采购人签订采购合同之前，应</w:t>
      </w:r>
      <w:r>
        <w:rPr>
          <w:rFonts w:hint="eastAsia" w:hAnsi="宋体"/>
          <w:spacing w:val="-12"/>
          <w:sz w:val="24"/>
          <w:szCs w:val="24"/>
        </w:rPr>
        <w:t>向采购人提交“投标人须知前附表”规定的履约保证金。</w:t>
      </w:r>
      <w:r>
        <w:rPr>
          <w:rFonts w:hint="eastAsia" w:hAnsi="宋体"/>
          <w:kern w:val="2"/>
          <w:sz w:val="24"/>
          <w:szCs w:val="24"/>
          <w:highlight w:val="none"/>
        </w:rPr>
        <w:t>中标人在接到成交通知书后</w:t>
      </w:r>
      <w:r>
        <w:rPr>
          <w:rFonts w:hint="eastAsia" w:hAnsi="宋体"/>
          <w:kern w:val="2"/>
          <w:sz w:val="24"/>
          <w:szCs w:val="24"/>
          <w:highlight w:val="none"/>
          <w:lang w:val="en-US" w:eastAsia="zh-CN"/>
        </w:rPr>
        <w:t>15</w:t>
      </w:r>
      <w:r>
        <w:rPr>
          <w:rFonts w:hint="eastAsia" w:hAnsi="宋体"/>
          <w:kern w:val="2"/>
          <w:sz w:val="24"/>
          <w:szCs w:val="24"/>
          <w:highlight w:val="none"/>
        </w:rPr>
        <w:t>天内，需向采购人提交履约担保，履约担保形式：履约保证金或银行保函，金额为中标金额的10%。</w:t>
      </w:r>
    </w:p>
    <w:p w14:paraId="25E2D110">
      <w:pPr>
        <w:snapToGrid w:val="0"/>
        <w:spacing w:line="420" w:lineRule="exact"/>
        <w:ind w:left="567" w:hanging="567"/>
        <w:textAlignment w:val="baseline"/>
        <w:rPr>
          <w:rFonts w:hAnsi="宋体"/>
          <w:sz w:val="24"/>
          <w:szCs w:val="24"/>
        </w:rPr>
      </w:pPr>
      <w:r>
        <w:rPr>
          <w:rFonts w:hint="eastAsia" w:hAnsi="宋体"/>
          <w:sz w:val="24"/>
          <w:szCs w:val="24"/>
        </w:rPr>
        <w:t>34.2履约保证金用于补偿因中标供应商不能完成其合同义务而使采购人蒙受的损失。</w:t>
      </w:r>
    </w:p>
    <w:p w14:paraId="67ADB7D5">
      <w:pPr>
        <w:snapToGrid w:val="0"/>
        <w:spacing w:line="420" w:lineRule="exact"/>
        <w:ind w:left="7" w:hanging="7"/>
        <w:textAlignment w:val="baseline"/>
        <w:rPr>
          <w:rFonts w:hAnsi="宋体"/>
          <w:sz w:val="24"/>
          <w:szCs w:val="24"/>
        </w:rPr>
      </w:pPr>
      <w:r>
        <w:rPr>
          <w:rFonts w:hint="eastAsia" w:hAnsi="宋体"/>
          <w:sz w:val="24"/>
          <w:szCs w:val="24"/>
        </w:rPr>
        <w:t>34.3如果中标供应商没有按本须知“第37</w:t>
      </w:r>
      <w:r>
        <w:rPr>
          <w:rFonts w:hAnsi="宋体"/>
          <w:sz w:val="24"/>
          <w:szCs w:val="24"/>
        </w:rPr>
        <w:t>.1</w:t>
      </w:r>
      <w:r>
        <w:rPr>
          <w:rFonts w:hint="eastAsia" w:hAnsi="宋体"/>
          <w:sz w:val="24"/>
          <w:szCs w:val="24"/>
        </w:rPr>
        <w:t>条”规定执行，采购代理机构将按本须知“第16</w:t>
      </w:r>
      <w:r>
        <w:rPr>
          <w:rFonts w:hAnsi="宋体"/>
          <w:sz w:val="24"/>
          <w:szCs w:val="24"/>
        </w:rPr>
        <w:t>.</w:t>
      </w:r>
      <w:r>
        <w:rPr>
          <w:rFonts w:hint="eastAsia" w:hAnsi="宋体"/>
          <w:sz w:val="24"/>
          <w:szCs w:val="24"/>
        </w:rPr>
        <w:t>2条”规定不予退还其交纳的投标保证金。采购人将有充分理由取消该中标决定，在此情况下可以与排位在中标供应商之后第一位的中标候选供应商签订采购合同，以此类推；或重新组织招标。</w:t>
      </w:r>
    </w:p>
    <w:p w14:paraId="5391A022">
      <w:pPr>
        <w:snapToGrid w:val="0"/>
        <w:spacing w:line="420" w:lineRule="exact"/>
        <w:ind w:left="567" w:hanging="567"/>
        <w:textAlignment w:val="baseline"/>
        <w:rPr>
          <w:rFonts w:hAnsi="宋体"/>
          <w:b/>
          <w:bCs/>
          <w:sz w:val="24"/>
          <w:szCs w:val="24"/>
        </w:rPr>
      </w:pPr>
      <w:r>
        <w:rPr>
          <w:rFonts w:hint="eastAsia" w:hAnsi="宋体"/>
          <w:b/>
          <w:bCs/>
          <w:sz w:val="24"/>
          <w:szCs w:val="24"/>
        </w:rPr>
        <w:t>35. 采购代理服务费</w:t>
      </w:r>
    </w:p>
    <w:p w14:paraId="7F8C6B4E">
      <w:pPr>
        <w:snapToGrid w:val="0"/>
        <w:spacing w:line="420" w:lineRule="exact"/>
        <w:textAlignment w:val="baseline"/>
        <w:rPr>
          <w:rFonts w:hAnsi="宋体"/>
          <w:sz w:val="24"/>
          <w:szCs w:val="24"/>
        </w:rPr>
      </w:pPr>
      <w:r>
        <w:rPr>
          <w:rFonts w:hint="eastAsia" w:hAnsi="宋体"/>
          <w:sz w:val="24"/>
          <w:szCs w:val="24"/>
        </w:rPr>
        <w:t>35.1本次招标采购人同意采购代理机构向最后中标供应商按预算总价收取招标代理服务费，请各位投标供应商在投标报价时充分考虑这一因素。具体收费标准参考（原）国家发改委颁布的《招标代理服务收费管理暂行办法》（计价格[2002]1980号）文件，由中标单位在领取成交通知书时支付。</w:t>
      </w:r>
    </w:p>
    <w:p w14:paraId="1380AC6C">
      <w:pPr>
        <w:snapToGrid w:val="0"/>
        <w:spacing w:line="440" w:lineRule="exact"/>
        <w:textAlignment w:val="baseline"/>
        <w:rPr>
          <w:rFonts w:hAnsi="宋体"/>
          <w:b/>
          <w:sz w:val="28"/>
          <w:szCs w:val="28"/>
        </w:rPr>
      </w:pPr>
      <w:bookmarkStart w:id="115" w:name="_Toc83627167"/>
      <w:bookmarkStart w:id="116" w:name="_Toc447031334"/>
      <w:bookmarkStart w:id="117" w:name="_Toc450122255"/>
      <w:bookmarkStart w:id="118" w:name="_Toc17238"/>
      <w:bookmarkStart w:id="119" w:name="_Toc83626629"/>
      <w:bookmarkStart w:id="120" w:name="_Toc13815"/>
      <w:bookmarkStart w:id="121" w:name="_Toc31143"/>
      <w:bookmarkStart w:id="122" w:name="_Toc245611283"/>
      <w:r>
        <w:rPr>
          <w:rFonts w:hint="eastAsia" w:hAnsi="宋体"/>
          <w:b/>
          <w:sz w:val="28"/>
          <w:szCs w:val="28"/>
        </w:rPr>
        <w:t>十一、附则</w:t>
      </w:r>
      <w:bookmarkEnd w:id="115"/>
      <w:bookmarkEnd w:id="116"/>
      <w:bookmarkEnd w:id="117"/>
      <w:bookmarkEnd w:id="118"/>
      <w:bookmarkEnd w:id="119"/>
      <w:bookmarkEnd w:id="120"/>
      <w:bookmarkEnd w:id="121"/>
    </w:p>
    <w:p w14:paraId="39C02159">
      <w:pPr>
        <w:snapToGrid w:val="0"/>
        <w:spacing w:line="420" w:lineRule="exact"/>
        <w:ind w:left="567" w:hanging="567"/>
        <w:textAlignment w:val="baseline"/>
        <w:rPr>
          <w:rFonts w:hAnsi="宋体"/>
          <w:b/>
          <w:bCs/>
          <w:sz w:val="24"/>
          <w:szCs w:val="24"/>
        </w:rPr>
      </w:pPr>
      <w:r>
        <w:rPr>
          <w:rFonts w:hint="eastAsia" w:hAnsi="宋体"/>
          <w:b/>
          <w:bCs/>
          <w:sz w:val="24"/>
          <w:szCs w:val="24"/>
        </w:rPr>
        <w:t>36. 解释权</w:t>
      </w:r>
      <w:bookmarkEnd w:id="122"/>
    </w:p>
    <w:p w14:paraId="10D43D27">
      <w:pPr>
        <w:snapToGrid w:val="0"/>
        <w:spacing w:line="420" w:lineRule="exact"/>
        <w:textAlignment w:val="baseline"/>
        <w:rPr>
          <w:rFonts w:hAnsi="宋体"/>
          <w:sz w:val="24"/>
          <w:szCs w:val="24"/>
        </w:rPr>
      </w:pPr>
      <w:r>
        <w:rPr>
          <w:rFonts w:hint="eastAsia" w:hAnsi="宋体"/>
          <w:sz w:val="24"/>
          <w:szCs w:val="24"/>
        </w:rPr>
        <w:t>36.1本招标文件是根据国家有关法律、法规以及采购管理有关规定编制，解释权属</w:t>
      </w:r>
      <w:r>
        <w:rPr>
          <w:rFonts w:hint="eastAsia" w:hAnsi="宋体"/>
          <w:sz w:val="24"/>
          <w:szCs w:val="24"/>
          <w:lang w:eastAsia="zh-CN"/>
        </w:rPr>
        <w:t>浙江建科工程项目管理有限公司</w:t>
      </w:r>
      <w:r>
        <w:rPr>
          <w:rFonts w:hint="eastAsia" w:hAnsi="宋体"/>
          <w:sz w:val="24"/>
          <w:szCs w:val="24"/>
        </w:rPr>
        <w:t>。</w:t>
      </w:r>
    </w:p>
    <w:p w14:paraId="01E4E263">
      <w:pPr>
        <w:pStyle w:val="3"/>
        <w:snapToGrid w:val="0"/>
        <w:spacing w:line="440" w:lineRule="exact"/>
        <w:ind w:left="3825"/>
        <w:textAlignment w:val="baseline"/>
        <w:rPr>
          <w:sz w:val="24"/>
          <w:szCs w:val="24"/>
        </w:rPr>
      </w:pPr>
      <w:r>
        <w:rPr>
          <w:sz w:val="24"/>
          <w:szCs w:val="24"/>
        </w:rPr>
        <w:br w:type="page"/>
      </w:r>
    </w:p>
    <w:p w14:paraId="592D5FEB">
      <w:pPr>
        <w:snapToGrid w:val="0"/>
        <w:spacing w:line="440" w:lineRule="exact"/>
        <w:ind w:left="3825"/>
        <w:textAlignment w:val="baseline"/>
        <w:rPr>
          <w:sz w:val="24"/>
        </w:rPr>
      </w:pPr>
    </w:p>
    <w:p w14:paraId="6ED6A69A">
      <w:pPr>
        <w:pStyle w:val="3"/>
        <w:snapToGrid w:val="0"/>
        <w:spacing w:line="440" w:lineRule="exact"/>
        <w:ind w:leftChars="-1" w:hanging="3"/>
        <w:jc w:val="left"/>
        <w:textAlignment w:val="baseline"/>
        <w:rPr>
          <w:rFonts w:hAnsi="宋体"/>
          <w:b/>
          <w:sz w:val="32"/>
          <w:szCs w:val="32"/>
        </w:rPr>
      </w:pPr>
      <w:bookmarkStart w:id="123" w:name="_Toc83627168"/>
      <w:bookmarkEnd w:id="123"/>
      <w:bookmarkStart w:id="124" w:name="_Toc83626630"/>
      <w:bookmarkEnd w:id="124"/>
      <w:bookmarkStart w:id="125" w:name="_Toc512416065"/>
      <w:bookmarkStart w:id="126" w:name="_Toc447031337"/>
      <w:bookmarkStart w:id="127" w:name="_Toc30514"/>
      <w:bookmarkStart w:id="128" w:name="_Toc450122258"/>
    </w:p>
    <w:p w14:paraId="6609184F">
      <w:pPr>
        <w:pStyle w:val="3"/>
        <w:snapToGrid w:val="0"/>
        <w:spacing w:line="440" w:lineRule="exact"/>
        <w:jc w:val="center"/>
        <w:textAlignment w:val="baseline"/>
        <w:rPr>
          <w:rFonts w:hAnsi="宋体"/>
          <w:b/>
          <w:bCs/>
          <w:sz w:val="32"/>
        </w:rPr>
      </w:pPr>
      <w:bookmarkStart w:id="129" w:name="_Toc83626631"/>
      <w:bookmarkStart w:id="130" w:name="_Toc12784"/>
      <w:bookmarkStart w:id="131" w:name="_Toc83627169"/>
      <w:bookmarkStart w:id="132" w:name="_Toc14734"/>
      <w:r>
        <w:rPr>
          <w:rFonts w:hint="eastAsia" w:hAnsi="宋体"/>
          <w:b/>
          <w:bCs/>
          <w:sz w:val="32"/>
        </w:rPr>
        <w:t>第三章合同格式</w:t>
      </w:r>
      <w:bookmarkEnd w:id="125"/>
      <w:bookmarkEnd w:id="129"/>
      <w:bookmarkEnd w:id="130"/>
      <w:bookmarkEnd w:id="131"/>
      <w:bookmarkEnd w:id="132"/>
    </w:p>
    <w:p w14:paraId="1F75F582">
      <w:pPr>
        <w:snapToGrid w:val="0"/>
        <w:spacing w:line="440" w:lineRule="exact"/>
        <w:jc w:val="center"/>
        <w:textAlignment w:val="baseline"/>
        <w:rPr>
          <w:rFonts w:hint="eastAsia" w:hAnsi="宋体"/>
          <w:b/>
          <w:bCs/>
          <w:sz w:val="32"/>
          <w:highlight w:val="none"/>
        </w:rPr>
      </w:pPr>
      <w:bookmarkStart w:id="133" w:name="_Toc118"/>
      <w:bookmarkStart w:id="134" w:name="_Toc83627170"/>
      <w:bookmarkStart w:id="135" w:name="_Toc32040"/>
      <w:bookmarkStart w:id="136" w:name="_Toc83626632"/>
      <w:r>
        <w:rPr>
          <w:rFonts w:hint="eastAsia" w:hAnsi="宋体"/>
          <w:b/>
          <w:bCs/>
          <w:sz w:val="32"/>
          <w:highlight w:val="none"/>
        </w:rPr>
        <w:t>（格式自拟）</w:t>
      </w:r>
    </w:p>
    <w:p w14:paraId="59B9F694">
      <w:pPr>
        <w:pStyle w:val="13"/>
        <w:rPr>
          <w:rFonts w:hint="eastAsia" w:hAnsi="宋体"/>
          <w:b/>
          <w:bCs/>
          <w:sz w:val="32"/>
          <w:highlight w:val="none"/>
        </w:rPr>
      </w:pPr>
    </w:p>
    <w:p w14:paraId="6D575A4E">
      <w:pPr>
        <w:pStyle w:val="13"/>
        <w:rPr>
          <w:rFonts w:hint="eastAsia" w:hAnsi="宋体"/>
          <w:b/>
          <w:bCs/>
          <w:sz w:val="32"/>
          <w:highlight w:val="none"/>
        </w:rPr>
      </w:pPr>
    </w:p>
    <w:p w14:paraId="06CBA473">
      <w:pPr>
        <w:pStyle w:val="13"/>
        <w:rPr>
          <w:rFonts w:hint="eastAsia" w:hAnsi="宋体"/>
          <w:b/>
          <w:bCs/>
          <w:sz w:val="32"/>
          <w:highlight w:val="none"/>
        </w:rPr>
      </w:pPr>
    </w:p>
    <w:p w14:paraId="63513AAC">
      <w:pPr>
        <w:pStyle w:val="13"/>
        <w:rPr>
          <w:rFonts w:hint="eastAsia" w:hAnsi="宋体"/>
          <w:b/>
          <w:bCs/>
          <w:sz w:val="32"/>
          <w:highlight w:val="none"/>
        </w:rPr>
      </w:pPr>
    </w:p>
    <w:p w14:paraId="2335A6F3">
      <w:pPr>
        <w:pStyle w:val="13"/>
        <w:rPr>
          <w:rFonts w:hint="eastAsia" w:hAnsi="宋体"/>
          <w:b/>
          <w:bCs/>
          <w:sz w:val="32"/>
          <w:highlight w:val="none"/>
        </w:rPr>
      </w:pPr>
    </w:p>
    <w:p w14:paraId="45FF6C7A">
      <w:pPr>
        <w:pStyle w:val="13"/>
        <w:rPr>
          <w:rFonts w:hint="eastAsia" w:hAnsi="宋体"/>
          <w:b/>
          <w:bCs/>
          <w:sz w:val="32"/>
          <w:highlight w:val="none"/>
        </w:rPr>
      </w:pPr>
    </w:p>
    <w:p w14:paraId="00BC32F7">
      <w:pPr>
        <w:pStyle w:val="13"/>
        <w:rPr>
          <w:rFonts w:hint="eastAsia" w:hAnsi="宋体"/>
          <w:b/>
          <w:bCs/>
          <w:sz w:val="32"/>
          <w:highlight w:val="none"/>
        </w:rPr>
      </w:pPr>
    </w:p>
    <w:p w14:paraId="03807C32">
      <w:pPr>
        <w:pStyle w:val="13"/>
        <w:rPr>
          <w:rFonts w:hint="eastAsia" w:hAnsi="宋体"/>
          <w:b/>
          <w:bCs/>
          <w:sz w:val="32"/>
          <w:highlight w:val="none"/>
        </w:rPr>
      </w:pPr>
    </w:p>
    <w:p w14:paraId="16C39B1B">
      <w:pPr>
        <w:pStyle w:val="13"/>
        <w:rPr>
          <w:rFonts w:hint="eastAsia" w:hAnsi="宋体"/>
          <w:b/>
          <w:bCs/>
          <w:sz w:val="32"/>
          <w:highlight w:val="none"/>
        </w:rPr>
      </w:pPr>
    </w:p>
    <w:p w14:paraId="7EB110BE">
      <w:pPr>
        <w:pStyle w:val="13"/>
        <w:rPr>
          <w:rFonts w:hint="eastAsia" w:hAnsi="宋体"/>
          <w:b/>
          <w:bCs/>
          <w:sz w:val="32"/>
          <w:highlight w:val="none"/>
        </w:rPr>
      </w:pPr>
    </w:p>
    <w:p w14:paraId="0D8D9BAA">
      <w:pPr>
        <w:pStyle w:val="13"/>
        <w:rPr>
          <w:rFonts w:hint="eastAsia" w:hAnsi="宋体"/>
          <w:b/>
          <w:bCs/>
          <w:sz w:val="32"/>
          <w:highlight w:val="none"/>
        </w:rPr>
      </w:pPr>
    </w:p>
    <w:p w14:paraId="3B6F986D">
      <w:pPr>
        <w:pStyle w:val="13"/>
        <w:rPr>
          <w:rFonts w:hint="eastAsia" w:hAnsi="宋体"/>
          <w:b/>
          <w:bCs/>
          <w:sz w:val="32"/>
          <w:highlight w:val="none"/>
        </w:rPr>
      </w:pPr>
    </w:p>
    <w:p w14:paraId="21564FB8">
      <w:pPr>
        <w:pStyle w:val="13"/>
        <w:rPr>
          <w:rFonts w:hint="eastAsia" w:hAnsi="宋体"/>
          <w:b/>
          <w:bCs/>
          <w:sz w:val="32"/>
          <w:highlight w:val="none"/>
        </w:rPr>
      </w:pPr>
    </w:p>
    <w:p w14:paraId="27AB25B3">
      <w:pPr>
        <w:pStyle w:val="13"/>
        <w:rPr>
          <w:rFonts w:hint="eastAsia" w:hAnsi="宋体"/>
          <w:b/>
          <w:bCs/>
          <w:sz w:val="32"/>
          <w:highlight w:val="none"/>
        </w:rPr>
      </w:pPr>
    </w:p>
    <w:p w14:paraId="1FB5AD32">
      <w:pPr>
        <w:pStyle w:val="13"/>
        <w:rPr>
          <w:rFonts w:hint="eastAsia" w:hAnsi="宋体"/>
          <w:b/>
          <w:bCs/>
          <w:sz w:val="32"/>
          <w:highlight w:val="none"/>
        </w:rPr>
      </w:pPr>
    </w:p>
    <w:p w14:paraId="0BE7E1C8">
      <w:pPr>
        <w:pStyle w:val="13"/>
        <w:rPr>
          <w:rFonts w:hint="eastAsia" w:hAnsi="宋体"/>
          <w:b/>
          <w:bCs/>
          <w:sz w:val="32"/>
          <w:highlight w:val="none"/>
        </w:rPr>
      </w:pPr>
    </w:p>
    <w:p w14:paraId="4ADDF4B1">
      <w:pPr>
        <w:pStyle w:val="13"/>
        <w:rPr>
          <w:rFonts w:hint="eastAsia" w:hAnsi="宋体"/>
          <w:b/>
          <w:bCs/>
          <w:sz w:val="32"/>
          <w:highlight w:val="none"/>
        </w:rPr>
      </w:pPr>
    </w:p>
    <w:p w14:paraId="3BF2A90B">
      <w:pPr>
        <w:pStyle w:val="13"/>
        <w:rPr>
          <w:rFonts w:hint="eastAsia" w:hAnsi="宋体"/>
          <w:b/>
          <w:bCs/>
          <w:sz w:val="32"/>
          <w:highlight w:val="none"/>
        </w:rPr>
      </w:pPr>
    </w:p>
    <w:p w14:paraId="3D11AE86">
      <w:pPr>
        <w:pStyle w:val="13"/>
        <w:rPr>
          <w:rFonts w:hint="eastAsia" w:hAnsi="宋体"/>
          <w:b/>
          <w:bCs/>
          <w:sz w:val="32"/>
          <w:highlight w:val="none"/>
        </w:rPr>
      </w:pPr>
    </w:p>
    <w:p w14:paraId="6AED76AC">
      <w:pPr>
        <w:pStyle w:val="13"/>
        <w:rPr>
          <w:rFonts w:hint="eastAsia" w:hAnsi="宋体"/>
          <w:b/>
          <w:bCs/>
          <w:sz w:val="32"/>
          <w:highlight w:val="none"/>
        </w:rPr>
      </w:pPr>
    </w:p>
    <w:p w14:paraId="113E77A3">
      <w:pPr>
        <w:pStyle w:val="13"/>
        <w:rPr>
          <w:rFonts w:hint="eastAsia" w:hAnsi="宋体"/>
          <w:b/>
          <w:bCs/>
          <w:sz w:val="32"/>
          <w:highlight w:val="none"/>
        </w:rPr>
      </w:pPr>
    </w:p>
    <w:p w14:paraId="6E8EA37E">
      <w:pPr>
        <w:pStyle w:val="13"/>
        <w:rPr>
          <w:rFonts w:hint="eastAsia" w:hAnsi="宋体"/>
          <w:b/>
          <w:bCs/>
          <w:sz w:val="32"/>
          <w:highlight w:val="none"/>
        </w:rPr>
      </w:pPr>
    </w:p>
    <w:p w14:paraId="64118501">
      <w:pPr>
        <w:pStyle w:val="13"/>
        <w:rPr>
          <w:rFonts w:hint="eastAsia" w:hAnsi="宋体"/>
          <w:b/>
          <w:bCs/>
          <w:sz w:val="32"/>
          <w:highlight w:val="none"/>
        </w:rPr>
      </w:pPr>
    </w:p>
    <w:p w14:paraId="65C97137">
      <w:pPr>
        <w:pStyle w:val="13"/>
        <w:jc w:val="center"/>
        <w:rPr>
          <w:rFonts w:hint="eastAsia" w:hAnsi="宋体"/>
          <w:b/>
          <w:bCs/>
          <w:sz w:val="32"/>
          <w:highlight w:val="none"/>
        </w:rPr>
      </w:pPr>
    </w:p>
    <w:p w14:paraId="7125436D">
      <w:pPr>
        <w:pStyle w:val="3"/>
        <w:snapToGrid w:val="0"/>
        <w:spacing w:line="440" w:lineRule="exact"/>
        <w:jc w:val="center"/>
        <w:textAlignment w:val="baseline"/>
        <w:rPr>
          <w:rFonts w:hAnsi="宋体"/>
          <w:b/>
          <w:bCs/>
          <w:sz w:val="32"/>
        </w:rPr>
      </w:pPr>
      <w:r>
        <w:rPr>
          <w:rFonts w:hint="eastAsia" w:hAnsi="宋体"/>
          <w:b/>
          <w:bCs/>
          <w:sz w:val="32"/>
        </w:rPr>
        <w:t>第四章  附件（投标文件格式）</w:t>
      </w:r>
      <w:bookmarkEnd w:id="126"/>
      <w:bookmarkEnd w:id="127"/>
      <w:bookmarkEnd w:id="128"/>
      <w:bookmarkEnd w:id="133"/>
      <w:bookmarkEnd w:id="134"/>
      <w:bookmarkEnd w:id="135"/>
      <w:bookmarkEnd w:id="136"/>
    </w:p>
    <w:p w14:paraId="298E5388">
      <w:pPr>
        <w:snapToGrid w:val="0"/>
        <w:textAlignment w:val="baseline"/>
        <w:rPr>
          <w:rFonts w:hAnsi="宋体"/>
          <w:sz w:val="84"/>
          <w:szCs w:val="84"/>
        </w:rPr>
      </w:pPr>
    </w:p>
    <w:p w14:paraId="46D9C05A">
      <w:pPr>
        <w:snapToGrid w:val="0"/>
        <w:textAlignment w:val="baseline"/>
        <w:rPr>
          <w:rFonts w:hAnsi="宋体"/>
          <w:sz w:val="84"/>
          <w:szCs w:val="84"/>
        </w:rPr>
      </w:pPr>
    </w:p>
    <w:p w14:paraId="7D5FDB18">
      <w:pPr>
        <w:snapToGrid w:val="0"/>
        <w:jc w:val="center"/>
        <w:textAlignment w:val="baseline"/>
        <w:rPr>
          <w:rFonts w:hAnsi="宋体"/>
          <w:sz w:val="84"/>
          <w:szCs w:val="84"/>
        </w:rPr>
      </w:pPr>
      <w:r>
        <w:rPr>
          <w:rFonts w:hint="eastAsia" w:hAnsi="宋体"/>
          <w:sz w:val="84"/>
          <w:szCs w:val="84"/>
        </w:rPr>
        <w:t>投 标 文 件</w:t>
      </w:r>
    </w:p>
    <w:p w14:paraId="37946D24">
      <w:pPr>
        <w:snapToGrid w:val="0"/>
        <w:textAlignment w:val="baseline"/>
        <w:rPr>
          <w:rFonts w:hAnsi="宋体"/>
          <w:sz w:val="24"/>
        </w:rPr>
      </w:pPr>
    </w:p>
    <w:p w14:paraId="56D24B72">
      <w:pPr>
        <w:snapToGrid w:val="0"/>
        <w:textAlignment w:val="baseline"/>
        <w:rPr>
          <w:rFonts w:hAnsi="宋体"/>
          <w:sz w:val="24"/>
        </w:rPr>
      </w:pPr>
    </w:p>
    <w:p w14:paraId="0306A579">
      <w:pPr>
        <w:snapToGrid w:val="0"/>
        <w:textAlignment w:val="baseline"/>
        <w:rPr>
          <w:rFonts w:hAnsi="宋体"/>
          <w:sz w:val="24"/>
        </w:rPr>
      </w:pPr>
    </w:p>
    <w:p w14:paraId="764C728D">
      <w:pPr>
        <w:snapToGrid w:val="0"/>
        <w:textAlignment w:val="baseline"/>
        <w:rPr>
          <w:rFonts w:hAnsi="宋体"/>
          <w:sz w:val="24"/>
        </w:rPr>
      </w:pPr>
    </w:p>
    <w:p w14:paraId="5637BC18">
      <w:pPr>
        <w:snapToGrid w:val="0"/>
        <w:textAlignment w:val="baseline"/>
        <w:rPr>
          <w:rFonts w:hAnsi="宋体"/>
          <w:sz w:val="24"/>
        </w:rPr>
      </w:pPr>
    </w:p>
    <w:p w14:paraId="4715AA82">
      <w:pPr>
        <w:snapToGrid w:val="0"/>
        <w:textAlignment w:val="baseline"/>
        <w:rPr>
          <w:rFonts w:hAnsi="宋体"/>
          <w:sz w:val="24"/>
        </w:rPr>
      </w:pPr>
    </w:p>
    <w:p w14:paraId="2FD307D3">
      <w:pPr>
        <w:snapToGrid w:val="0"/>
        <w:textAlignment w:val="baseline"/>
        <w:rPr>
          <w:rFonts w:hAnsi="宋体"/>
          <w:sz w:val="24"/>
        </w:rPr>
      </w:pPr>
    </w:p>
    <w:p w14:paraId="04487BB8">
      <w:pPr>
        <w:snapToGrid w:val="0"/>
        <w:textAlignment w:val="baseline"/>
        <w:rPr>
          <w:rFonts w:hAnsi="宋体"/>
          <w:sz w:val="24"/>
        </w:rPr>
      </w:pPr>
    </w:p>
    <w:p w14:paraId="534CC478">
      <w:pPr>
        <w:snapToGrid w:val="0"/>
        <w:textAlignment w:val="baseline"/>
        <w:rPr>
          <w:rFonts w:hAnsi="宋体"/>
          <w:sz w:val="24"/>
        </w:rPr>
      </w:pPr>
    </w:p>
    <w:p w14:paraId="68695CB6">
      <w:pPr>
        <w:snapToGrid w:val="0"/>
        <w:textAlignment w:val="baseline"/>
        <w:rPr>
          <w:rFonts w:hAnsi="宋体"/>
          <w:sz w:val="28"/>
          <w:u w:val="single"/>
        </w:rPr>
      </w:pPr>
      <w:r>
        <w:rPr>
          <w:rFonts w:hint="eastAsia" w:hAnsi="宋体"/>
          <w:sz w:val="28"/>
        </w:rPr>
        <w:t xml:space="preserve">               项目名称： </w:t>
      </w:r>
    </w:p>
    <w:p w14:paraId="14E054BA">
      <w:pPr>
        <w:snapToGrid w:val="0"/>
        <w:textAlignment w:val="baseline"/>
        <w:rPr>
          <w:rFonts w:hAnsi="宋体"/>
          <w:sz w:val="28"/>
          <w:u w:val="single"/>
        </w:rPr>
      </w:pPr>
    </w:p>
    <w:p w14:paraId="4D636C0E">
      <w:pPr>
        <w:snapToGrid w:val="0"/>
        <w:textAlignment w:val="baseline"/>
        <w:rPr>
          <w:rFonts w:hAnsi="宋体"/>
          <w:sz w:val="28"/>
          <w:u w:val="single"/>
        </w:rPr>
      </w:pPr>
    </w:p>
    <w:p w14:paraId="646DE50F">
      <w:pPr>
        <w:snapToGrid w:val="0"/>
        <w:textAlignment w:val="baseline"/>
        <w:rPr>
          <w:rFonts w:hAnsi="宋体"/>
          <w:sz w:val="28"/>
          <w:u w:val="single"/>
        </w:rPr>
      </w:pPr>
      <w:r>
        <w:rPr>
          <w:rFonts w:hint="eastAsia" w:hAnsi="宋体"/>
          <w:sz w:val="28"/>
        </w:rPr>
        <w:t xml:space="preserve">               招标编号： </w:t>
      </w:r>
    </w:p>
    <w:p w14:paraId="20AAFBFE">
      <w:pPr>
        <w:snapToGrid w:val="0"/>
        <w:textAlignment w:val="baseline"/>
        <w:rPr>
          <w:rFonts w:hAnsi="宋体"/>
          <w:sz w:val="28"/>
          <w:u w:val="single"/>
        </w:rPr>
      </w:pPr>
    </w:p>
    <w:p w14:paraId="03E6D099">
      <w:pPr>
        <w:snapToGrid w:val="0"/>
        <w:textAlignment w:val="baseline"/>
        <w:rPr>
          <w:rFonts w:hAnsi="宋体"/>
          <w:sz w:val="28"/>
          <w:u w:val="single"/>
        </w:rPr>
      </w:pPr>
    </w:p>
    <w:p w14:paraId="26B693D0">
      <w:pPr>
        <w:snapToGrid w:val="0"/>
        <w:textAlignment w:val="baseline"/>
        <w:rPr>
          <w:rFonts w:hAnsi="宋体"/>
          <w:sz w:val="28"/>
          <w:u w:val="single"/>
        </w:rPr>
      </w:pPr>
    </w:p>
    <w:p w14:paraId="254EDFAF">
      <w:pPr>
        <w:snapToGrid w:val="0"/>
        <w:textAlignment w:val="baseline"/>
        <w:rPr>
          <w:rFonts w:hAnsi="宋体"/>
          <w:sz w:val="28"/>
          <w:u w:val="single"/>
        </w:rPr>
      </w:pPr>
    </w:p>
    <w:p w14:paraId="07C6376D">
      <w:pPr>
        <w:snapToGrid w:val="0"/>
        <w:textAlignment w:val="baseline"/>
        <w:rPr>
          <w:rFonts w:hAnsi="宋体"/>
          <w:sz w:val="28"/>
          <w:u w:val="single"/>
        </w:rPr>
      </w:pPr>
    </w:p>
    <w:p w14:paraId="0DF03D84">
      <w:pPr>
        <w:snapToGrid w:val="0"/>
        <w:textAlignment w:val="baseline"/>
        <w:rPr>
          <w:rFonts w:hAnsi="宋体"/>
          <w:sz w:val="28"/>
          <w:u w:val="single"/>
        </w:rPr>
      </w:pPr>
    </w:p>
    <w:p w14:paraId="3270A434">
      <w:pPr>
        <w:snapToGrid w:val="0"/>
        <w:textAlignment w:val="baseline"/>
        <w:rPr>
          <w:rFonts w:hAnsi="宋体"/>
          <w:sz w:val="28"/>
          <w:u w:val="single"/>
        </w:rPr>
      </w:pPr>
    </w:p>
    <w:p w14:paraId="32736F2E">
      <w:pPr>
        <w:snapToGrid w:val="0"/>
        <w:textAlignment w:val="baseline"/>
        <w:rPr>
          <w:rFonts w:hAnsi="宋体"/>
          <w:sz w:val="28"/>
          <w:u w:val="single"/>
        </w:rPr>
      </w:pPr>
    </w:p>
    <w:p w14:paraId="115BCBC8">
      <w:pPr>
        <w:snapToGrid w:val="0"/>
        <w:textAlignment w:val="baseline"/>
        <w:rPr>
          <w:rFonts w:hAnsi="宋体"/>
          <w:sz w:val="28"/>
          <w:u w:val="single"/>
        </w:rPr>
      </w:pPr>
    </w:p>
    <w:p w14:paraId="7789FD17">
      <w:pPr>
        <w:snapToGrid w:val="0"/>
        <w:jc w:val="center"/>
        <w:textAlignment w:val="baseline"/>
        <w:rPr>
          <w:rFonts w:hAnsi="宋体"/>
          <w:sz w:val="28"/>
        </w:rPr>
      </w:pPr>
      <w:r>
        <w:rPr>
          <w:rFonts w:hint="eastAsia" w:hAnsi="宋体"/>
          <w:sz w:val="28"/>
        </w:rPr>
        <w:t>投标单位（签章）</w:t>
      </w:r>
    </w:p>
    <w:p w14:paraId="1F2BB5E7">
      <w:pPr>
        <w:snapToGrid w:val="0"/>
        <w:jc w:val="center"/>
        <w:textAlignment w:val="baseline"/>
        <w:rPr>
          <w:rFonts w:hAnsi="宋体"/>
          <w:sz w:val="28"/>
        </w:rPr>
      </w:pPr>
    </w:p>
    <w:p w14:paraId="63EA997D">
      <w:pPr>
        <w:snapToGrid w:val="0"/>
        <w:jc w:val="center"/>
        <w:textAlignment w:val="baseline"/>
        <w:rPr>
          <w:rFonts w:hAnsi="宋体"/>
          <w:w w:val="80"/>
          <w:sz w:val="36"/>
        </w:rPr>
        <w:sectPr>
          <w:headerReference r:id="rId3" w:type="default"/>
          <w:footerReference r:id="rId4" w:type="default"/>
          <w:pgSz w:w="11849" w:h="16781"/>
          <w:pgMar w:top="680" w:right="1077" w:bottom="907" w:left="1417" w:header="567" w:footer="510" w:gutter="170"/>
          <w:pgNumType w:start="1"/>
          <w:cols w:space="720" w:num="1"/>
          <w:docGrid w:linePitch="285" w:charSpace="0"/>
        </w:sectPr>
      </w:pPr>
      <w:r>
        <w:rPr>
          <w:rFonts w:hint="eastAsia" w:hAnsi="宋体"/>
          <w:sz w:val="28"/>
        </w:rPr>
        <w:t xml:space="preserve">    年   月   日</w:t>
      </w:r>
    </w:p>
    <w:p w14:paraId="29E837B8">
      <w:pPr>
        <w:pStyle w:val="4"/>
        <w:snapToGrid w:val="0"/>
        <w:spacing w:before="0" w:after="0" w:line="460" w:lineRule="exact"/>
        <w:jc w:val="center"/>
        <w:textAlignment w:val="baseline"/>
        <w:rPr>
          <w:rFonts w:ascii="宋体" w:hAnsi="宋体" w:eastAsia="宋体"/>
          <w:sz w:val="30"/>
          <w:szCs w:val="30"/>
        </w:rPr>
      </w:pPr>
      <w:bookmarkStart w:id="137" w:name="_Toc83627171"/>
      <w:bookmarkStart w:id="138" w:name="_Toc281381182"/>
      <w:bookmarkStart w:id="139" w:name="_Toc450122259"/>
      <w:bookmarkStart w:id="140" w:name="_Toc15934"/>
      <w:bookmarkStart w:id="141" w:name="_Toc21303"/>
      <w:bookmarkStart w:id="142" w:name="_Toc25796"/>
      <w:bookmarkStart w:id="143" w:name="_Toc447031338"/>
      <w:bookmarkStart w:id="144" w:name="_Toc83626633"/>
      <w:r>
        <w:rPr>
          <w:rFonts w:hint="eastAsia" w:ascii="宋体" w:hAnsi="宋体" w:eastAsia="宋体"/>
          <w:sz w:val="30"/>
          <w:szCs w:val="30"/>
        </w:rPr>
        <w:t>1．投标书</w:t>
      </w:r>
      <w:bookmarkEnd w:id="137"/>
      <w:bookmarkEnd w:id="138"/>
      <w:bookmarkEnd w:id="139"/>
      <w:bookmarkEnd w:id="140"/>
      <w:bookmarkEnd w:id="141"/>
      <w:bookmarkEnd w:id="142"/>
      <w:bookmarkEnd w:id="143"/>
      <w:bookmarkEnd w:id="144"/>
    </w:p>
    <w:p w14:paraId="610ECC20">
      <w:pPr>
        <w:snapToGrid w:val="0"/>
        <w:spacing w:line="400" w:lineRule="exact"/>
        <w:textAlignment w:val="baseline"/>
        <w:rPr>
          <w:rFonts w:hint="eastAsia" w:hAnsi="宋体" w:eastAsia="宋体"/>
          <w:sz w:val="24"/>
          <w:szCs w:val="24"/>
          <w:lang w:eastAsia="zh-CN"/>
        </w:rPr>
      </w:pPr>
      <w:r>
        <w:rPr>
          <w:rFonts w:hint="eastAsia" w:hAnsi="宋体"/>
          <w:sz w:val="24"/>
          <w:szCs w:val="24"/>
        </w:rPr>
        <w:t>致：</w:t>
      </w:r>
      <w:r>
        <w:rPr>
          <w:rFonts w:hint="eastAsia" w:hAnsi="宋体"/>
          <w:sz w:val="24"/>
          <w:szCs w:val="24"/>
          <w:lang w:eastAsia="zh-CN"/>
        </w:rPr>
        <w:t>浙江建科工程项目管理有限公司</w:t>
      </w:r>
    </w:p>
    <w:p w14:paraId="37C79599">
      <w:pPr>
        <w:snapToGrid w:val="0"/>
        <w:spacing w:line="380" w:lineRule="exact"/>
        <w:ind w:firstLine="480"/>
        <w:textAlignment w:val="baseline"/>
        <w:rPr>
          <w:rFonts w:hAnsi="宋体"/>
          <w:sz w:val="24"/>
          <w:szCs w:val="24"/>
        </w:rPr>
      </w:pPr>
      <w:r>
        <w:rPr>
          <w:rFonts w:hint="eastAsia" w:hAnsi="宋体"/>
          <w:sz w:val="24"/>
          <w:szCs w:val="24"/>
        </w:rPr>
        <w:t>根据贵方为</w:t>
      </w:r>
      <w:r>
        <w:rPr>
          <w:rFonts w:hAnsi="宋体"/>
          <w:sz w:val="24"/>
          <w:szCs w:val="24"/>
        </w:rPr>
        <w:t>(</w:t>
      </w:r>
      <w:r>
        <w:rPr>
          <w:rFonts w:hint="eastAsia" w:hAnsi="宋体"/>
          <w:sz w:val="24"/>
          <w:szCs w:val="24"/>
          <w:u w:val="single" w:color="000000"/>
        </w:rPr>
        <w:t>项目名称</w:t>
      </w:r>
      <w:r>
        <w:rPr>
          <w:rFonts w:hAnsi="宋体"/>
          <w:sz w:val="24"/>
          <w:szCs w:val="24"/>
        </w:rPr>
        <w:t>)</w:t>
      </w:r>
      <w:r>
        <w:rPr>
          <w:rFonts w:hint="eastAsia" w:hAnsi="宋体"/>
          <w:sz w:val="24"/>
          <w:szCs w:val="24"/>
        </w:rPr>
        <w:t>项目招标采购的投标邀请(</w:t>
      </w:r>
      <w:r>
        <w:rPr>
          <w:rFonts w:hint="eastAsia" w:hAnsi="宋体"/>
          <w:sz w:val="24"/>
          <w:szCs w:val="24"/>
          <w:u w:val="single" w:color="000000"/>
        </w:rPr>
        <w:t>招标编号</w:t>
      </w:r>
      <w:r>
        <w:rPr>
          <w:rFonts w:hAnsi="宋体"/>
          <w:sz w:val="24"/>
          <w:szCs w:val="24"/>
        </w:rPr>
        <w:t>)</w:t>
      </w:r>
      <w:r>
        <w:rPr>
          <w:rFonts w:hint="eastAsia" w:hAnsi="宋体"/>
          <w:sz w:val="24"/>
          <w:szCs w:val="24"/>
        </w:rPr>
        <w:t>，签字代表</w:t>
      </w:r>
      <w:r>
        <w:rPr>
          <w:rFonts w:hAnsi="宋体"/>
          <w:sz w:val="24"/>
          <w:szCs w:val="24"/>
        </w:rPr>
        <w:t>(</w:t>
      </w:r>
      <w:r>
        <w:rPr>
          <w:rFonts w:hint="eastAsia" w:hAnsi="宋体"/>
          <w:sz w:val="24"/>
          <w:szCs w:val="24"/>
          <w:u w:val="single" w:color="000000"/>
        </w:rPr>
        <w:t>姓名、职务</w:t>
      </w:r>
      <w:r>
        <w:rPr>
          <w:rFonts w:hAnsi="宋体"/>
          <w:sz w:val="24"/>
          <w:szCs w:val="24"/>
        </w:rPr>
        <w:t>)</w:t>
      </w:r>
      <w:r>
        <w:rPr>
          <w:rFonts w:hint="eastAsia" w:hAnsi="宋体"/>
          <w:sz w:val="24"/>
          <w:szCs w:val="24"/>
        </w:rPr>
        <w:t>经正式授权并代表投标人</w:t>
      </w:r>
      <w:r>
        <w:rPr>
          <w:rFonts w:hAnsi="宋体"/>
          <w:sz w:val="24"/>
          <w:szCs w:val="24"/>
          <w:u w:val="single" w:color="000000"/>
        </w:rPr>
        <w:t>(</w:t>
      </w:r>
      <w:r>
        <w:rPr>
          <w:rFonts w:hint="eastAsia" w:hAnsi="宋体"/>
          <w:sz w:val="24"/>
          <w:szCs w:val="24"/>
          <w:u w:val="single" w:color="000000"/>
        </w:rPr>
        <w:t>投标人名称、地址)</w:t>
      </w:r>
      <w:r>
        <w:rPr>
          <w:rFonts w:hint="eastAsia" w:hAnsi="宋体"/>
          <w:sz w:val="24"/>
          <w:szCs w:val="24"/>
        </w:rPr>
        <w:t>提交下述文件</w:t>
      </w:r>
      <w:r>
        <w:rPr>
          <w:rFonts w:hAnsi="宋体"/>
          <w:sz w:val="24"/>
          <w:szCs w:val="24"/>
        </w:rPr>
        <w:t>:</w:t>
      </w:r>
    </w:p>
    <w:p w14:paraId="34CD2D61">
      <w:pPr>
        <w:snapToGrid w:val="0"/>
        <w:spacing w:line="460" w:lineRule="exact"/>
        <w:ind w:firstLine="576" w:firstLineChars="240"/>
        <w:textAlignment w:val="baseline"/>
        <w:rPr>
          <w:rFonts w:hAnsi="宋体"/>
          <w:sz w:val="24"/>
          <w:szCs w:val="24"/>
        </w:rPr>
      </w:pPr>
      <w:r>
        <w:rPr>
          <w:rFonts w:hint="eastAsia" w:hAnsi="宋体"/>
          <w:sz w:val="24"/>
          <w:szCs w:val="24"/>
        </w:rPr>
        <w:t>1. 开标一览表</w:t>
      </w:r>
    </w:p>
    <w:p w14:paraId="653138B2">
      <w:pPr>
        <w:snapToGrid w:val="0"/>
        <w:spacing w:line="460" w:lineRule="exact"/>
        <w:ind w:firstLine="576" w:firstLineChars="240"/>
        <w:textAlignment w:val="baseline"/>
        <w:rPr>
          <w:rFonts w:hAnsi="宋体"/>
          <w:sz w:val="24"/>
          <w:szCs w:val="24"/>
        </w:rPr>
      </w:pPr>
      <w:r>
        <w:rPr>
          <w:rFonts w:hint="eastAsia" w:hAnsi="宋体"/>
          <w:sz w:val="24"/>
          <w:szCs w:val="24"/>
        </w:rPr>
        <w:t>2. 分项报价表</w:t>
      </w:r>
    </w:p>
    <w:p w14:paraId="52B12C32">
      <w:pPr>
        <w:snapToGrid w:val="0"/>
        <w:spacing w:line="460" w:lineRule="exact"/>
        <w:ind w:firstLine="576" w:firstLineChars="240"/>
        <w:textAlignment w:val="baseline"/>
        <w:rPr>
          <w:rFonts w:hAnsi="宋体"/>
          <w:sz w:val="24"/>
          <w:szCs w:val="24"/>
        </w:rPr>
      </w:pPr>
      <w:r>
        <w:rPr>
          <w:rFonts w:hint="eastAsia" w:hAnsi="宋体"/>
          <w:sz w:val="24"/>
          <w:szCs w:val="24"/>
        </w:rPr>
        <w:t>3. 开标一览明细表</w:t>
      </w:r>
    </w:p>
    <w:p w14:paraId="5848987B">
      <w:pPr>
        <w:snapToGrid w:val="0"/>
        <w:spacing w:line="460" w:lineRule="exact"/>
        <w:ind w:firstLine="576" w:firstLineChars="240"/>
        <w:textAlignment w:val="baseline"/>
        <w:rPr>
          <w:rFonts w:hAnsi="宋体"/>
          <w:sz w:val="24"/>
          <w:szCs w:val="24"/>
        </w:rPr>
      </w:pPr>
      <w:r>
        <w:rPr>
          <w:rFonts w:hint="eastAsia" w:hAnsi="宋体"/>
          <w:sz w:val="24"/>
          <w:szCs w:val="24"/>
        </w:rPr>
        <w:t>4. 技术条款响应/偏离表</w:t>
      </w:r>
    </w:p>
    <w:p w14:paraId="26BA560E">
      <w:pPr>
        <w:snapToGrid w:val="0"/>
        <w:spacing w:line="460" w:lineRule="exact"/>
        <w:ind w:firstLine="576" w:firstLineChars="240"/>
        <w:textAlignment w:val="baseline"/>
        <w:rPr>
          <w:rFonts w:hAnsi="宋体"/>
          <w:sz w:val="24"/>
          <w:szCs w:val="24"/>
        </w:rPr>
      </w:pPr>
      <w:r>
        <w:rPr>
          <w:rFonts w:hint="eastAsia" w:hAnsi="宋体"/>
          <w:sz w:val="24"/>
          <w:szCs w:val="24"/>
        </w:rPr>
        <w:t>5. 商务条款响应/偏离表</w:t>
      </w:r>
    </w:p>
    <w:p w14:paraId="53D17B4B">
      <w:pPr>
        <w:snapToGrid w:val="0"/>
        <w:spacing w:line="460" w:lineRule="exact"/>
        <w:ind w:firstLine="576" w:firstLineChars="240"/>
        <w:textAlignment w:val="baseline"/>
        <w:rPr>
          <w:rFonts w:hAnsi="宋体"/>
          <w:sz w:val="24"/>
          <w:szCs w:val="24"/>
        </w:rPr>
      </w:pPr>
      <w:r>
        <w:rPr>
          <w:rFonts w:hint="eastAsia" w:hAnsi="宋体"/>
          <w:sz w:val="24"/>
          <w:szCs w:val="24"/>
        </w:rPr>
        <w:t>6. 按招标文件投标人须知和技术规格要求提供的有关文件</w:t>
      </w:r>
    </w:p>
    <w:p w14:paraId="10B6E6A7">
      <w:pPr>
        <w:snapToGrid w:val="0"/>
        <w:spacing w:line="460" w:lineRule="exact"/>
        <w:ind w:firstLine="576" w:firstLineChars="240"/>
        <w:textAlignment w:val="baseline"/>
        <w:rPr>
          <w:rFonts w:hAnsi="宋体"/>
          <w:sz w:val="24"/>
          <w:szCs w:val="24"/>
        </w:rPr>
      </w:pPr>
      <w:r>
        <w:rPr>
          <w:rFonts w:hint="eastAsia" w:hAnsi="宋体"/>
          <w:sz w:val="24"/>
          <w:szCs w:val="24"/>
        </w:rPr>
        <w:t>7. 资格证明文件</w:t>
      </w:r>
    </w:p>
    <w:p w14:paraId="0C31B497">
      <w:pPr>
        <w:snapToGrid w:val="0"/>
        <w:spacing w:line="460" w:lineRule="exact"/>
        <w:ind w:firstLine="576" w:firstLineChars="240"/>
        <w:textAlignment w:val="baseline"/>
        <w:rPr>
          <w:rFonts w:hAnsi="宋体"/>
          <w:sz w:val="24"/>
          <w:szCs w:val="24"/>
        </w:rPr>
      </w:pPr>
      <w:r>
        <w:rPr>
          <w:rFonts w:hint="eastAsia" w:hAnsi="宋体"/>
          <w:sz w:val="24"/>
          <w:szCs w:val="24"/>
        </w:rPr>
        <w:t>8. 提交的投标保证金，金额为</w:t>
      </w:r>
      <w:r>
        <w:rPr>
          <w:rFonts w:hint="eastAsia" w:hAnsi="宋体"/>
          <w:sz w:val="24"/>
          <w:szCs w:val="24"/>
          <w:u w:val="single"/>
          <w:lang w:val="en-US" w:eastAsia="zh-CN"/>
        </w:rPr>
        <w:t xml:space="preserve">    </w:t>
      </w:r>
      <w:r>
        <w:rPr>
          <w:rFonts w:hint="eastAsia" w:hAnsi="宋体"/>
          <w:sz w:val="24"/>
          <w:szCs w:val="24"/>
        </w:rPr>
        <w:t>。（附保证金回执单或保函等）</w:t>
      </w:r>
    </w:p>
    <w:p w14:paraId="68A4DF2D">
      <w:pPr>
        <w:snapToGrid w:val="0"/>
        <w:spacing w:line="380" w:lineRule="exact"/>
        <w:ind w:left="707" w:hanging="283"/>
        <w:textAlignment w:val="baseline"/>
        <w:rPr>
          <w:rFonts w:hAnsi="宋体"/>
          <w:sz w:val="24"/>
          <w:szCs w:val="24"/>
        </w:rPr>
      </w:pPr>
      <w:r>
        <w:rPr>
          <w:rFonts w:hint="eastAsia" w:hAnsi="宋体"/>
          <w:b/>
          <w:bCs/>
          <w:sz w:val="24"/>
          <w:szCs w:val="24"/>
        </w:rPr>
        <w:t>据此函</w:t>
      </w:r>
      <w:r>
        <w:rPr>
          <w:rFonts w:hAnsi="宋体"/>
          <w:b/>
          <w:bCs/>
          <w:sz w:val="24"/>
          <w:szCs w:val="24"/>
        </w:rPr>
        <w:t>,</w:t>
      </w:r>
      <w:r>
        <w:rPr>
          <w:rFonts w:hint="eastAsia" w:hAnsi="宋体"/>
          <w:b/>
          <w:bCs/>
          <w:sz w:val="24"/>
          <w:szCs w:val="24"/>
        </w:rPr>
        <w:t>签字代表宣布同意如下</w:t>
      </w:r>
      <w:r>
        <w:rPr>
          <w:rFonts w:hAnsi="宋体"/>
          <w:b/>
          <w:bCs/>
          <w:sz w:val="24"/>
          <w:szCs w:val="24"/>
        </w:rPr>
        <w:t>:</w:t>
      </w:r>
    </w:p>
    <w:p w14:paraId="766918DF">
      <w:pPr>
        <w:snapToGrid w:val="0"/>
        <w:spacing w:line="380" w:lineRule="exact"/>
        <w:ind w:left="707" w:hanging="283"/>
        <w:textAlignment w:val="baseline"/>
        <w:rPr>
          <w:rFonts w:hAnsi="宋体"/>
          <w:sz w:val="24"/>
          <w:szCs w:val="24"/>
        </w:rPr>
      </w:pPr>
      <w:r>
        <w:rPr>
          <w:rFonts w:hAnsi="宋体"/>
          <w:sz w:val="24"/>
          <w:szCs w:val="24"/>
        </w:rPr>
        <w:t>1.</w:t>
      </w:r>
      <w:r>
        <w:rPr>
          <w:rFonts w:hint="eastAsia" w:hAnsi="宋体"/>
          <w:sz w:val="24"/>
          <w:szCs w:val="24"/>
        </w:rPr>
        <w:t xml:space="preserve"> 所附开标一览表中规定的应提交和交付的货物投标总价为（用文字和数字表示的投标总价</w:t>
      </w:r>
      <w:r>
        <w:rPr>
          <w:rFonts w:hAnsi="宋体"/>
          <w:sz w:val="24"/>
          <w:szCs w:val="24"/>
        </w:rPr>
        <w:t>）</w:t>
      </w:r>
      <w:r>
        <w:rPr>
          <w:rFonts w:hint="eastAsia" w:hAnsi="宋体"/>
          <w:sz w:val="24"/>
          <w:szCs w:val="24"/>
        </w:rPr>
        <w:t>。</w:t>
      </w:r>
    </w:p>
    <w:p w14:paraId="520C7E2A">
      <w:pPr>
        <w:snapToGrid w:val="0"/>
        <w:spacing w:line="380" w:lineRule="exact"/>
        <w:ind w:left="707" w:hanging="283"/>
        <w:textAlignment w:val="baseline"/>
        <w:rPr>
          <w:rFonts w:hAnsi="宋体"/>
          <w:sz w:val="24"/>
          <w:szCs w:val="24"/>
        </w:rPr>
      </w:pPr>
      <w:bookmarkStart w:id="145" w:name="_Toc24871"/>
      <w:r>
        <w:rPr>
          <w:rFonts w:hAnsi="宋体"/>
          <w:sz w:val="24"/>
          <w:szCs w:val="24"/>
        </w:rPr>
        <w:t>2.</w:t>
      </w:r>
      <w:r>
        <w:rPr>
          <w:rFonts w:hint="eastAsia" w:hAnsi="宋体"/>
          <w:sz w:val="24"/>
          <w:szCs w:val="24"/>
        </w:rPr>
        <w:t xml:space="preserve"> 投标人将按招标文件的规定履行合同责任和义务。</w:t>
      </w:r>
      <w:bookmarkEnd w:id="145"/>
    </w:p>
    <w:p w14:paraId="70A1A2FA">
      <w:pPr>
        <w:snapToGrid w:val="0"/>
        <w:spacing w:line="380" w:lineRule="exact"/>
        <w:ind w:left="707" w:hanging="283"/>
        <w:textAlignment w:val="baseline"/>
        <w:rPr>
          <w:rFonts w:hAnsi="宋体"/>
          <w:sz w:val="24"/>
          <w:szCs w:val="24"/>
        </w:rPr>
      </w:pPr>
      <w:r>
        <w:rPr>
          <w:rFonts w:hAnsi="宋体"/>
          <w:sz w:val="24"/>
          <w:szCs w:val="24"/>
        </w:rPr>
        <w:t>3.</w:t>
      </w:r>
      <w:r>
        <w:rPr>
          <w:rFonts w:hint="eastAsia" w:hAnsi="宋体"/>
          <w:sz w:val="24"/>
          <w:szCs w:val="24"/>
        </w:rPr>
        <w:t xml:space="preserve"> 投标人已详细审查全部招标文件，包括第</w:t>
      </w:r>
      <w:r>
        <w:rPr>
          <w:rFonts w:hAnsi="宋体"/>
          <w:sz w:val="24"/>
          <w:szCs w:val="24"/>
          <w:u w:val="single" w:color="000000"/>
        </w:rPr>
        <w:t>(</w:t>
      </w:r>
      <w:r>
        <w:rPr>
          <w:rFonts w:hint="eastAsia" w:hAnsi="宋体"/>
          <w:sz w:val="24"/>
          <w:szCs w:val="24"/>
          <w:u w:val="single" w:color="000000"/>
        </w:rPr>
        <w:t>编号、补遗书</w:t>
      </w:r>
      <w:r>
        <w:rPr>
          <w:rFonts w:hAnsi="宋体"/>
          <w:sz w:val="24"/>
          <w:szCs w:val="24"/>
          <w:u w:val="single" w:color="000000"/>
        </w:rPr>
        <w:t>)(</w:t>
      </w:r>
      <w:r>
        <w:rPr>
          <w:rFonts w:hint="eastAsia" w:hAnsi="宋体"/>
          <w:sz w:val="24"/>
          <w:szCs w:val="24"/>
          <w:u w:val="single" w:color="000000"/>
        </w:rPr>
        <w:t>如果有的话</w:t>
      </w:r>
      <w:r>
        <w:rPr>
          <w:rFonts w:hAnsi="宋体"/>
          <w:sz w:val="24"/>
          <w:szCs w:val="24"/>
          <w:u w:val="single" w:color="000000"/>
        </w:rPr>
        <w:t>)</w:t>
      </w:r>
      <w:r>
        <w:rPr>
          <w:rFonts w:hint="eastAsia" w:hAnsi="宋体"/>
          <w:sz w:val="24"/>
          <w:szCs w:val="24"/>
          <w:u w:val="single" w:color="000000"/>
        </w:rPr>
        <w:t>。</w:t>
      </w:r>
      <w:r>
        <w:rPr>
          <w:rFonts w:hint="eastAsia" w:hAnsi="宋体"/>
          <w:sz w:val="24"/>
          <w:szCs w:val="24"/>
        </w:rPr>
        <w:t>我们完全理解并同意放弃对这方面有不明及误解的权力。</w:t>
      </w:r>
    </w:p>
    <w:p w14:paraId="65B55080">
      <w:pPr>
        <w:snapToGrid w:val="0"/>
        <w:spacing w:line="380" w:lineRule="exact"/>
        <w:ind w:left="707" w:hanging="283"/>
        <w:textAlignment w:val="baseline"/>
        <w:rPr>
          <w:rFonts w:hAnsi="宋体"/>
          <w:sz w:val="24"/>
          <w:szCs w:val="24"/>
        </w:rPr>
      </w:pPr>
      <w:bookmarkStart w:id="146" w:name="_Toc24835"/>
      <w:r>
        <w:rPr>
          <w:rFonts w:hAnsi="宋体"/>
          <w:sz w:val="24"/>
          <w:szCs w:val="24"/>
        </w:rPr>
        <w:t>4.</w:t>
      </w:r>
      <w:r>
        <w:rPr>
          <w:rFonts w:hint="eastAsia" w:hAnsi="宋体"/>
          <w:sz w:val="24"/>
          <w:szCs w:val="24"/>
        </w:rPr>
        <w:t xml:space="preserve"> 本投标有效期为</w:t>
      </w:r>
      <w:r>
        <w:rPr>
          <w:rFonts w:hint="eastAsia" w:hAnsi="宋体"/>
          <w:b/>
          <w:sz w:val="24"/>
          <w:szCs w:val="24"/>
        </w:rPr>
        <w:t>从投标文件提交截止之日起</w:t>
      </w:r>
      <w:r>
        <w:rPr>
          <w:rFonts w:hint="eastAsia" w:hAnsi="宋体"/>
          <w:sz w:val="24"/>
          <w:szCs w:val="24"/>
          <w:u w:val="single" w:color="000000"/>
        </w:rPr>
        <w:t xml:space="preserve"> 90</w:t>
      </w:r>
      <w:r>
        <w:rPr>
          <w:rFonts w:hint="eastAsia" w:hAnsi="宋体"/>
          <w:sz w:val="24"/>
          <w:szCs w:val="24"/>
        </w:rPr>
        <w:t>天。</w:t>
      </w:r>
      <w:bookmarkEnd w:id="146"/>
    </w:p>
    <w:p w14:paraId="479D0646">
      <w:pPr>
        <w:snapToGrid w:val="0"/>
        <w:spacing w:line="380" w:lineRule="exact"/>
        <w:ind w:left="707" w:hanging="283"/>
        <w:textAlignment w:val="baseline"/>
        <w:rPr>
          <w:rFonts w:hAnsi="宋体"/>
          <w:sz w:val="24"/>
          <w:szCs w:val="24"/>
        </w:rPr>
      </w:pPr>
      <w:r>
        <w:rPr>
          <w:rFonts w:hAnsi="宋体"/>
          <w:sz w:val="24"/>
          <w:szCs w:val="24"/>
        </w:rPr>
        <w:t>5.</w:t>
      </w:r>
      <w:r>
        <w:rPr>
          <w:rFonts w:hint="eastAsia" w:hAnsi="宋体"/>
          <w:sz w:val="24"/>
          <w:szCs w:val="24"/>
        </w:rPr>
        <w:t xml:space="preserve"> 如果在规定的开标时间后，投标人在投标有效期内撤回投标，投标保证金不予退还。</w:t>
      </w:r>
    </w:p>
    <w:p w14:paraId="22C69633">
      <w:pPr>
        <w:snapToGrid w:val="0"/>
        <w:spacing w:line="380" w:lineRule="exact"/>
        <w:ind w:left="707" w:hanging="283"/>
        <w:textAlignment w:val="baseline"/>
        <w:rPr>
          <w:rFonts w:hAnsi="宋体"/>
          <w:sz w:val="24"/>
          <w:szCs w:val="24"/>
        </w:rPr>
      </w:pPr>
      <w:r>
        <w:rPr>
          <w:rFonts w:hint="eastAsia" w:hAnsi="宋体"/>
          <w:sz w:val="24"/>
          <w:szCs w:val="24"/>
        </w:rPr>
        <w:t>6</w:t>
      </w:r>
      <w:r>
        <w:rPr>
          <w:rFonts w:hAnsi="宋体"/>
          <w:sz w:val="24"/>
          <w:szCs w:val="24"/>
        </w:rPr>
        <w:t>.</w:t>
      </w:r>
      <w:r>
        <w:rPr>
          <w:rFonts w:hint="eastAsia" w:hAnsi="宋体"/>
          <w:sz w:val="24"/>
          <w:szCs w:val="24"/>
        </w:rPr>
        <w:t xml:space="preserve"> 投标人同意提供按照贵方可能要求的与其投标有关的一切数据或资料，完全理解贵方不一定接受最低价的投标或收到的任何投标。</w:t>
      </w:r>
    </w:p>
    <w:p w14:paraId="0868D12E">
      <w:pPr>
        <w:snapToGrid w:val="0"/>
        <w:spacing w:line="380" w:lineRule="exact"/>
        <w:ind w:left="707" w:hanging="283"/>
        <w:textAlignment w:val="baseline"/>
        <w:rPr>
          <w:rFonts w:hAnsi="宋体"/>
          <w:sz w:val="24"/>
          <w:szCs w:val="24"/>
        </w:rPr>
      </w:pPr>
      <w:bookmarkStart w:id="147" w:name="_Toc28052"/>
      <w:r>
        <w:rPr>
          <w:rFonts w:hAnsi="宋体"/>
          <w:sz w:val="24"/>
          <w:szCs w:val="24"/>
        </w:rPr>
        <w:t>8.</w:t>
      </w:r>
      <w:r>
        <w:rPr>
          <w:rFonts w:hint="eastAsia" w:hAnsi="宋体"/>
          <w:sz w:val="24"/>
          <w:szCs w:val="24"/>
        </w:rPr>
        <w:t xml:space="preserve"> 与本投标有关的一切正式往来信函请寄</w:t>
      </w:r>
      <w:r>
        <w:rPr>
          <w:rFonts w:hAnsi="宋体"/>
          <w:sz w:val="24"/>
          <w:szCs w:val="24"/>
        </w:rPr>
        <w:t>:</w:t>
      </w:r>
      <w:bookmarkEnd w:id="147"/>
    </w:p>
    <w:p w14:paraId="759B5132">
      <w:pPr>
        <w:snapToGrid w:val="0"/>
        <w:spacing w:line="360" w:lineRule="auto"/>
        <w:textAlignment w:val="baseline"/>
        <w:rPr>
          <w:rFonts w:hAnsi="宋体"/>
          <w:sz w:val="24"/>
          <w:szCs w:val="24"/>
        </w:rPr>
      </w:pPr>
    </w:p>
    <w:p w14:paraId="533436F7">
      <w:pPr>
        <w:snapToGrid w:val="0"/>
        <w:spacing w:line="432" w:lineRule="auto"/>
        <w:textAlignment w:val="baseline"/>
        <w:rPr>
          <w:rFonts w:hAnsi="宋体"/>
          <w:sz w:val="24"/>
          <w:szCs w:val="24"/>
        </w:rPr>
      </w:pPr>
      <w:r>
        <w:rPr>
          <w:rFonts w:hint="eastAsia" w:hAnsi="宋体"/>
          <w:sz w:val="24"/>
          <w:szCs w:val="24"/>
        </w:rPr>
        <w:t xml:space="preserve">地址：                    </w:t>
      </w:r>
    </w:p>
    <w:p w14:paraId="79426459">
      <w:pPr>
        <w:snapToGrid w:val="0"/>
        <w:spacing w:line="432" w:lineRule="auto"/>
        <w:textAlignment w:val="baseline"/>
        <w:rPr>
          <w:rFonts w:hAnsi="宋体"/>
          <w:sz w:val="24"/>
          <w:szCs w:val="24"/>
        </w:rPr>
      </w:pPr>
      <w:r>
        <w:rPr>
          <w:rFonts w:hint="eastAsia" w:hAnsi="宋体"/>
          <w:sz w:val="24"/>
          <w:szCs w:val="24"/>
        </w:rPr>
        <w:t>传真：</w:t>
      </w:r>
    </w:p>
    <w:p w14:paraId="16BB7CA9">
      <w:pPr>
        <w:snapToGrid w:val="0"/>
        <w:spacing w:line="432" w:lineRule="auto"/>
        <w:textAlignment w:val="baseline"/>
        <w:rPr>
          <w:rFonts w:hAnsi="宋体"/>
          <w:sz w:val="24"/>
          <w:szCs w:val="24"/>
        </w:rPr>
      </w:pPr>
      <w:r>
        <w:rPr>
          <w:rFonts w:hint="eastAsia" w:hAnsi="宋体"/>
          <w:sz w:val="24"/>
          <w:szCs w:val="24"/>
        </w:rPr>
        <w:t xml:space="preserve">电话：                                 </w:t>
      </w:r>
    </w:p>
    <w:p w14:paraId="3D76CED7">
      <w:pPr>
        <w:snapToGrid w:val="0"/>
        <w:spacing w:line="432" w:lineRule="auto"/>
        <w:textAlignment w:val="baseline"/>
        <w:rPr>
          <w:rFonts w:hAnsi="宋体"/>
          <w:sz w:val="24"/>
          <w:szCs w:val="24"/>
        </w:rPr>
      </w:pPr>
      <w:r>
        <w:rPr>
          <w:rFonts w:hint="eastAsia" w:hAnsi="宋体"/>
          <w:sz w:val="24"/>
          <w:szCs w:val="24"/>
        </w:rPr>
        <w:t xml:space="preserve">电子邮件：                   </w:t>
      </w:r>
    </w:p>
    <w:p w14:paraId="4824A050">
      <w:pPr>
        <w:snapToGrid w:val="0"/>
        <w:spacing w:line="432" w:lineRule="auto"/>
        <w:textAlignment w:val="baseline"/>
        <w:rPr>
          <w:rFonts w:hAnsi="宋体"/>
          <w:sz w:val="24"/>
          <w:szCs w:val="24"/>
        </w:rPr>
      </w:pPr>
      <w:r>
        <w:rPr>
          <w:rFonts w:hint="eastAsia" w:hAnsi="宋体"/>
          <w:sz w:val="24"/>
          <w:szCs w:val="24"/>
        </w:rPr>
        <w:t xml:space="preserve">法人或授权代表（签字）：                         </w:t>
      </w:r>
    </w:p>
    <w:p w14:paraId="79946EB0">
      <w:pPr>
        <w:snapToGrid w:val="0"/>
        <w:spacing w:line="432" w:lineRule="auto"/>
        <w:textAlignment w:val="baseline"/>
        <w:rPr>
          <w:rFonts w:hAnsi="宋体"/>
          <w:sz w:val="24"/>
          <w:szCs w:val="24"/>
          <w:u w:val="single"/>
        </w:rPr>
      </w:pPr>
      <w:r>
        <w:rPr>
          <w:rFonts w:hint="eastAsia" w:hAnsi="宋体"/>
          <w:sz w:val="24"/>
          <w:szCs w:val="24"/>
        </w:rPr>
        <w:t xml:space="preserve">投标人名称（盖章）： </w:t>
      </w:r>
    </w:p>
    <w:p w14:paraId="79AC10BC">
      <w:pPr>
        <w:snapToGrid w:val="0"/>
        <w:spacing w:line="432" w:lineRule="auto"/>
        <w:textAlignment w:val="baseline"/>
        <w:rPr>
          <w:rFonts w:hAnsi="宋体"/>
          <w:sz w:val="24"/>
          <w:szCs w:val="24"/>
          <w:u w:val="single"/>
        </w:rPr>
      </w:pPr>
      <w:r>
        <w:rPr>
          <w:rFonts w:hint="eastAsia" w:hAnsi="宋体"/>
          <w:sz w:val="24"/>
          <w:szCs w:val="24"/>
        </w:rPr>
        <w:t>日期：年 月日</w:t>
      </w:r>
    </w:p>
    <w:p w14:paraId="46F86A38">
      <w:pPr>
        <w:snapToGrid w:val="0"/>
        <w:spacing w:line="432" w:lineRule="auto"/>
        <w:textAlignment w:val="baseline"/>
        <w:rPr>
          <w:rFonts w:hAnsi="宋体"/>
          <w:sz w:val="24"/>
          <w:szCs w:val="24"/>
        </w:rPr>
        <w:sectPr>
          <w:footerReference r:id="rId5" w:type="default"/>
          <w:type w:val="nextColumn"/>
          <w:pgSz w:w="11849" w:h="16781"/>
          <w:pgMar w:top="680" w:right="1077" w:bottom="907" w:left="1417" w:header="567" w:footer="510" w:gutter="170"/>
          <w:cols w:space="720" w:num="1"/>
          <w:docGrid w:linePitch="285" w:charSpace="0"/>
        </w:sectPr>
      </w:pPr>
    </w:p>
    <w:p w14:paraId="6320CBB9">
      <w:pPr>
        <w:pStyle w:val="4"/>
        <w:snapToGrid w:val="0"/>
        <w:spacing w:before="0" w:after="0" w:line="460" w:lineRule="exact"/>
        <w:jc w:val="center"/>
        <w:textAlignment w:val="baseline"/>
        <w:rPr>
          <w:rFonts w:ascii="宋体" w:hAnsi="宋体" w:eastAsia="宋体"/>
          <w:sz w:val="30"/>
          <w:szCs w:val="30"/>
        </w:rPr>
      </w:pPr>
      <w:bookmarkStart w:id="148" w:name="_Toc22054"/>
      <w:bookmarkStart w:id="149" w:name="_Toc83626634"/>
      <w:bookmarkStart w:id="150" w:name="_Toc83627172"/>
      <w:bookmarkStart w:id="151" w:name="_Toc4263"/>
      <w:bookmarkStart w:id="152" w:name="_Toc450122260"/>
      <w:bookmarkStart w:id="153" w:name="_Toc447031339"/>
      <w:bookmarkStart w:id="154" w:name="_Toc4512"/>
      <w:r>
        <w:rPr>
          <w:rFonts w:hint="eastAsia" w:ascii="宋体" w:hAnsi="宋体" w:eastAsia="宋体"/>
          <w:sz w:val="30"/>
          <w:szCs w:val="30"/>
        </w:rPr>
        <w:t>2.开标一览表</w:t>
      </w:r>
      <w:bookmarkEnd w:id="148"/>
      <w:bookmarkEnd w:id="149"/>
      <w:bookmarkEnd w:id="150"/>
      <w:bookmarkEnd w:id="151"/>
      <w:bookmarkEnd w:id="152"/>
      <w:bookmarkEnd w:id="153"/>
      <w:bookmarkEnd w:id="154"/>
    </w:p>
    <w:p w14:paraId="18B8A1EB">
      <w:pPr>
        <w:snapToGrid w:val="0"/>
        <w:spacing w:line="400" w:lineRule="exact"/>
        <w:textAlignment w:val="baseline"/>
        <w:rPr>
          <w:rFonts w:hAnsi="宋体"/>
          <w:sz w:val="28"/>
        </w:rPr>
      </w:pPr>
    </w:p>
    <w:p w14:paraId="4E0E7400">
      <w:pPr>
        <w:spacing w:line="432" w:lineRule="auto"/>
        <w:ind w:firstLine="300" w:firstLineChars="100"/>
        <w:rPr>
          <w:rFonts w:hAnsi="宋体"/>
          <w:sz w:val="30"/>
          <w:szCs w:val="30"/>
        </w:rPr>
      </w:pPr>
      <w:bookmarkStart w:id="155" w:name="_Toc525937634"/>
      <w:r>
        <w:rPr>
          <w:rFonts w:hAnsi="宋体"/>
          <w:sz w:val="30"/>
          <w:szCs w:val="30"/>
        </w:rPr>
        <w:t>项目编号：</w:t>
      </w:r>
    </w:p>
    <w:tbl>
      <w:tblPr>
        <w:tblStyle w:val="40"/>
        <w:tblW w:w="0" w:type="auto"/>
        <w:jc w:val="center"/>
        <w:tblLayout w:type="fixed"/>
        <w:tblCellMar>
          <w:top w:w="0" w:type="dxa"/>
          <w:left w:w="108" w:type="dxa"/>
          <w:bottom w:w="0" w:type="dxa"/>
          <w:right w:w="108" w:type="dxa"/>
        </w:tblCellMar>
      </w:tblPr>
      <w:tblGrid>
        <w:gridCol w:w="2191"/>
        <w:gridCol w:w="6884"/>
      </w:tblGrid>
      <w:tr w14:paraId="48082E71">
        <w:tblPrEx>
          <w:tblCellMar>
            <w:top w:w="0" w:type="dxa"/>
            <w:left w:w="108" w:type="dxa"/>
            <w:bottom w:w="0" w:type="dxa"/>
            <w:right w:w="108" w:type="dxa"/>
          </w:tblCellMar>
        </w:tblPrEx>
        <w:trPr>
          <w:trHeight w:val="792" w:hRule="atLeast"/>
          <w:jc w:val="center"/>
        </w:trPr>
        <w:tc>
          <w:tcPr>
            <w:tcW w:w="2191" w:type="dxa"/>
            <w:tcBorders>
              <w:top w:val="single" w:color="auto" w:sz="4" w:space="0"/>
              <w:left w:val="single" w:color="auto" w:sz="4" w:space="0"/>
              <w:bottom w:val="single" w:color="auto" w:sz="4" w:space="0"/>
              <w:right w:val="single" w:color="auto" w:sz="4" w:space="0"/>
            </w:tcBorders>
            <w:noWrap/>
            <w:vAlign w:val="center"/>
          </w:tcPr>
          <w:p w14:paraId="51B05FB8">
            <w:pPr>
              <w:spacing w:line="480" w:lineRule="exact"/>
              <w:jc w:val="center"/>
              <w:rPr>
                <w:rFonts w:hAnsi="宋体"/>
                <w:sz w:val="30"/>
                <w:szCs w:val="30"/>
              </w:rPr>
            </w:pPr>
            <w:r>
              <w:rPr>
                <w:rFonts w:hAnsi="宋体"/>
                <w:sz w:val="30"/>
                <w:szCs w:val="30"/>
              </w:rPr>
              <w:t>项目名称</w:t>
            </w:r>
          </w:p>
        </w:tc>
        <w:tc>
          <w:tcPr>
            <w:tcW w:w="6884" w:type="dxa"/>
            <w:tcBorders>
              <w:top w:val="single" w:color="auto" w:sz="4" w:space="0"/>
              <w:left w:val="nil"/>
              <w:bottom w:val="single" w:color="auto" w:sz="4" w:space="0"/>
              <w:right w:val="single" w:color="auto" w:sz="4" w:space="0"/>
            </w:tcBorders>
            <w:noWrap/>
            <w:vAlign w:val="center"/>
          </w:tcPr>
          <w:p w14:paraId="1E0E32BD">
            <w:pPr>
              <w:widowControl/>
              <w:spacing w:line="480" w:lineRule="exact"/>
              <w:jc w:val="center"/>
              <w:rPr>
                <w:rFonts w:hAnsi="宋体"/>
                <w:b/>
                <w:sz w:val="30"/>
                <w:szCs w:val="30"/>
              </w:rPr>
            </w:pPr>
          </w:p>
        </w:tc>
      </w:tr>
      <w:tr w14:paraId="0DBB5729">
        <w:tblPrEx>
          <w:tblCellMar>
            <w:top w:w="0" w:type="dxa"/>
            <w:left w:w="108" w:type="dxa"/>
            <w:bottom w:w="0" w:type="dxa"/>
            <w:right w:w="108" w:type="dxa"/>
          </w:tblCellMar>
        </w:tblPrEx>
        <w:trPr>
          <w:trHeight w:val="1836" w:hRule="atLeast"/>
          <w:jc w:val="center"/>
        </w:trPr>
        <w:tc>
          <w:tcPr>
            <w:tcW w:w="2191" w:type="dxa"/>
            <w:tcBorders>
              <w:top w:val="single" w:color="auto" w:sz="4" w:space="0"/>
              <w:left w:val="single" w:color="auto" w:sz="4" w:space="0"/>
              <w:bottom w:val="single" w:color="auto" w:sz="4" w:space="0"/>
              <w:right w:val="single" w:color="auto" w:sz="4" w:space="0"/>
            </w:tcBorders>
            <w:noWrap/>
            <w:vAlign w:val="center"/>
          </w:tcPr>
          <w:p w14:paraId="78B45D44">
            <w:pPr>
              <w:spacing w:line="480" w:lineRule="exact"/>
              <w:jc w:val="center"/>
              <w:rPr>
                <w:rFonts w:hAnsi="宋体"/>
                <w:sz w:val="30"/>
                <w:szCs w:val="30"/>
                <w:highlight w:val="yellow"/>
              </w:rPr>
            </w:pPr>
            <w:r>
              <w:rPr>
                <w:rFonts w:hAnsi="宋体"/>
                <w:sz w:val="30"/>
                <w:szCs w:val="30"/>
                <w:highlight w:val="none"/>
              </w:rPr>
              <w:t>投标报价</w:t>
            </w:r>
          </w:p>
        </w:tc>
        <w:tc>
          <w:tcPr>
            <w:tcW w:w="6884" w:type="dxa"/>
            <w:tcBorders>
              <w:top w:val="single" w:color="auto" w:sz="4" w:space="0"/>
              <w:left w:val="nil"/>
              <w:bottom w:val="single" w:color="auto" w:sz="4" w:space="0"/>
              <w:right w:val="single" w:color="auto" w:sz="4" w:space="0"/>
            </w:tcBorders>
            <w:noWrap/>
            <w:vAlign w:val="center"/>
          </w:tcPr>
          <w:p w14:paraId="63BCE70E">
            <w:pPr>
              <w:widowControl/>
              <w:spacing w:line="480" w:lineRule="exact"/>
              <w:rPr>
                <w:rFonts w:hint="eastAsia" w:hAnsi="宋体"/>
                <w:color w:val="auto"/>
                <w:sz w:val="30"/>
                <w:szCs w:val="30"/>
                <w:highlight w:val="none"/>
                <w:u w:val="none"/>
              </w:rPr>
            </w:pPr>
            <w:r>
              <w:rPr>
                <w:rFonts w:hint="eastAsia" w:hAnsi="宋体"/>
                <w:sz w:val="30"/>
                <w:szCs w:val="30"/>
                <w:highlight w:val="none"/>
                <w:u w:val="none"/>
              </w:rPr>
              <w:t>①</w:t>
            </w:r>
            <w:r>
              <w:rPr>
                <w:rFonts w:hint="eastAsia" w:hAnsi="宋体" w:cs="宋体"/>
                <w:sz w:val="30"/>
                <w:szCs w:val="30"/>
                <w:highlight w:val="none"/>
                <w:lang w:val="en-US" w:eastAsia="zh-CN"/>
              </w:rPr>
              <w:t>跟踪审</w:t>
            </w:r>
            <w:r>
              <w:rPr>
                <w:rFonts w:hint="eastAsia" w:hAnsi="宋体" w:cs="宋体"/>
                <w:color w:val="auto"/>
                <w:sz w:val="30"/>
                <w:szCs w:val="30"/>
                <w:highlight w:val="none"/>
                <w:lang w:val="en-US" w:eastAsia="zh-CN"/>
              </w:rPr>
              <w:t>计费用（含一审）基本费用：按合同造价总额</w:t>
            </w:r>
            <w:r>
              <w:rPr>
                <w:rFonts w:hint="eastAsia" w:hAnsi="宋体" w:cs="宋体"/>
                <w:color w:val="auto"/>
                <w:sz w:val="30"/>
                <w:szCs w:val="30"/>
                <w:highlight w:val="none"/>
                <w:u w:val="single"/>
                <w:lang w:val="en-US" w:eastAsia="zh-CN"/>
              </w:rPr>
              <w:t xml:space="preserve">    </w:t>
            </w:r>
            <w:r>
              <w:rPr>
                <w:rFonts w:hint="eastAsia" w:hAnsi="宋体" w:cs="宋体"/>
                <w:color w:val="auto"/>
                <w:sz w:val="30"/>
                <w:szCs w:val="30"/>
                <w:highlight w:val="none"/>
                <w:lang w:val="en-US" w:eastAsia="zh-CN"/>
              </w:rPr>
              <w:t>‰计取。</w:t>
            </w:r>
          </w:p>
          <w:p w14:paraId="78AE98F2">
            <w:pPr>
              <w:widowControl/>
              <w:spacing w:line="480" w:lineRule="exact"/>
              <w:rPr>
                <w:rFonts w:hint="eastAsia" w:hAnsi="宋体" w:eastAsia="宋体"/>
                <w:color w:val="auto"/>
                <w:sz w:val="30"/>
                <w:szCs w:val="30"/>
                <w:highlight w:val="none"/>
                <w:u w:val="none"/>
                <w:lang w:eastAsia="zh-CN"/>
              </w:rPr>
            </w:pPr>
            <w:r>
              <w:rPr>
                <w:rFonts w:hint="eastAsia" w:hAnsi="宋体"/>
                <w:color w:val="auto"/>
                <w:sz w:val="30"/>
                <w:szCs w:val="30"/>
                <w:highlight w:val="none"/>
                <w:u w:val="none"/>
              </w:rPr>
              <w:t>②</w:t>
            </w:r>
            <w:r>
              <w:rPr>
                <w:rFonts w:hint="eastAsia" w:hAnsi="宋体" w:cs="宋体"/>
                <w:color w:val="auto"/>
                <w:sz w:val="30"/>
                <w:szCs w:val="30"/>
                <w:highlight w:val="none"/>
                <w:lang w:val="en-US" w:eastAsia="zh-CN"/>
              </w:rPr>
              <w:t>一审核减收</w:t>
            </w:r>
            <w:r>
              <w:rPr>
                <w:rFonts w:hint="eastAsia" w:ascii="宋体" w:hAnsi="宋体" w:eastAsia="宋体" w:cs="宋体"/>
                <w:color w:val="auto"/>
                <w:sz w:val="30"/>
                <w:szCs w:val="30"/>
                <w:highlight w:val="none"/>
                <w:lang w:val="en-US" w:eastAsia="zh-CN"/>
              </w:rPr>
              <w:t>费</w:t>
            </w:r>
            <w:r>
              <w:rPr>
                <w:rFonts w:hint="eastAsia" w:hAnsi="宋体" w:eastAsia="宋体"/>
                <w:color w:val="auto"/>
                <w:sz w:val="30"/>
                <w:szCs w:val="30"/>
                <w:highlight w:val="none"/>
                <w:u w:val="none"/>
                <w:lang w:eastAsia="zh-CN"/>
              </w:rPr>
              <w:t>：</w:t>
            </w:r>
            <w:r>
              <w:rPr>
                <w:rFonts w:hint="eastAsia" w:ascii="宋体" w:hAnsi="宋体" w:eastAsia="宋体" w:cs="宋体"/>
                <w:color w:val="auto"/>
                <w:sz w:val="30"/>
                <w:szCs w:val="30"/>
                <w:highlight w:val="none"/>
                <w:lang w:val="en-US" w:eastAsia="zh-CN"/>
              </w:rPr>
              <w:t>按核减工程款</w:t>
            </w:r>
            <w:r>
              <w:rPr>
                <w:rFonts w:hint="eastAsia" w:ascii="宋体" w:hAnsi="宋体" w:eastAsia="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lang w:val="en-US" w:eastAsia="zh-CN"/>
              </w:rPr>
              <w:t>%计取。</w:t>
            </w:r>
          </w:p>
          <w:p w14:paraId="73C5D482">
            <w:pPr>
              <w:widowControl/>
              <w:spacing w:line="480" w:lineRule="exact"/>
              <w:rPr>
                <w:rFonts w:hint="eastAsia" w:hAnsi="宋体" w:eastAsia="宋体"/>
                <w:sz w:val="30"/>
                <w:szCs w:val="30"/>
                <w:highlight w:val="none"/>
                <w:u w:val="none"/>
                <w:lang w:eastAsia="zh-CN"/>
              </w:rPr>
            </w:pPr>
            <w:r>
              <w:rPr>
                <w:rFonts w:hint="eastAsia" w:hAnsi="宋体"/>
                <w:sz w:val="30"/>
                <w:szCs w:val="30"/>
                <w:highlight w:val="none"/>
                <w:u w:val="none"/>
              </w:rPr>
              <w:t>③合计收费=基本收费+核减收费</w:t>
            </w:r>
            <w:r>
              <w:rPr>
                <w:rFonts w:hint="eastAsia" w:hAnsi="宋体"/>
                <w:sz w:val="30"/>
                <w:szCs w:val="30"/>
                <w:highlight w:val="none"/>
                <w:u w:val="none"/>
                <w:lang w:eastAsia="zh-CN"/>
              </w:rPr>
              <w:t>。</w:t>
            </w:r>
          </w:p>
          <w:p w14:paraId="023F292A">
            <w:pPr>
              <w:widowControl/>
              <w:spacing w:line="480" w:lineRule="exact"/>
              <w:rPr>
                <w:rFonts w:hint="eastAsia" w:ascii="宋体" w:hAnsi="宋体" w:eastAsia="宋体"/>
                <w:sz w:val="30"/>
                <w:szCs w:val="30"/>
                <w:highlight w:val="none"/>
                <w:u w:val="none"/>
              </w:rPr>
            </w:pPr>
            <w:r>
              <w:rPr>
                <w:rFonts w:hint="eastAsia" w:hAnsi="宋体"/>
                <w:sz w:val="30"/>
                <w:szCs w:val="30"/>
                <w:highlight w:val="none"/>
                <w:u w:val="none"/>
              </w:rPr>
              <w:t>④</w:t>
            </w:r>
            <w:r>
              <w:rPr>
                <w:rFonts w:hint="eastAsia" w:ascii="宋体" w:hAnsi="宋体" w:eastAsia="宋体"/>
                <w:sz w:val="30"/>
                <w:szCs w:val="30"/>
                <w:highlight w:val="none"/>
                <w:u w:val="none"/>
                <w:lang w:val="en-US" w:eastAsia="zh-CN"/>
              </w:rPr>
              <w:t>一审核减额在送审价5%以内的，核减审计费由委托方承担，核减额在送审价5%以上的，超出5%的部分由施工单位承担。</w:t>
            </w:r>
          </w:p>
          <w:p w14:paraId="4A1D76BA">
            <w:pPr>
              <w:widowControl/>
              <w:spacing w:line="480" w:lineRule="exact"/>
              <w:rPr>
                <w:rFonts w:hAnsi="宋体"/>
                <w:sz w:val="30"/>
                <w:szCs w:val="30"/>
                <w:highlight w:val="yellow"/>
                <w:u w:val="single"/>
              </w:rPr>
            </w:pPr>
            <w:r>
              <w:rPr>
                <w:rFonts w:hint="eastAsia" w:ascii="宋体" w:hAnsi="宋体" w:eastAsia="宋体"/>
                <w:sz w:val="30"/>
                <w:szCs w:val="30"/>
                <w:highlight w:val="none"/>
                <w:u w:val="none"/>
              </w:rPr>
              <w:t>⑤</w:t>
            </w:r>
            <w:r>
              <w:rPr>
                <w:rFonts w:hint="eastAsia" w:ascii="宋体" w:hAnsi="宋体" w:eastAsia="宋体"/>
                <w:sz w:val="30"/>
                <w:szCs w:val="30"/>
                <w:highlight w:val="none"/>
                <w:u w:val="none"/>
                <w:lang w:val="en-US" w:eastAsia="zh-CN"/>
              </w:rPr>
              <w:t>二审核减额在一审定价5%以内的核减审计费由委托方承担,二审核减额超出5%的部分由一审单位承担，从一审审计费中扣除。</w:t>
            </w:r>
          </w:p>
        </w:tc>
      </w:tr>
      <w:tr w14:paraId="4D22DA3F">
        <w:tblPrEx>
          <w:tblCellMar>
            <w:top w:w="0" w:type="dxa"/>
            <w:left w:w="108" w:type="dxa"/>
            <w:bottom w:w="0" w:type="dxa"/>
            <w:right w:w="108" w:type="dxa"/>
          </w:tblCellMar>
        </w:tblPrEx>
        <w:trPr>
          <w:trHeight w:val="837" w:hRule="atLeast"/>
          <w:jc w:val="center"/>
        </w:trPr>
        <w:tc>
          <w:tcPr>
            <w:tcW w:w="2191" w:type="dxa"/>
            <w:tcBorders>
              <w:top w:val="nil"/>
              <w:left w:val="single" w:color="auto" w:sz="4" w:space="0"/>
              <w:bottom w:val="single" w:color="auto" w:sz="4" w:space="0"/>
              <w:right w:val="single" w:color="auto" w:sz="4" w:space="0"/>
            </w:tcBorders>
            <w:noWrap/>
            <w:vAlign w:val="center"/>
          </w:tcPr>
          <w:p w14:paraId="244CA695">
            <w:pPr>
              <w:spacing w:line="480" w:lineRule="exact"/>
              <w:jc w:val="center"/>
              <w:rPr>
                <w:rFonts w:hAnsi="宋体"/>
                <w:sz w:val="30"/>
                <w:szCs w:val="30"/>
              </w:rPr>
            </w:pPr>
            <w:r>
              <w:rPr>
                <w:rFonts w:hint="eastAsia" w:hAnsi="宋体"/>
                <w:sz w:val="30"/>
                <w:szCs w:val="30"/>
                <w:lang w:eastAsia="zh-CN"/>
              </w:rPr>
              <w:t>服务</w:t>
            </w:r>
            <w:r>
              <w:rPr>
                <w:rFonts w:hAnsi="宋体"/>
                <w:sz w:val="30"/>
                <w:szCs w:val="30"/>
              </w:rPr>
              <w:t>期</w:t>
            </w:r>
          </w:p>
        </w:tc>
        <w:tc>
          <w:tcPr>
            <w:tcW w:w="6884" w:type="dxa"/>
            <w:tcBorders>
              <w:top w:val="nil"/>
              <w:left w:val="nil"/>
              <w:bottom w:val="single" w:color="auto" w:sz="4" w:space="0"/>
              <w:right w:val="single" w:color="auto" w:sz="4" w:space="0"/>
            </w:tcBorders>
            <w:noWrap/>
            <w:vAlign w:val="center"/>
          </w:tcPr>
          <w:p w14:paraId="20048982">
            <w:pPr>
              <w:widowControl/>
              <w:spacing w:line="480" w:lineRule="exact"/>
              <w:rPr>
                <w:rFonts w:hAnsi="宋体"/>
                <w:sz w:val="30"/>
                <w:szCs w:val="30"/>
              </w:rPr>
            </w:pPr>
          </w:p>
        </w:tc>
      </w:tr>
      <w:tr w14:paraId="2EC9E7AA">
        <w:tblPrEx>
          <w:tblCellMar>
            <w:top w:w="0" w:type="dxa"/>
            <w:left w:w="108" w:type="dxa"/>
            <w:bottom w:w="0" w:type="dxa"/>
            <w:right w:w="108" w:type="dxa"/>
          </w:tblCellMar>
        </w:tblPrEx>
        <w:trPr>
          <w:trHeight w:val="1641" w:hRule="atLeast"/>
          <w:jc w:val="center"/>
        </w:trPr>
        <w:tc>
          <w:tcPr>
            <w:tcW w:w="2191" w:type="dxa"/>
            <w:tcBorders>
              <w:top w:val="nil"/>
              <w:left w:val="single" w:color="auto" w:sz="4" w:space="0"/>
              <w:bottom w:val="single" w:color="auto" w:sz="4" w:space="0"/>
              <w:right w:val="single" w:color="auto" w:sz="4" w:space="0"/>
            </w:tcBorders>
            <w:noWrap/>
            <w:vAlign w:val="center"/>
          </w:tcPr>
          <w:p w14:paraId="46426172">
            <w:pPr>
              <w:spacing w:line="480" w:lineRule="exact"/>
              <w:jc w:val="center"/>
              <w:rPr>
                <w:rFonts w:hAnsi="宋体"/>
                <w:sz w:val="30"/>
                <w:szCs w:val="30"/>
              </w:rPr>
            </w:pPr>
            <w:r>
              <w:rPr>
                <w:rFonts w:hAnsi="宋体"/>
                <w:sz w:val="30"/>
                <w:szCs w:val="30"/>
              </w:rPr>
              <w:t>其它说明</w:t>
            </w:r>
          </w:p>
        </w:tc>
        <w:tc>
          <w:tcPr>
            <w:tcW w:w="6884" w:type="dxa"/>
            <w:tcBorders>
              <w:top w:val="nil"/>
              <w:left w:val="nil"/>
              <w:bottom w:val="single" w:color="auto" w:sz="4" w:space="0"/>
              <w:right w:val="single" w:color="auto" w:sz="4" w:space="0"/>
            </w:tcBorders>
            <w:noWrap/>
            <w:vAlign w:val="center"/>
          </w:tcPr>
          <w:p w14:paraId="54F3088A">
            <w:pPr>
              <w:widowControl/>
              <w:spacing w:line="480" w:lineRule="exact"/>
              <w:rPr>
                <w:rFonts w:hAnsi="宋体"/>
                <w:sz w:val="30"/>
                <w:szCs w:val="30"/>
              </w:rPr>
            </w:pPr>
          </w:p>
        </w:tc>
      </w:tr>
    </w:tbl>
    <w:p w14:paraId="3ADBDBDF">
      <w:pPr>
        <w:widowControl/>
        <w:spacing w:line="360" w:lineRule="auto"/>
        <w:rPr>
          <w:rFonts w:hAnsi="宋体" w:cs="宋体"/>
          <w:sz w:val="24"/>
          <w:szCs w:val="24"/>
        </w:rPr>
      </w:pPr>
    </w:p>
    <w:p w14:paraId="36ECA2E3">
      <w:pPr>
        <w:pStyle w:val="2"/>
      </w:pPr>
    </w:p>
    <w:p w14:paraId="7A806BAC">
      <w:pPr>
        <w:adjustRightInd w:val="0"/>
        <w:snapToGrid w:val="0"/>
        <w:spacing w:line="480" w:lineRule="exact"/>
        <w:ind w:firstLine="600" w:firstLineChars="200"/>
        <w:rPr>
          <w:rFonts w:hAnsi="宋体"/>
          <w:sz w:val="30"/>
          <w:szCs w:val="30"/>
        </w:rPr>
      </w:pPr>
      <w:r>
        <w:rPr>
          <w:rFonts w:hint="eastAsia" w:hAnsi="宋体"/>
          <w:sz w:val="30"/>
          <w:szCs w:val="30"/>
        </w:rPr>
        <w:t>投标人（公章）：</w:t>
      </w:r>
    </w:p>
    <w:p w14:paraId="2CCA86F9">
      <w:pPr>
        <w:spacing w:after="120"/>
        <w:rPr>
          <w:rFonts w:hAnsi="宋体"/>
          <w:sz w:val="30"/>
          <w:szCs w:val="30"/>
        </w:rPr>
      </w:pPr>
    </w:p>
    <w:p w14:paraId="352F22B7">
      <w:pPr>
        <w:adjustRightInd w:val="0"/>
        <w:snapToGrid w:val="0"/>
        <w:spacing w:line="480" w:lineRule="exact"/>
        <w:ind w:firstLine="600" w:firstLineChars="200"/>
        <w:rPr>
          <w:rFonts w:hAnsi="宋体"/>
          <w:sz w:val="30"/>
          <w:szCs w:val="30"/>
        </w:rPr>
      </w:pPr>
      <w:r>
        <w:rPr>
          <w:rFonts w:hint="eastAsia" w:hAnsi="宋体"/>
          <w:sz w:val="30"/>
          <w:szCs w:val="30"/>
        </w:rPr>
        <w:t>法定代表人或委托代理人签字（签名或签章）：</w:t>
      </w:r>
    </w:p>
    <w:p w14:paraId="083E7F9B">
      <w:pPr>
        <w:tabs>
          <w:tab w:val="left" w:pos="1418"/>
        </w:tabs>
        <w:spacing w:line="480" w:lineRule="exact"/>
        <w:jc w:val="center"/>
        <w:rPr>
          <w:rFonts w:hAnsi="宋体"/>
          <w:sz w:val="30"/>
          <w:szCs w:val="30"/>
        </w:rPr>
      </w:pPr>
    </w:p>
    <w:p w14:paraId="0769D919">
      <w:pPr>
        <w:tabs>
          <w:tab w:val="left" w:pos="1418"/>
        </w:tabs>
        <w:spacing w:line="480" w:lineRule="exact"/>
        <w:jc w:val="right"/>
        <w:rPr>
          <w:rFonts w:hAnsi="宋体"/>
          <w:sz w:val="30"/>
          <w:szCs w:val="30"/>
        </w:rPr>
      </w:pPr>
      <w:r>
        <w:rPr>
          <w:rFonts w:hint="eastAsia" w:hAnsi="宋体"/>
          <w:sz w:val="30"/>
          <w:szCs w:val="30"/>
        </w:rPr>
        <w:t>年   月   日</w:t>
      </w:r>
    </w:p>
    <w:bookmarkEnd w:id="155"/>
    <w:p w14:paraId="1387FAC4">
      <w:pPr>
        <w:snapToGrid w:val="0"/>
        <w:spacing w:line="432" w:lineRule="auto"/>
        <w:textAlignment w:val="baseline"/>
        <w:rPr>
          <w:rFonts w:hAnsi="宋体"/>
          <w:sz w:val="24"/>
          <w:u w:val="single"/>
        </w:rPr>
      </w:pPr>
    </w:p>
    <w:p w14:paraId="001029D1">
      <w:pPr>
        <w:snapToGrid w:val="0"/>
        <w:spacing w:line="460" w:lineRule="exact"/>
        <w:textAlignment w:val="baseline"/>
        <w:rPr>
          <w:rFonts w:hAnsi="宋体"/>
          <w:b/>
          <w:bCs/>
          <w:sz w:val="32"/>
          <w:szCs w:val="32"/>
        </w:rPr>
      </w:pPr>
    </w:p>
    <w:p w14:paraId="5F18994B">
      <w:pPr>
        <w:pStyle w:val="4"/>
        <w:snapToGrid w:val="0"/>
        <w:spacing w:before="0" w:after="0" w:line="460" w:lineRule="exact"/>
        <w:jc w:val="center"/>
        <w:textAlignment w:val="baseline"/>
        <w:rPr>
          <w:rFonts w:hint="eastAsia" w:ascii="宋体" w:hAnsi="宋体" w:eastAsia="宋体"/>
          <w:sz w:val="30"/>
          <w:szCs w:val="30"/>
        </w:rPr>
      </w:pPr>
      <w:bookmarkStart w:id="156" w:name="_Toc450122261"/>
      <w:bookmarkStart w:id="157" w:name="_Toc15792"/>
      <w:bookmarkStart w:id="158" w:name="_Toc14157"/>
      <w:bookmarkStart w:id="159" w:name="_Toc83626635"/>
      <w:bookmarkStart w:id="160" w:name="_Toc2832"/>
      <w:bookmarkStart w:id="161" w:name="_Toc83627173"/>
      <w:bookmarkStart w:id="162" w:name="_Toc447031340"/>
    </w:p>
    <w:p w14:paraId="0AD35ED8">
      <w:pPr>
        <w:pStyle w:val="4"/>
        <w:snapToGrid w:val="0"/>
        <w:spacing w:before="0" w:after="0" w:line="460" w:lineRule="exact"/>
        <w:jc w:val="center"/>
        <w:textAlignment w:val="baseline"/>
        <w:rPr>
          <w:rFonts w:ascii="宋体" w:hAnsi="宋体" w:eastAsia="宋体"/>
          <w:sz w:val="30"/>
          <w:szCs w:val="30"/>
        </w:rPr>
      </w:pPr>
      <w:r>
        <w:rPr>
          <w:rFonts w:hint="eastAsia" w:ascii="宋体" w:hAnsi="宋体" w:eastAsia="宋体"/>
          <w:sz w:val="30"/>
          <w:szCs w:val="30"/>
        </w:rPr>
        <w:t>3. 分项报价表</w:t>
      </w:r>
      <w:bookmarkEnd w:id="156"/>
      <w:bookmarkEnd w:id="157"/>
      <w:bookmarkEnd w:id="158"/>
      <w:bookmarkEnd w:id="159"/>
      <w:bookmarkEnd w:id="160"/>
      <w:bookmarkEnd w:id="161"/>
      <w:bookmarkEnd w:id="162"/>
    </w:p>
    <w:p w14:paraId="0ECD22AD">
      <w:pPr>
        <w:snapToGrid w:val="0"/>
        <w:spacing w:line="460" w:lineRule="exact"/>
        <w:ind w:firstLine="540"/>
        <w:textAlignment w:val="baseline"/>
        <w:rPr>
          <w:rFonts w:hAnsi="宋体"/>
          <w:b/>
          <w:sz w:val="20"/>
          <w:szCs w:val="21"/>
        </w:rPr>
      </w:pPr>
    </w:p>
    <w:p w14:paraId="45F9ED47">
      <w:pPr>
        <w:rPr>
          <w:rFonts w:hAnsi="宋体"/>
          <w:sz w:val="24"/>
          <w:szCs w:val="24"/>
        </w:rPr>
      </w:pPr>
      <w:bookmarkStart w:id="163" w:name="_Toc376416685"/>
      <w:r>
        <w:rPr>
          <w:rFonts w:hAnsi="宋体" w:cs="宋体"/>
          <w:sz w:val="24"/>
          <w:szCs w:val="24"/>
        </w:rPr>
        <w:t>响应供应商</w:t>
      </w:r>
      <w:r>
        <w:rPr>
          <w:rFonts w:hint="eastAsia" w:hAnsi="宋体" w:cs="宋体"/>
          <w:sz w:val="24"/>
          <w:szCs w:val="24"/>
        </w:rPr>
        <w:t>名称</w:t>
      </w:r>
      <w:r>
        <w:rPr>
          <w:rFonts w:hAnsi="宋体" w:cs="宋体"/>
          <w:sz w:val="24"/>
          <w:szCs w:val="24"/>
        </w:rPr>
        <w:t>（公章）：</w:t>
      </w:r>
      <w:r>
        <w:rPr>
          <w:rFonts w:hint="eastAsia" w:hAnsi="宋体" w:cs="宋体"/>
          <w:sz w:val="24"/>
          <w:szCs w:val="24"/>
          <w:lang w:val="en-US" w:eastAsia="zh-CN"/>
        </w:rPr>
        <w:t xml:space="preserve">                                     </w:t>
      </w:r>
      <w:r>
        <w:rPr>
          <w:rFonts w:hAnsi="宋体" w:cs="宋体"/>
          <w:sz w:val="24"/>
          <w:szCs w:val="24"/>
        </w:rPr>
        <w:t>金额单位：元</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1903"/>
        <w:gridCol w:w="928"/>
        <w:gridCol w:w="1276"/>
        <w:gridCol w:w="2693"/>
        <w:gridCol w:w="1134"/>
      </w:tblGrid>
      <w:tr w14:paraId="07A26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246" w:type="dxa"/>
            <w:noWrap/>
            <w:vAlign w:val="center"/>
          </w:tcPr>
          <w:p w14:paraId="778E1E63">
            <w:pPr>
              <w:widowControl/>
              <w:jc w:val="center"/>
              <w:textAlignment w:val="center"/>
              <w:rPr>
                <w:rFonts w:hAnsi="宋体" w:cs="宋体"/>
                <w:color w:val="000000"/>
                <w:sz w:val="24"/>
                <w:szCs w:val="24"/>
              </w:rPr>
            </w:pPr>
            <w:r>
              <w:rPr>
                <w:rFonts w:hint="eastAsia" w:hAnsi="宋体" w:cs="宋体"/>
                <w:color w:val="000000"/>
                <w:sz w:val="24"/>
                <w:szCs w:val="24"/>
              </w:rPr>
              <w:t>序号</w:t>
            </w:r>
          </w:p>
        </w:tc>
        <w:tc>
          <w:tcPr>
            <w:tcW w:w="1903" w:type="dxa"/>
            <w:noWrap/>
            <w:vAlign w:val="center"/>
          </w:tcPr>
          <w:p w14:paraId="1A3ADD1E">
            <w:pPr>
              <w:widowControl/>
              <w:jc w:val="center"/>
              <w:textAlignment w:val="center"/>
              <w:rPr>
                <w:rFonts w:hAnsi="宋体" w:cs="宋体"/>
                <w:color w:val="000000"/>
                <w:sz w:val="24"/>
                <w:szCs w:val="24"/>
              </w:rPr>
            </w:pPr>
            <w:r>
              <w:rPr>
                <w:rFonts w:hint="eastAsia" w:hAnsi="宋体" w:cs="宋体"/>
                <w:color w:val="000000"/>
                <w:sz w:val="24"/>
                <w:szCs w:val="24"/>
              </w:rPr>
              <w:t>费用名称</w:t>
            </w:r>
          </w:p>
        </w:tc>
        <w:tc>
          <w:tcPr>
            <w:tcW w:w="928" w:type="dxa"/>
            <w:noWrap/>
            <w:vAlign w:val="center"/>
          </w:tcPr>
          <w:p w14:paraId="0AF2F11A">
            <w:pPr>
              <w:widowControl/>
              <w:jc w:val="center"/>
              <w:textAlignment w:val="center"/>
              <w:rPr>
                <w:rFonts w:hAnsi="宋体" w:cs="宋体"/>
                <w:color w:val="000000"/>
                <w:sz w:val="24"/>
                <w:szCs w:val="24"/>
              </w:rPr>
            </w:pPr>
            <w:r>
              <w:rPr>
                <w:rFonts w:hint="eastAsia" w:hAnsi="宋体" w:cs="宋体"/>
                <w:color w:val="000000"/>
                <w:sz w:val="24"/>
                <w:szCs w:val="24"/>
              </w:rPr>
              <w:t>数量</w:t>
            </w:r>
          </w:p>
        </w:tc>
        <w:tc>
          <w:tcPr>
            <w:tcW w:w="1276" w:type="dxa"/>
            <w:noWrap/>
            <w:vAlign w:val="center"/>
          </w:tcPr>
          <w:p w14:paraId="2253CA31">
            <w:pPr>
              <w:widowControl/>
              <w:jc w:val="center"/>
              <w:textAlignment w:val="center"/>
              <w:rPr>
                <w:rFonts w:hAnsi="宋体" w:cs="宋体"/>
                <w:color w:val="000000"/>
                <w:sz w:val="24"/>
                <w:szCs w:val="24"/>
              </w:rPr>
            </w:pPr>
            <w:r>
              <w:rPr>
                <w:rFonts w:hint="eastAsia" w:hAnsi="宋体" w:cs="宋体"/>
                <w:color w:val="000000"/>
                <w:sz w:val="24"/>
                <w:szCs w:val="24"/>
              </w:rPr>
              <w:t>单位</w:t>
            </w:r>
          </w:p>
        </w:tc>
        <w:tc>
          <w:tcPr>
            <w:tcW w:w="2693" w:type="dxa"/>
            <w:noWrap/>
            <w:vAlign w:val="center"/>
          </w:tcPr>
          <w:p w14:paraId="0EFD89E3">
            <w:pPr>
              <w:widowControl/>
              <w:jc w:val="center"/>
              <w:textAlignment w:val="center"/>
              <w:rPr>
                <w:rFonts w:hAnsi="宋体" w:cs="宋体"/>
                <w:color w:val="000000"/>
                <w:sz w:val="24"/>
                <w:szCs w:val="24"/>
              </w:rPr>
            </w:pPr>
            <w:r>
              <w:rPr>
                <w:rFonts w:hint="eastAsia" w:hAnsi="宋体" w:cs="宋体"/>
                <w:color w:val="000000"/>
                <w:sz w:val="24"/>
                <w:szCs w:val="24"/>
              </w:rPr>
              <w:t xml:space="preserve"> </w:t>
            </w:r>
            <w:r>
              <w:rPr>
                <w:rFonts w:hint="eastAsia" w:hAnsi="宋体" w:cs="宋体"/>
                <w:color w:val="000000"/>
                <w:sz w:val="24"/>
                <w:szCs w:val="24"/>
                <w:lang w:eastAsia="zh-CN"/>
              </w:rPr>
              <w:t>投标报价</w:t>
            </w:r>
            <w:r>
              <w:rPr>
                <w:rFonts w:hint="eastAsia" w:hAnsi="宋体" w:cs="宋体"/>
                <w:color w:val="000000"/>
                <w:sz w:val="24"/>
                <w:szCs w:val="24"/>
              </w:rPr>
              <w:t xml:space="preserve">     </w:t>
            </w:r>
          </w:p>
        </w:tc>
        <w:tc>
          <w:tcPr>
            <w:tcW w:w="1134" w:type="dxa"/>
            <w:noWrap/>
            <w:vAlign w:val="center"/>
          </w:tcPr>
          <w:p w14:paraId="22232D01">
            <w:pPr>
              <w:widowControl/>
              <w:jc w:val="center"/>
              <w:textAlignment w:val="center"/>
              <w:rPr>
                <w:rFonts w:hAnsi="宋体" w:cs="宋体"/>
                <w:color w:val="000000"/>
                <w:sz w:val="24"/>
                <w:szCs w:val="24"/>
              </w:rPr>
            </w:pPr>
            <w:r>
              <w:rPr>
                <w:rFonts w:hint="eastAsia" w:hAnsi="宋体" w:cs="宋体"/>
                <w:color w:val="000000"/>
                <w:sz w:val="24"/>
                <w:szCs w:val="24"/>
              </w:rPr>
              <w:t>备注</w:t>
            </w:r>
          </w:p>
        </w:tc>
      </w:tr>
      <w:tr w14:paraId="0FFC7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noWrap/>
            <w:vAlign w:val="center"/>
          </w:tcPr>
          <w:p w14:paraId="143D452D">
            <w:pPr>
              <w:keepNext/>
              <w:keepLines/>
              <w:spacing w:before="260" w:after="260" w:line="413" w:lineRule="auto"/>
              <w:jc w:val="center"/>
              <w:outlineLvl w:val="1"/>
              <w:rPr>
                <w:rFonts w:hint="eastAsia" w:hAnsi="宋体" w:eastAsia="宋体" w:cs="宋体"/>
                <w:sz w:val="24"/>
                <w:szCs w:val="24"/>
                <w:highlight w:val="none"/>
                <w:lang w:val="en-US" w:eastAsia="zh-CN"/>
              </w:rPr>
            </w:pPr>
            <w:r>
              <w:rPr>
                <w:rFonts w:hint="eastAsia" w:hAnsi="宋体" w:cs="宋体"/>
                <w:sz w:val="24"/>
                <w:szCs w:val="24"/>
                <w:highlight w:val="none"/>
                <w:lang w:val="en-US" w:eastAsia="zh-CN"/>
              </w:rPr>
              <w:t>①</w:t>
            </w:r>
          </w:p>
        </w:tc>
        <w:tc>
          <w:tcPr>
            <w:tcW w:w="1903" w:type="dxa"/>
            <w:noWrap/>
            <w:vAlign w:val="center"/>
          </w:tcPr>
          <w:p w14:paraId="1E33CFD6">
            <w:pPr>
              <w:keepNext/>
              <w:keepLines/>
              <w:spacing w:before="260" w:after="260" w:line="413" w:lineRule="auto"/>
              <w:jc w:val="center"/>
              <w:outlineLvl w:val="1"/>
              <w:rPr>
                <w:rFonts w:hint="default" w:hAnsi="宋体" w:eastAsia="宋体" w:cs="宋体"/>
                <w:sz w:val="24"/>
                <w:szCs w:val="24"/>
                <w:highlight w:val="none"/>
                <w:lang w:val="en-US" w:eastAsia="zh-CN"/>
              </w:rPr>
            </w:pPr>
            <w:r>
              <w:rPr>
                <w:rFonts w:hint="eastAsia" w:hAnsi="宋体" w:cs="宋体"/>
                <w:sz w:val="24"/>
                <w:szCs w:val="24"/>
                <w:highlight w:val="none"/>
                <w:lang w:val="en-US" w:eastAsia="zh-CN"/>
              </w:rPr>
              <w:t>跟踪审计费用（含一审）基本收费</w:t>
            </w:r>
          </w:p>
        </w:tc>
        <w:tc>
          <w:tcPr>
            <w:tcW w:w="928" w:type="dxa"/>
            <w:noWrap/>
            <w:vAlign w:val="center"/>
          </w:tcPr>
          <w:p w14:paraId="135734DA">
            <w:pPr>
              <w:keepNext/>
              <w:keepLines/>
              <w:spacing w:before="260" w:after="260" w:line="413" w:lineRule="auto"/>
              <w:jc w:val="center"/>
              <w:outlineLvl w:val="1"/>
              <w:rPr>
                <w:rFonts w:hint="eastAsia" w:hAnsi="宋体" w:eastAsia="宋体" w:cs="宋体"/>
                <w:sz w:val="24"/>
                <w:szCs w:val="24"/>
                <w:highlight w:val="none"/>
                <w:lang w:val="en-US" w:eastAsia="zh-CN"/>
              </w:rPr>
            </w:pPr>
            <w:r>
              <w:rPr>
                <w:rFonts w:hint="eastAsia" w:hAnsi="宋体" w:cs="宋体"/>
                <w:sz w:val="24"/>
                <w:szCs w:val="24"/>
                <w:highlight w:val="none"/>
                <w:lang w:val="en-US" w:eastAsia="zh-CN"/>
              </w:rPr>
              <w:t>1</w:t>
            </w:r>
          </w:p>
        </w:tc>
        <w:tc>
          <w:tcPr>
            <w:tcW w:w="1276" w:type="dxa"/>
            <w:noWrap/>
            <w:vAlign w:val="center"/>
          </w:tcPr>
          <w:p w14:paraId="29F95A44">
            <w:pPr>
              <w:keepNext/>
              <w:keepLines/>
              <w:spacing w:before="260" w:after="260" w:line="413" w:lineRule="auto"/>
              <w:jc w:val="center"/>
              <w:outlineLvl w:val="1"/>
              <w:rPr>
                <w:rFonts w:hint="eastAsia" w:hAnsi="宋体" w:eastAsia="宋体" w:cs="宋体"/>
                <w:sz w:val="24"/>
                <w:szCs w:val="24"/>
                <w:highlight w:val="none"/>
                <w:lang w:val="en-US" w:eastAsia="zh-CN"/>
              </w:rPr>
            </w:pPr>
            <w:r>
              <w:rPr>
                <w:rFonts w:hint="eastAsia" w:hAnsi="宋体" w:cs="宋体"/>
                <w:sz w:val="24"/>
                <w:szCs w:val="24"/>
                <w:highlight w:val="none"/>
                <w:lang w:val="en-US" w:eastAsia="zh-CN"/>
              </w:rPr>
              <w:t>项</w:t>
            </w:r>
          </w:p>
        </w:tc>
        <w:tc>
          <w:tcPr>
            <w:tcW w:w="2693" w:type="dxa"/>
            <w:noWrap/>
            <w:vAlign w:val="center"/>
          </w:tcPr>
          <w:p w14:paraId="6ABEE78D">
            <w:pPr>
              <w:keepNext/>
              <w:keepLines/>
              <w:spacing w:before="260" w:after="260" w:line="413" w:lineRule="auto"/>
              <w:jc w:val="center"/>
              <w:outlineLvl w:val="1"/>
              <w:rPr>
                <w:rFonts w:hAnsi="宋体" w:cs="宋体"/>
                <w:sz w:val="24"/>
                <w:szCs w:val="24"/>
                <w:highlight w:val="none"/>
              </w:rPr>
            </w:pPr>
          </w:p>
        </w:tc>
        <w:tc>
          <w:tcPr>
            <w:tcW w:w="1134" w:type="dxa"/>
            <w:noWrap/>
            <w:vAlign w:val="center"/>
          </w:tcPr>
          <w:p w14:paraId="3789D2EC">
            <w:pPr>
              <w:keepNext/>
              <w:keepLines/>
              <w:spacing w:before="260" w:after="260" w:line="413" w:lineRule="auto"/>
              <w:jc w:val="center"/>
              <w:outlineLvl w:val="1"/>
              <w:rPr>
                <w:rFonts w:hAnsi="宋体" w:cs="宋体"/>
                <w:sz w:val="24"/>
                <w:szCs w:val="24"/>
                <w:highlight w:val="none"/>
              </w:rPr>
            </w:pPr>
          </w:p>
        </w:tc>
      </w:tr>
      <w:tr w14:paraId="52740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noWrap/>
            <w:vAlign w:val="center"/>
          </w:tcPr>
          <w:p w14:paraId="398F9BBD">
            <w:pPr>
              <w:keepNext/>
              <w:keepLines/>
              <w:spacing w:before="260" w:after="260" w:line="413" w:lineRule="auto"/>
              <w:jc w:val="center"/>
              <w:outlineLvl w:val="1"/>
              <w:rPr>
                <w:rFonts w:hint="default" w:hAnsi="宋体" w:eastAsia="宋体" w:cs="宋体"/>
                <w:sz w:val="24"/>
                <w:szCs w:val="24"/>
                <w:highlight w:val="none"/>
                <w:lang w:val="en-US" w:eastAsia="zh-CN"/>
              </w:rPr>
            </w:pPr>
            <w:r>
              <w:rPr>
                <w:rFonts w:hint="eastAsia" w:hAnsi="宋体" w:cs="宋体"/>
                <w:sz w:val="24"/>
                <w:szCs w:val="24"/>
                <w:highlight w:val="none"/>
                <w:lang w:val="en-US" w:eastAsia="zh-CN"/>
              </w:rPr>
              <w:t>②</w:t>
            </w:r>
          </w:p>
        </w:tc>
        <w:tc>
          <w:tcPr>
            <w:tcW w:w="1903" w:type="dxa"/>
            <w:noWrap/>
            <w:vAlign w:val="center"/>
          </w:tcPr>
          <w:p w14:paraId="4FD249AA">
            <w:pPr>
              <w:keepNext/>
              <w:keepLines/>
              <w:spacing w:before="260" w:after="260" w:line="413" w:lineRule="auto"/>
              <w:jc w:val="center"/>
              <w:outlineLvl w:val="1"/>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一审核减收费</w:t>
            </w:r>
          </w:p>
        </w:tc>
        <w:tc>
          <w:tcPr>
            <w:tcW w:w="6031" w:type="dxa"/>
            <w:gridSpan w:val="4"/>
            <w:noWrap/>
            <w:vAlign w:val="center"/>
          </w:tcPr>
          <w:p w14:paraId="546F8893">
            <w:pPr>
              <w:keepNext/>
              <w:keepLines/>
              <w:spacing w:before="260" w:after="260" w:line="413" w:lineRule="auto"/>
              <w:jc w:val="center"/>
              <w:outlineLvl w:val="1"/>
              <w:rPr>
                <w:rFonts w:hint="default" w:ascii="宋体" w:hAnsi="宋体" w:eastAsia="宋体" w:cs="宋体"/>
                <w:sz w:val="24"/>
                <w:szCs w:val="24"/>
                <w:highlight w:val="none"/>
                <w:lang w:val="en-US" w:eastAsia="zh-CN"/>
              </w:rPr>
            </w:pPr>
          </w:p>
        </w:tc>
      </w:tr>
      <w:tr w14:paraId="4A4F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noWrap/>
            <w:vAlign w:val="center"/>
          </w:tcPr>
          <w:p w14:paraId="5D9FB71F">
            <w:pPr>
              <w:keepNext/>
              <w:keepLines/>
              <w:spacing w:before="260" w:after="260" w:line="413" w:lineRule="auto"/>
              <w:jc w:val="center"/>
              <w:outlineLvl w:val="1"/>
              <w:rPr>
                <w:rFonts w:hint="eastAsia" w:hAnsi="宋体" w:eastAsia="宋体" w:cs="宋体"/>
                <w:sz w:val="24"/>
                <w:szCs w:val="24"/>
                <w:highlight w:val="none"/>
                <w:lang w:val="en-US" w:eastAsia="zh-CN"/>
              </w:rPr>
            </w:pPr>
            <w:r>
              <w:rPr>
                <w:rFonts w:hint="eastAsia" w:hAnsi="宋体" w:cs="宋体"/>
                <w:sz w:val="24"/>
                <w:szCs w:val="24"/>
                <w:highlight w:val="none"/>
                <w:lang w:val="en-US" w:eastAsia="zh-CN"/>
              </w:rPr>
              <w:t>③</w:t>
            </w:r>
          </w:p>
        </w:tc>
        <w:tc>
          <w:tcPr>
            <w:tcW w:w="1903" w:type="dxa"/>
            <w:noWrap/>
            <w:vAlign w:val="center"/>
          </w:tcPr>
          <w:p w14:paraId="538062D3">
            <w:pPr>
              <w:keepNext/>
              <w:keepLines/>
              <w:spacing w:before="260" w:after="260" w:line="413" w:lineRule="auto"/>
              <w:jc w:val="center"/>
              <w:outlineLvl w:val="1"/>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合计收费</w:t>
            </w:r>
          </w:p>
        </w:tc>
        <w:tc>
          <w:tcPr>
            <w:tcW w:w="6031" w:type="dxa"/>
            <w:gridSpan w:val="4"/>
            <w:noWrap/>
            <w:vAlign w:val="center"/>
          </w:tcPr>
          <w:p w14:paraId="5638D938">
            <w:pPr>
              <w:keepNext/>
              <w:keepLines/>
              <w:spacing w:before="260" w:after="260" w:line="413" w:lineRule="auto"/>
              <w:jc w:val="center"/>
              <w:outlineLvl w:val="1"/>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基本收费+一审核减收费</w:t>
            </w:r>
          </w:p>
        </w:tc>
      </w:tr>
      <w:tr w14:paraId="26B8A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gridSpan w:val="6"/>
            <w:noWrap/>
          </w:tcPr>
          <w:p w14:paraId="69C90E5E">
            <w:pPr>
              <w:keepNext/>
              <w:keepLines/>
              <w:spacing w:before="260" w:after="260" w:line="413" w:lineRule="auto"/>
              <w:jc w:val="left"/>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说明：①一审核减额在送审价5%以内的，核减审计费由委托方承担，核减额在送审价5%以上的，超出5%的部分由施工单位承担。</w:t>
            </w:r>
          </w:p>
          <w:p w14:paraId="372E2A85">
            <w:pPr>
              <w:keepNext/>
              <w:keepLines/>
              <w:spacing w:before="260" w:after="260" w:line="413" w:lineRule="auto"/>
              <w:ind w:firstLine="720" w:firstLineChars="300"/>
              <w:jc w:val="left"/>
              <w:outlineLvl w:val="1"/>
              <w:rPr>
                <w:rFonts w:hAnsi="宋体" w:cs="宋体"/>
                <w:sz w:val="24"/>
                <w:szCs w:val="24"/>
                <w:highlight w:val="none"/>
              </w:rPr>
            </w:pPr>
            <w:r>
              <w:rPr>
                <w:rFonts w:hint="eastAsia" w:ascii="宋体" w:hAnsi="宋体" w:eastAsia="宋体" w:cs="宋体"/>
                <w:sz w:val="24"/>
                <w:szCs w:val="24"/>
                <w:highlight w:val="none"/>
                <w:lang w:val="en-US" w:eastAsia="zh-CN"/>
              </w:rPr>
              <w:t>②二审核减额在一审定价5%以内的核减审计费由委托方承担,二审核减额超出5%的部分由一审单位承担，从一审审计费中扣除。</w:t>
            </w:r>
          </w:p>
        </w:tc>
      </w:tr>
    </w:tbl>
    <w:p w14:paraId="65E024F6">
      <w:pPr>
        <w:widowControl/>
        <w:spacing w:line="360" w:lineRule="auto"/>
        <w:rPr>
          <w:rFonts w:hint="eastAsia" w:hAnsi="宋体" w:cs="宋体"/>
          <w:sz w:val="24"/>
          <w:szCs w:val="24"/>
        </w:rPr>
      </w:pPr>
    </w:p>
    <w:p w14:paraId="6C150321">
      <w:pPr>
        <w:widowControl/>
        <w:spacing w:line="360" w:lineRule="auto"/>
        <w:rPr>
          <w:rFonts w:hAnsi="宋体" w:cs="宋体"/>
          <w:sz w:val="24"/>
          <w:szCs w:val="24"/>
        </w:rPr>
      </w:pPr>
      <w:r>
        <w:rPr>
          <w:rFonts w:hint="eastAsia" w:hAnsi="宋体" w:cs="宋体"/>
          <w:sz w:val="24"/>
          <w:szCs w:val="24"/>
        </w:rPr>
        <w:t>法定代表人（或其授权委托人）（签字或盖章）：             日期：</w:t>
      </w:r>
    </w:p>
    <w:p w14:paraId="2D004E67">
      <w:pPr>
        <w:widowControl/>
        <w:spacing w:line="360" w:lineRule="auto"/>
        <w:rPr>
          <w:rFonts w:hAnsi="宋体" w:cs="宋体"/>
          <w:sz w:val="24"/>
          <w:szCs w:val="24"/>
        </w:rPr>
      </w:pPr>
      <w:bookmarkStart w:id="164" w:name="_Toc108597179"/>
      <w:r>
        <w:rPr>
          <w:rFonts w:hint="eastAsia" w:hAnsi="宋体" w:cs="宋体"/>
          <w:sz w:val="24"/>
          <w:szCs w:val="24"/>
        </w:rPr>
        <w:t>注：</w:t>
      </w:r>
      <w:bookmarkEnd w:id="164"/>
      <w:bookmarkStart w:id="165" w:name="_Toc108597181"/>
      <w:r>
        <w:rPr>
          <w:rFonts w:hint="eastAsia" w:hAnsi="宋体" w:cs="宋体"/>
          <w:sz w:val="24"/>
          <w:szCs w:val="24"/>
        </w:rPr>
        <w:t>投标人在投标报价中应包括完成本合同所需的包含加班费、奖金补贴、劳保费、安全医疗费、旅差费、配合费、管理费、设备费、办公场所费用等一切费用在内的直接费、间接费、税金和利润。</w:t>
      </w:r>
      <w:bookmarkEnd w:id="165"/>
      <w:r>
        <w:rPr>
          <w:rFonts w:hint="eastAsia" w:hAnsi="宋体" w:cs="宋体"/>
          <w:sz w:val="24"/>
          <w:szCs w:val="24"/>
        </w:rPr>
        <w:t>投标总价不得高于采购预算价。</w:t>
      </w:r>
    </w:p>
    <w:p w14:paraId="7A8A0F29">
      <w:pPr>
        <w:snapToGrid w:val="0"/>
        <w:textAlignment w:val="baseline"/>
        <w:rPr>
          <w:rFonts w:hAnsi="宋体"/>
          <w:sz w:val="20"/>
        </w:rPr>
      </w:pPr>
    </w:p>
    <w:p w14:paraId="6DC7AF5B">
      <w:pPr>
        <w:snapToGrid w:val="0"/>
        <w:textAlignment w:val="baseline"/>
        <w:rPr>
          <w:rFonts w:hAnsi="宋体"/>
          <w:sz w:val="20"/>
        </w:rPr>
      </w:pPr>
    </w:p>
    <w:p w14:paraId="006CAF29">
      <w:pPr>
        <w:snapToGrid w:val="0"/>
        <w:textAlignment w:val="baseline"/>
        <w:rPr>
          <w:rFonts w:hAnsi="宋体"/>
          <w:sz w:val="20"/>
        </w:rPr>
      </w:pPr>
    </w:p>
    <w:bookmarkEnd w:id="163"/>
    <w:p w14:paraId="5316D12F">
      <w:pPr>
        <w:snapToGrid w:val="0"/>
        <w:textAlignment w:val="baseline"/>
        <w:rPr>
          <w:rFonts w:hAnsi="宋体"/>
          <w:sz w:val="21"/>
          <w:szCs w:val="21"/>
        </w:rPr>
      </w:pPr>
      <w:bookmarkStart w:id="166" w:name="_Toc450122263"/>
      <w:bookmarkStart w:id="167" w:name="_Toc16915"/>
      <w:bookmarkStart w:id="168" w:name="_Toc447031342"/>
    </w:p>
    <w:p w14:paraId="29E2C7DC">
      <w:pPr>
        <w:snapToGrid w:val="0"/>
        <w:textAlignment w:val="baseline"/>
        <w:rPr>
          <w:sz w:val="20"/>
        </w:rPr>
      </w:pPr>
      <w:bookmarkStart w:id="169" w:name="_Toc13410"/>
      <w:bookmarkStart w:id="170" w:name="_Toc83627175"/>
      <w:bookmarkStart w:id="171" w:name="_Toc83626637"/>
    </w:p>
    <w:p w14:paraId="242F5903">
      <w:pPr>
        <w:pStyle w:val="25"/>
      </w:pPr>
    </w:p>
    <w:p w14:paraId="3530B58F">
      <w:pPr>
        <w:pStyle w:val="2"/>
        <w:rPr>
          <w:sz w:val="20"/>
        </w:rPr>
      </w:pPr>
    </w:p>
    <w:p w14:paraId="3A7BE0F9">
      <w:pPr>
        <w:pStyle w:val="2"/>
        <w:rPr>
          <w:sz w:val="20"/>
        </w:rPr>
      </w:pPr>
    </w:p>
    <w:p w14:paraId="2BB27E30">
      <w:pPr>
        <w:pStyle w:val="2"/>
        <w:rPr>
          <w:sz w:val="20"/>
        </w:rPr>
      </w:pPr>
    </w:p>
    <w:p w14:paraId="6B5CE522">
      <w:pPr>
        <w:pStyle w:val="3"/>
      </w:pPr>
    </w:p>
    <w:p w14:paraId="1734EE89">
      <w:pPr>
        <w:snapToGrid w:val="0"/>
        <w:textAlignment w:val="baseline"/>
        <w:rPr>
          <w:rFonts w:hAnsi="宋体"/>
          <w:sz w:val="21"/>
          <w:szCs w:val="21"/>
        </w:rPr>
      </w:pPr>
    </w:p>
    <w:p w14:paraId="016DC2B4">
      <w:pPr>
        <w:snapToGrid w:val="0"/>
        <w:spacing w:line="400" w:lineRule="exact"/>
        <w:jc w:val="center"/>
        <w:textAlignment w:val="baseline"/>
        <w:rPr>
          <w:rFonts w:hAnsi="宋体"/>
          <w:b/>
          <w:bCs/>
          <w:sz w:val="30"/>
          <w:szCs w:val="30"/>
        </w:rPr>
      </w:pPr>
      <w:bookmarkStart w:id="172" w:name="_Toc29594"/>
      <w:r>
        <w:rPr>
          <w:rFonts w:hint="eastAsia" w:hAnsi="宋体"/>
          <w:b/>
          <w:bCs/>
          <w:sz w:val="30"/>
          <w:szCs w:val="30"/>
          <w:lang w:val="en-US" w:eastAsia="zh-CN"/>
        </w:rPr>
        <w:t>4</w:t>
      </w:r>
      <w:r>
        <w:rPr>
          <w:rFonts w:hint="eastAsia" w:hAnsi="宋体"/>
          <w:b/>
          <w:bCs/>
          <w:sz w:val="30"/>
          <w:szCs w:val="30"/>
        </w:rPr>
        <w:t>.技术条款响应/偏离表</w:t>
      </w:r>
      <w:bookmarkEnd w:id="166"/>
      <w:bookmarkEnd w:id="167"/>
      <w:bookmarkEnd w:id="168"/>
      <w:bookmarkEnd w:id="169"/>
      <w:bookmarkEnd w:id="170"/>
      <w:bookmarkEnd w:id="171"/>
      <w:bookmarkEnd w:id="172"/>
    </w:p>
    <w:p w14:paraId="66C513A0">
      <w:pPr>
        <w:snapToGrid w:val="0"/>
        <w:spacing w:line="400" w:lineRule="exact"/>
        <w:textAlignment w:val="baseline"/>
        <w:rPr>
          <w:rFonts w:hAnsi="宋体"/>
          <w:sz w:val="24"/>
        </w:rPr>
      </w:pPr>
      <w:r>
        <w:rPr>
          <w:rFonts w:hint="eastAsia" w:hAnsi="宋体"/>
          <w:sz w:val="24"/>
        </w:rPr>
        <w:t>投标单位名称：</w:t>
      </w:r>
    </w:p>
    <w:p w14:paraId="45F81626">
      <w:pPr>
        <w:snapToGrid w:val="0"/>
        <w:spacing w:line="400" w:lineRule="exact"/>
        <w:textAlignment w:val="baseline"/>
        <w:rPr>
          <w:rFonts w:hAnsi="宋体"/>
          <w:sz w:val="24"/>
          <w:u w:val="single"/>
        </w:rPr>
      </w:pPr>
      <w:r>
        <w:rPr>
          <w:rFonts w:hint="eastAsia" w:hAnsi="宋体"/>
          <w:sz w:val="24"/>
        </w:rPr>
        <w:t>招标编号：</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2084"/>
        <w:gridCol w:w="1651"/>
        <w:gridCol w:w="1651"/>
        <w:gridCol w:w="1332"/>
        <w:gridCol w:w="1288"/>
      </w:tblGrid>
      <w:tr w14:paraId="6033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903" w:type="dxa"/>
            <w:vAlign w:val="center"/>
          </w:tcPr>
          <w:p w14:paraId="1F374C1B">
            <w:pPr>
              <w:snapToGrid w:val="0"/>
              <w:spacing w:line="400" w:lineRule="exact"/>
              <w:jc w:val="center"/>
              <w:textAlignment w:val="baseline"/>
              <w:rPr>
                <w:rFonts w:hAnsi="宋体"/>
                <w:sz w:val="24"/>
              </w:rPr>
            </w:pPr>
            <w:r>
              <w:rPr>
                <w:rFonts w:hint="eastAsia" w:hAnsi="宋体"/>
                <w:sz w:val="24"/>
              </w:rPr>
              <w:t>序号</w:t>
            </w:r>
          </w:p>
        </w:tc>
        <w:tc>
          <w:tcPr>
            <w:tcW w:w="2084" w:type="dxa"/>
            <w:vAlign w:val="center"/>
          </w:tcPr>
          <w:p w14:paraId="64410D3F">
            <w:pPr>
              <w:snapToGrid w:val="0"/>
              <w:spacing w:line="400" w:lineRule="exact"/>
              <w:jc w:val="center"/>
              <w:textAlignment w:val="baseline"/>
              <w:rPr>
                <w:rFonts w:hAnsi="宋体"/>
                <w:sz w:val="24"/>
              </w:rPr>
            </w:pPr>
            <w:r>
              <w:rPr>
                <w:rFonts w:hint="eastAsia" w:hAnsi="宋体"/>
                <w:sz w:val="24"/>
              </w:rPr>
              <w:t>招标文件条目号</w:t>
            </w:r>
          </w:p>
        </w:tc>
        <w:tc>
          <w:tcPr>
            <w:tcW w:w="1651" w:type="dxa"/>
            <w:vAlign w:val="center"/>
          </w:tcPr>
          <w:p w14:paraId="614B3C1A">
            <w:pPr>
              <w:spacing w:line="400" w:lineRule="exact"/>
              <w:jc w:val="center"/>
              <w:rPr>
                <w:rFonts w:hAnsi="宋体"/>
                <w:sz w:val="24"/>
              </w:rPr>
            </w:pPr>
            <w:r>
              <w:rPr>
                <w:rFonts w:hint="eastAsia" w:hAnsi="宋体"/>
                <w:sz w:val="24"/>
              </w:rPr>
              <w:t>招标文件的技术条款</w:t>
            </w:r>
          </w:p>
        </w:tc>
        <w:tc>
          <w:tcPr>
            <w:tcW w:w="1651" w:type="dxa"/>
            <w:vAlign w:val="center"/>
          </w:tcPr>
          <w:p w14:paraId="03544625">
            <w:pPr>
              <w:spacing w:line="400" w:lineRule="exact"/>
              <w:jc w:val="center"/>
              <w:rPr>
                <w:rFonts w:hAnsi="宋体"/>
                <w:sz w:val="24"/>
              </w:rPr>
            </w:pPr>
            <w:r>
              <w:rPr>
                <w:rFonts w:hint="eastAsia" w:hAnsi="宋体"/>
                <w:sz w:val="24"/>
              </w:rPr>
              <w:t>投标文件的技术条款</w:t>
            </w:r>
          </w:p>
        </w:tc>
        <w:tc>
          <w:tcPr>
            <w:tcW w:w="1332" w:type="dxa"/>
            <w:vAlign w:val="center"/>
          </w:tcPr>
          <w:p w14:paraId="4B3F3FEC">
            <w:pPr>
              <w:snapToGrid w:val="0"/>
              <w:spacing w:line="400" w:lineRule="exact"/>
              <w:jc w:val="center"/>
              <w:textAlignment w:val="baseline"/>
              <w:rPr>
                <w:rFonts w:hAnsi="宋体"/>
                <w:sz w:val="24"/>
              </w:rPr>
            </w:pPr>
            <w:r>
              <w:rPr>
                <w:rFonts w:hint="eastAsia" w:hAnsi="宋体"/>
                <w:sz w:val="24"/>
              </w:rPr>
              <w:t>响应/偏离</w:t>
            </w:r>
          </w:p>
        </w:tc>
        <w:tc>
          <w:tcPr>
            <w:tcW w:w="1288" w:type="dxa"/>
            <w:vAlign w:val="center"/>
          </w:tcPr>
          <w:p w14:paraId="2E82BCA6">
            <w:pPr>
              <w:snapToGrid w:val="0"/>
              <w:spacing w:line="400" w:lineRule="exact"/>
              <w:jc w:val="center"/>
              <w:textAlignment w:val="baseline"/>
              <w:rPr>
                <w:rFonts w:hAnsi="宋体"/>
                <w:sz w:val="24"/>
              </w:rPr>
            </w:pPr>
            <w:r>
              <w:rPr>
                <w:rFonts w:hint="eastAsia" w:hAnsi="宋体"/>
                <w:sz w:val="24"/>
              </w:rPr>
              <w:t>说明</w:t>
            </w:r>
          </w:p>
        </w:tc>
      </w:tr>
      <w:tr w14:paraId="1967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903" w:type="dxa"/>
          </w:tcPr>
          <w:p w14:paraId="58420EB2">
            <w:pPr>
              <w:snapToGrid w:val="0"/>
              <w:spacing w:line="400" w:lineRule="exact"/>
              <w:textAlignment w:val="baseline"/>
              <w:rPr>
                <w:rFonts w:hAnsi="宋体"/>
                <w:sz w:val="24"/>
              </w:rPr>
            </w:pPr>
          </w:p>
        </w:tc>
        <w:tc>
          <w:tcPr>
            <w:tcW w:w="2084" w:type="dxa"/>
          </w:tcPr>
          <w:p w14:paraId="2022B2E8">
            <w:pPr>
              <w:snapToGrid w:val="0"/>
              <w:spacing w:line="400" w:lineRule="exact"/>
              <w:textAlignment w:val="baseline"/>
              <w:rPr>
                <w:rFonts w:hAnsi="宋体"/>
                <w:sz w:val="24"/>
              </w:rPr>
            </w:pPr>
          </w:p>
        </w:tc>
        <w:tc>
          <w:tcPr>
            <w:tcW w:w="1651" w:type="dxa"/>
          </w:tcPr>
          <w:p w14:paraId="58C75508">
            <w:pPr>
              <w:snapToGrid w:val="0"/>
              <w:spacing w:line="400" w:lineRule="exact"/>
              <w:textAlignment w:val="baseline"/>
              <w:rPr>
                <w:rFonts w:hAnsi="宋体"/>
                <w:sz w:val="24"/>
              </w:rPr>
            </w:pPr>
          </w:p>
        </w:tc>
        <w:tc>
          <w:tcPr>
            <w:tcW w:w="1651" w:type="dxa"/>
          </w:tcPr>
          <w:p w14:paraId="14F1CFD2">
            <w:pPr>
              <w:snapToGrid w:val="0"/>
              <w:spacing w:line="400" w:lineRule="exact"/>
              <w:textAlignment w:val="baseline"/>
              <w:rPr>
                <w:rFonts w:hAnsi="宋体"/>
                <w:sz w:val="24"/>
              </w:rPr>
            </w:pPr>
          </w:p>
        </w:tc>
        <w:tc>
          <w:tcPr>
            <w:tcW w:w="1332" w:type="dxa"/>
          </w:tcPr>
          <w:p w14:paraId="2BEE2BCE">
            <w:pPr>
              <w:snapToGrid w:val="0"/>
              <w:spacing w:line="400" w:lineRule="exact"/>
              <w:textAlignment w:val="baseline"/>
              <w:rPr>
                <w:rFonts w:hAnsi="宋体"/>
                <w:sz w:val="24"/>
              </w:rPr>
            </w:pPr>
          </w:p>
        </w:tc>
        <w:tc>
          <w:tcPr>
            <w:tcW w:w="1288" w:type="dxa"/>
          </w:tcPr>
          <w:p w14:paraId="2829B7D4">
            <w:pPr>
              <w:snapToGrid w:val="0"/>
              <w:spacing w:line="400" w:lineRule="exact"/>
              <w:textAlignment w:val="baseline"/>
              <w:rPr>
                <w:rFonts w:hAnsi="宋体"/>
                <w:sz w:val="24"/>
              </w:rPr>
            </w:pPr>
          </w:p>
        </w:tc>
      </w:tr>
      <w:tr w14:paraId="5EDEC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903" w:type="dxa"/>
          </w:tcPr>
          <w:p w14:paraId="358723F2">
            <w:pPr>
              <w:snapToGrid w:val="0"/>
              <w:spacing w:line="400" w:lineRule="exact"/>
              <w:textAlignment w:val="baseline"/>
              <w:rPr>
                <w:rFonts w:hAnsi="宋体"/>
                <w:sz w:val="24"/>
              </w:rPr>
            </w:pPr>
          </w:p>
        </w:tc>
        <w:tc>
          <w:tcPr>
            <w:tcW w:w="2084" w:type="dxa"/>
          </w:tcPr>
          <w:p w14:paraId="6334132C">
            <w:pPr>
              <w:snapToGrid w:val="0"/>
              <w:spacing w:line="400" w:lineRule="exact"/>
              <w:textAlignment w:val="baseline"/>
              <w:rPr>
                <w:rFonts w:hAnsi="宋体"/>
                <w:sz w:val="24"/>
              </w:rPr>
            </w:pPr>
          </w:p>
        </w:tc>
        <w:tc>
          <w:tcPr>
            <w:tcW w:w="1651" w:type="dxa"/>
          </w:tcPr>
          <w:p w14:paraId="2BDB90C0">
            <w:pPr>
              <w:snapToGrid w:val="0"/>
              <w:spacing w:line="400" w:lineRule="exact"/>
              <w:textAlignment w:val="baseline"/>
              <w:rPr>
                <w:rFonts w:hAnsi="宋体"/>
                <w:sz w:val="24"/>
              </w:rPr>
            </w:pPr>
          </w:p>
        </w:tc>
        <w:tc>
          <w:tcPr>
            <w:tcW w:w="1651" w:type="dxa"/>
          </w:tcPr>
          <w:p w14:paraId="6FFCBBFD">
            <w:pPr>
              <w:snapToGrid w:val="0"/>
              <w:spacing w:line="400" w:lineRule="exact"/>
              <w:textAlignment w:val="baseline"/>
              <w:rPr>
                <w:rFonts w:hAnsi="宋体"/>
                <w:sz w:val="24"/>
              </w:rPr>
            </w:pPr>
          </w:p>
        </w:tc>
        <w:tc>
          <w:tcPr>
            <w:tcW w:w="1332" w:type="dxa"/>
          </w:tcPr>
          <w:p w14:paraId="278C3535">
            <w:pPr>
              <w:snapToGrid w:val="0"/>
              <w:spacing w:line="400" w:lineRule="exact"/>
              <w:textAlignment w:val="baseline"/>
              <w:rPr>
                <w:rFonts w:hAnsi="宋体"/>
                <w:sz w:val="24"/>
              </w:rPr>
            </w:pPr>
          </w:p>
        </w:tc>
        <w:tc>
          <w:tcPr>
            <w:tcW w:w="1288" w:type="dxa"/>
          </w:tcPr>
          <w:p w14:paraId="0DD510AD">
            <w:pPr>
              <w:snapToGrid w:val="0"/>
              <w:spacing w:line="400" w:lineRule="exact"/>
              <w:textAlignment w:val="baseline"/>
              <w:rPr>
                <w:rFonts w:hAnsi="宋体"/>
                <w:sz w:val="24"/>
              </w:rPr>
            </w:pPr>
          </w:p>
        </w:tc>
      </w:tr>
      <w:tr w14:paraId="64A0F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903" w:type="dxa"/>
          </w:tcPr>
          <w:p w14:paraId="7FBDD97C">
            <w:pPr>
              <w:snapToGrid w:val="0"/>
              <w:spacing w:line="400" w:lineRule="exact"/>
              <w:textAlignment w:val="baseline"/>
              <w:rPr>
                <w:rFonts w:hAnsi="宋体"/>
                <w:sz w:val="24"/>
              </w:rPr>
            </w:pPr>
          </w:p>
        </w:tc>
        <w:tc>
          <w:tcPr>
            <w:tcW w:w="2084" w:type="dxa"/>
          </w:tcPr>
          <w:p w14:paraId="33FF8035">
            <w:pPr>
              <w:snapToGrid w:val="0"/>
              <w:spacing w:line="400" w:lineRule="exact"/>
              <w:textAlignment w:val="baseline"/>
              <w:rPr>
                <w:rFonts w:hAnsi="宋体"/>
                <w:sz w:val="24"/>
              </w:rPr>
            </w:pPr>
          </w:p>
        </w:tc>
        <w:tc>
          <w:tcPr>
            <w:tcW w:w="1651" w:type="dxa"/>
          </w:tcPr>
          <w:p w14:paraId="554C7256">
            <w:pPr>
              <w:snapToGrid w:val="0"/>
              <w:spacing w:line="400" w:lineRule="exact"/>
              <w:textAlignment w:val="baseline"/>
              <w:rPr>
                <w:rFonts w:hAnsi="宋体"/>
                <w:sz w:val="24"/>
              </w:rPr>
            </w:pPr>
          </w:p>
        </w:tc>
        <w:tc>
          <w:tcPr>
            <w:tcW w:w="1651" w:type="dxa"/>
          </w:tcPr>
          <w:p w14:paraId="3D42FC9A">
            <w:pPr>
              <w:snapToGrid w:val="0"/>
              <w:spacing w:line="400" w:lineRule="exact"/>
              <w:textAlignment w:val="baseline"/>
              <w:rPr>
                <w:rFonts w:hAnsi="宋体"/>
                <w:sz w:val="24"/>
              </w:rPr>
            </w:pPr>
          </w:p>
        </w:tc>
        <w:tc>
          <w:tcPr>
            <w:tcW w:w="1332" w:type="dxa"/>
          </w:tcPr>
          <w:p w14:paraId="4D24EE4C">
            <w:pPr>
              <w:snapToGrid w:val="0"/>
              <w:spacing w:line="400" w:lineRule="exact"/>
              <w:textAlignment w:val="baseline"/>
              <w:rPr>
                <w:rFonts w:hAnsi="宋体"/>
                <w:sz w:val="24"/>
              </w:rPr>
            </w:pPr>
          </w:p>
        </w:tc>
        <w:tc>
          <w:tcPr>
            <w:tcW w:w="1288" w:type="dxa"/>
          </w:tcPr>
          <w:p w14:paraId="49740355">
            <w:pPr>
              <w:snapToGrid w:val="0"/>
              <w:spacing w:line="400" w:lineRule="exact"/>
              <w:textAlignment w:val="baseline"/>
              <w:rPr>
                <w:rFonts w:hAnsi="宋体"/>
                <w:sz w:val="24"/>
              </w:rPr>
            </w:pPr>
          </w:p>
        </w:tc>
      </w:tr>
      <w:tr w14:paraId="1BF25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903" w:type="dxa"/>
          </w:tcPr>
          <w:p w14:paraId="215FCAB3">
            <w:pPr>
              <w:snapToGrid w:val="0"/>
              <w:spacing w:line="400" w:lineRule="exact"/>
              <w:textAlignment w:val="baseline"/>
              <w:rPr>
                <w:rFonts w:hAnsi="宋体"/>
                <w:sz w:val="24"/>
              </w:rPr>
            </w:pPr>
          </w:p>
        </w:tc>
        <w:tc>
          <w:tcPr>
            <w:tcW w:w="2084" w:type="dxa"/>
          </w:tcPr>
          <w:p w14:paraId="0B2ED817">
            <w:pPr>
              <w:snapToGrid w:val="0"/>
              <w:spacing w:line="400" w:lineRule="exact"/>
              <w:textAlignment w:val="baseline"/>
              <w:rPr>
                <w:rFonts w:hAnsi="宋体"/>
                <w:sz w:val="24"/>
              </w:rPr>
            </w:pPr>
          </w:p>
        </w:tc>
        <w:tc>
          <w:tcPr>
            <w:tcW w:w="1651" w:type="dxa"/>
          </w:tcPr>
          <w:p w14:paraId="0B072F42">
            <w:pPr>
              <w:snapToGrid w:val="0"/>
              <w:spacing w:line="400" w:lineRule="exact"/>
              <w:textAlignment w:val="baseline"/>
              <w:rPr>
                <w:rFonts w:hAnsi="宋体"/>
                <w:sz w:val="24"/>
              </w:rPr>
            </w:pPr>
          </w:p>
        </w:tc>
        <w:tc>
          <w:tcPr>
            <w:tcW w:w="1651" w:type="dxa"/>
          </w:tcPr>
          <w:p w14:paraId="093F6DE9">
            <w:pPr>
              <w:snapToGrid w:val="0"/>
              <w:spacing w:line="400" w:lineRule="exact"/>
              <w:textAlignment w:val="baseline"/>
              <w:rPr>
                <w:rFonts w:hAnsi="宋体"/>
                <w:sz w:val="24"/>
              </w:rPr>
            </w:pPr>
          </w:p>
        </w:tc>
        <w:tc>
          <w:tcPr>
            <w:tcW w:w="1332" w:type="dxa"/>
          </w:tcPr>
          <w:p w14:paraId="35C96121">
            <w:pPr>
              <w:snapToGrid w:val="0"/>
              <w:spacing w:line="400" w:lineRule="exact"/>
              <w:textAlignment w:val="baseline"/>
              <w:rPr>
                <w:rFonts w:hAnsi="宋体"/>
                <w:sz w:val="24"/>
              </w:rPr>
            </w:pPr>
          </w:p>
        </w:tc>
        <w:tc>
          <w:tcPr>
            <w:tcW w:w="1288" w:type="dxa"/>
          </w:tcPr>
          <w:p w14:paraId="1A269B34">
            <w:pPr>
              <w:snapToGrid w:val="0"/>
              <w:spacing w:line="400" w:lineRule="exact"/>
              <w:textAlignment w:val="baseline"/>
              <w:rPr>
                <w:rFonts w:hAnsi="宋体"/>
                <w:sz w:val="24"/>
              </w:rPr>
            </w:pPr>
          </w:p>
        </w:tc>
      </w:tr>
      <w:tr w14:paraId="1AA8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903" w:type="dxa"/>
          </w:tcPr>
          <w:p w14:paraId="4CEB333B">
            <w:pPr>
              <w:snapToGrid w:val="0"/>
              <w:spacing w:line="400" w:lineRule="exact"/>
              <w:textAlignment w:val="baseline"/>
              <w:rPr>
                <w:rFonts w:hAnsi="宋体"/>
                <w:sz w:val="24"/>
              </w:rPr>
            </w:pPr>
          </w:p>
        </w:tc>
        <w:tc>
          <w:tcPr>
            <w:tcW w:w="2084" w:type="dxa"/>
          </w:tcPr>
          <w:p w14:paraId="0D4E7A25">
            <w:pPr>
              <w:snapToGrid w:val="0"/>
              <w:spacing w:line="400" w:lineRule="exact"/>
              <w:textAlignment w:val="baseline"/>
              <w:rPr>
                <w:rFonts w:hAnsi="宋体"/>
                <w:sz w:val="24"/>
              </w:rPr>
            </w:pPr>
          </w:p>
        </w:tc>
        <w:tc>
          <w:tcPr>
            <w:tcW w:w="1651" w:type="dxa"/>
          </w:tcPr>
          <w:p w14:paraId="242F267C">
            <w:pPr>
              <w:snapToGrid w:val="0"/>
              <w:spacing w:line="400" w:lineRule="exact"/>
              <w:textAlignment w:val="baseline"/>
              <w:rPr>
                <w:rFonts w:hAnsi="宋体"/>
                <w:sz w:val="24"/>
              </w:rPr>
            </w:pPr>
          </w:p>
        </w:tc>
        <w:tc>
          <w:tcPr>
            <w:tcW w:w="1651" w:type="dxa"/>
          </w:tcPr>
          <w:p w14:paraId="7B50B287">
            <w:pPr>
              <w:snapToGrid w:val="0"/>
              <w:spacing w:line="400" w:lineRule="exact"/>
              <w:textAlignment w:val="baseline"/>
              <w:rPr>
                <w:rFonts w:hAnsi="宋体"/>
                <w:sz w:val="24"/>
              </w:rPr>
            </w:pPr>
          </w:p>
        </w:tc>
        <w:tc>
          <w:tcPr>
            <w:tcW w:w="1332" w:type="dxa"/>
          </w:tcPr>
          <w:p w14:paraId="1109D00E">
            <w:pPr>
              <w:snapToGrid w:val="0"/>
              <w:spacing w:line="400" w:lineRule="exact"/>
              <w:textAlignment w:val="baseline"/>
              <w:rPr>
                <w:rFonts w:hAnsi="宋体"/>
                <w:sz w:val="24"/>
              </w:rPr>
            </w:pPr>
          </w:p>
        </w:tc>
        <w:tc>
          <w:tcPr>
            <w:tcW w:w="1288" w:type="dxa"/>
          </w:tcPr>
          <w:p w14:paraId="3F6C7E9C">
            <w:pPr>
              <w:snapToGrid w:val="0"/>
              <w:spacing w:line="400" w:lineRule="exact"/>
              <w:textAlignment w:val="baseline"/>
              <w:rPr>
                <w:rFonts w:hAnsi="宋体"/>
                <w:sz w:val="24"/>
              </w:rPr>
            </w:pPr>
          </w:p>
        </w:tc>
      </w:tr>
      <w:tr w14:paraId="56BB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903" w:type="dxa"/>
          </w:tcPr>
          <w:p w14:paraId="554409A6">
            <w:pPr>
              <w:snapToGrid w:val="0"/>
              <w:spacing w:line="400" w:lineRule="exact"/>
              <w:textAlignment w:val="baseline"/>
              <w:rPr>
                <w:rFonts w:hAnsi="宋体"/>
                <w:sz w:val="24"/>
              </w:rPr>
            </w:pPr>
          </w:p>
        </w:tc>
        <w:tc>
          <w:tcPr>
            <w:tcW w:w="2084" w:type="dxa"/>
          </w:tcPr>
          <w:p w14:paraId="7D8D1E38">
            <w:pPr>
              <w:snapToGrid w:val="0"/>
              <w:spacing w:line="400" w:lineRule="exact"/>
              <w:textAlignment w:val="baseline"/>
              <w:rPr>
                <w:rFonts w:hAnsi="宋体"/>
                <w:sz w:val="24"/>
              </w:rPr>
            </w:pPr>
          </w:p>
        </w:tc>
        <w:tc>
          <w:tcPr>
            <w:tcW w:w="1651" w:type="dxa"/>
          </w:tcPr>
          <w:p w14:paraId="36930E53">
            <w:pPr>
              <w:snapToGrid w:val="0"/>
              <w:spacing w:line="400" w:lineRule="exact"/>
              <w:textAlignment w:val="baseline"/>
              <w:rPr>
                <w:rFonts w:hAnsi="宋体"/>
                <w:sz w:val="24"/>
              </w:rPr>
            </w:pPr>
          </w:p>
        </w:tc>
        <w:tc>
          <w:tcPr>
            <w:tcW w:w="1651" w:type="dxa"/>
          </w:tcPr>
          <w:p w14:paraId="06FEF1D0">
            <w:pPr>
              <w:snapToGrid w:val="0"/>
              <w:spacing w:line="400" w:lineRule="exact"/>
              <w:textAlignment w:val="baseline"/>
              <w:rPr>
                <w:rFonts w:hAnsi="宋体"/>
                <w:sz w:val="24"/>
              </w:rPr>
            </w:pPr>
          </w:p>
        </w:tc>
        <w:tc>
          <w:tcPr>
            <w:tcW w:w="1332" w:type="dxa"/>
          </w:tcPr>
          <w:p w14:paraId="0A16FF77">
            <w:pPr>
              <w:snapToGrid w:val="0"/>
              <w:spacing w:line="400" w:lineRule="exact"/>
              <w:textAlignment w:val="baseline"/>
              <w:rPr>
                <w:rFonts w:hAnsi="宋体"/>
                <w:sz w:val="24"/>
              </w:rPr>
            </w:pPr>
          </w:p>
        </w:tc>
        <w:tc>
          <w:tcPr>
            <w:tcW w:w="1288" w:type="dxa"/>
          </w:tcPr>
          <w:p w14:paraId="07730857">
            <w:pPr>
              <w:snapToGrid w:val="0"/>
              <w:spacing w:line="400" w:lineRule="exact"/>
              <w:textAlignment w:val="baseline"/>
              <w:rPr>
                <w:rFonts w:hAnsi="宋体"/>
                <w:sz w:val="24"/>
              </w:rPr>
            </w:pPr>
          </w:p>
        </w:tc>
      </w:tr>
      <w:tr w14:paraId="666E7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903" w:type="dxa"/>
          </w:tcPr>
          <w:p w14:paraId="3B5BE62E">
            <w:pPr>
              <w:snapToGrid w:val="0"/>
              <w:spacing w:line="400" w:lineRule="exact"/>
              <w:textAlignment w:val="baseline"/>
              <w:rPr>
                <w:rFonts w:hAnsi="宋体"/>
                <w:sz w:val="24"/>
              </w:rPr>
            </w:pPr>
          </w:p>
        </w:tc>
        <w:tc>
          <w:tcPr>
            <w:tcW w:w="2084" w:type="dxa"/>
          </w:tcPr>
          <w:p w14:paraId="144076BE">
            <w:pPr>
              <w:snapToGrid w:val="0"/>
              <w:spacing w:line="400" w:lineRule="exact"/>
              <w:textAlignment w:val="baseline"/>
              <w:rPr>
                <w:rFonts w:hAnsi="宋体"/>
                <w:sz w:val="24"/>
              </w:rPr>
            </w:pPr>
          </w:p>
        </w:tc>
        <w:tc>
          <w:tcPr>
            <w:tcW w:w="1651" w:type="dxa"/>
          </w:tcPr>
          <w:p w14:paraId="33B6ED7E">
            <w:pPr>
              <w:snapToGrid w:val="0"/>
              <w:spacing w:line="400" w:lineRule="exact"/>
              <w:textAlignment w:val="baseline"/>
              <w:rPr>
                <w:rFonts w:hAnsi="宋体"/>
                <w:sz w:val="24"/>
              </w:rPr>
            </w:pPr>
          </w:p>
        </w:tc>
        <w:tc>
          <w:tcPr>
            <w:tcW w:w="1651" w:type="dxa"/>
          </w:tcPr>
          <w:p w14:paraId="57265CBD">
            <w:pPr>
              <w:snapToGrid w:val="0"/>
              <w:spacing w:line="400" w:lineRule="exact"/>
              <w:textAlignment w:val="baseline"/>
              <w:rPr>
                <w:rFonts w:hAnsi="宋体"/>
                <w:sz w:val="24"/>
              </w:rPr>
            </w:pPr>
          </w:p>
        </w:tc>
        <w:tc>
          <w:tcPr>
            <w:tcW w:w="1332" w:type="dxa"/>
          </w:tcPr>
          <w:p w14:paraId="7E47DE68">
            <w:pPr>
              <w:snapToGrid w:val="0"/>
              <w:spacing w:line="400" w:lineRule="exact"/>
              <w:textAlignment w:val="baseline"/>
              <w:rPr>
                <w:rFonts w:hAnsi="宋体"/>
                <w:sz w:val="24"/>
              </w:rPr>
            </w:pPr>
          </w:p>
        </w:tc>
        <w:tc>
          <w:tcPr>
            <w:tcW w:w="1288" w:type="dxa"/>
          </w:tcPr>
          <w:p w14:paraId="1D3DACF3">
            <w:pPr>
              <w:snapToGrid w:val="0"/>
              <w:spacing w:line="400" w:lineRule="exact"/>
              <w:textAlignment w:val="baseline"/>
              <w:rPr>
                <w:rFonts w:hAnsi="宋体"/>
                <w:sz w:val="24"/>
              </w:rPr>
            </w:pPr>
          </w:p>
        </w:tc>
      </w:tr>
    </w:tbl>
    <w:p w14:paraId="32F4313A">
      <w:pPr>
        <w:snapToGrid w:val="0"/>
        <w:spacing w:line="400" w:lineRule="exact"/>
        <w:textAlignment w:val="baseline"/>
        <w:rPr>
          <w:rFonts w:hAnsi="宋体"/>
          <w:sz w:val="24"/>
        </w:rPr>
      </w:pPr>
      <w:r>
        <w:rPr>
          <w:rFonts w:hint="eastAsia" w:hAnsi="宋体"/>
          <w:sz w:val="24"/>
        </w:rPr>
        <w:t>要求：无论有无偏离，响应供应商均应按照招标文件中采购人所提出的技术要求填写此表。如无偏离，则应写“无偏离”；如有偏离，则应对偏离的情况详细填写。否则，作无效响应处理。</w:t>
      </w:r>
    </w:p>
    <w:p w14:paraId="313FCE7E">
      <w:pPr>
        <w:snapToGrid w:val="0"/>
        <w:spacing w:line="400" w:lineRule="exact"/>
        <w:textAlignment w:val="baseline"/>
        <w:rPr>
          <w:rFonts w:hAnsi="宋体"/>
          <w:sz w:val="24"/>
        </w:rPr>
      </w:pPr>
    </w:p>
    <w:p w14:paraId="47632586">
      <w:pPr>
        <w:snapToGrid w:val="0"/>
        <w:spacing w:line="400" w:lineRule="exact"/>
        <w:textAlignment w:val="baseline"/>
        <w:rPr>
          <w:rFonts w:hAnsi="宋体"/>
          <w:sz w:val="24"/>
        </w:rPr>
      </w:pPr>
      <w:bookmarkStart w:id="173" w:name="_Toc450122264"/>
      <w:bookmarkStart w:id="174" w:name="_Toc22018"/>
      <w:bookmarkStart w:id="175" w:name="_Toc447031343"/>
      <w:r>
        <w:rPr>
          <w:rFonts w:hint="eastAsia" w:hAnsi="宋体"/>
          <w:sz w:val="24"/>
        </w:rPr>
        <w:t>投标人（公章）：</w:t>
      </w:r>
    </w:p>
    <w:p w14:paraId="6EDBD338">
      <w:pPr>
        <w:snapToGrid w:val="0"/>
        <w:spacing w:line="400" w:lineRule="exact"/>
        <w:textAlignment w:val="baseline"/>
        <w:rPr>
          <w:rFonts w:hAnsi="宋体"/>
          <w:sz w:val="24"/>
        </w:rPr>
      </w:pPr>
    </w:p>
    <w:p w14:paraId="6A6B59BD">
      <w:pPr>
        <w:snapToGrid w:val="0"/>
        <w:spacing w:line="400" w:lineRule="exact"/>
        <w:textAlignment w:val="baseline"/>
        <w:rPr>
          <w:rFonts w:hAnsi="宋体"/>
          <w:sz w:val="24"/>
        </w:rPr>
      </w:pPr>
      <w:r>
        <w:rPr>
          <w:rFonts w:hint="eastAsia" w:hAnsi="宋体"/>
          <w:sz w:val="24"/>
        </w:rPr>
        <w:t>法定代表人或其委托代理人（盖章或签字）：</w:t>
      </w:r>
    </w:p>
    <w:p w14:paraId="26508F2F">
      <w:pPr>
        <w:snapToGrid w:val="0"/>
        <w:spacing w:line="400" w:lineRule="exact"/>
        <w:textAlignment w:val="baseline"/>
        <w:rPr>
          <w:rFonts w:hAnsi="宋体"/>
          <w:sz w:val="24"/>
        </w:rPr>
      </w:pPr>
    </w:p>
    <w:p w14:paraId="1E4397C5">
      <w:pPr>
        <w:snapToGrid w:val="0"/>
        <w:spacing w:line="400" w:lineRule="exact"/>
        <w:textAlignment w:val="baseline"/>
        <w:rPr>
          <w:rFonts w:hAnsi="宋体"/>
          <w:sz w:val="24"/>
        </w:rPr>
      </w:pPr>
      <w:r>
        <w:rPr>
          <w:rFonts w:hint="eastAsia" w:hAnsi="宋体"/>
          <w:sz w:val="24"/>
        </w:rPr>
        <w:t>年月日</w:t>
      </w:r>
    </w:p>
    <w:p w14:paraId="6E09E88C">
      <w:pPr>
        <w:pStyle w:val="4"/>
        <w:snapToGrid w:val="0"/>
        <w:spacing w:before="0" w:after="0" w:line="460" w:lineRule="exact"/>
        <w:jc w:val="center"/>
        <w:textAlignment w:val="baseline"/>
        <w:rPr>
          <w:rFonts w:ascii="宋体" w:hAnsi="宋体" w:eastAsia="宋体"/>
          <w:sz w:val="30"/>
          <w:szCs w:val="30"/>
        </w:rPr>
      </w:pPr>
      <w:r>
        <w:rPr>
          <w:rFonts w:ascii="宋体" w:hAnsi="宋体" w:eastAsia="宋体"/>
          <w:b w:val="0"/>
          <w:bCs w:val="0"/>
          <w:kern w:val="0"/>
          <w:sz w:val="24"/>
          <w:szCs w:val="24"/>
        </w:rPr>
        <w:br w:type="page"/>
      </w:r>
    </w:p>
    <w:p w14:paraId="16F34DAE">
      <w:pPr>
        <w:snapToGrid w:val="0"/>
        <w:spacing w:line="460" w:lineRule="exact"/>
        <w:jc w:val="center"/>
        <w:textAlignment w:val="baseline"/>
        <w:rPr>
          <w:rFonts w:hAnsi="宋体"/>
          <w:sz w:val="24"/>
        </w:rPr>
      </w:pPr>
      <w:bookmarkStart w:id="176" w:name="_Toc83626638"/>
      <w:bookmarkStart w:id="177" w:name="_Toc21658"/>
      <w:bookmarkStart w:id="178" w:name="_Toc17397"/>
      <w:bookmarkStart w:id="179" w:name="_Toc83627176"/>
      <w:r>
        <w:rPr>
          <w:rFonts w:hint="eastAsia" w:hAnsi="宋体"/>
          <w:b/>
          <w:sz w:val="30"/>
          <w:szCs w:val="30"/>
          <w:lang w:val="en-US" w:eastAsia="zh-CN"/>
        </w:rPr>
        <w:t>5</w:t>
      </w:r>
      <w:r>
        <w:rPr>
          <w:rFonts w:hint="eastAsia" w:hAnsi="宋体"/>
          <w:b/>
          <w:sz w:val="30"/>
          <w:szCs w:val="30"/>
        </w:rPr>
        <w:t>.商务条款响应/偏离表</w:t>
      </w:r>
      <w:bookmarkEnd w:id="173"/>
      <w:bookmarkEnd w:id="174"/>
      <w:bookmarkEnd w:id="175"/>
      <w:bookmarkEnd w:id="176"/>
      <w:bookmarkEnd w:id="177"/>
      <w:bookmarkEnd w:id="178"/>
      <w:bookmarkEnd w:id="179"/>
    </w:p>
    <w:p w14:paraId="121ABE79">
      <w:pPr>
        <w:snapToGrid w:val="0"/>
        <w:spacing w:line="400" w:lineRule="exact"/>
        <w:textAlignment w:val="baseline"/>
        <w:rPr>
          <w:rFonts w:hAnsi="宋体"/>
          <w:sz w:val="24"/>
          <w:u w:val="single"/>
        </w:rPr>
      </w:pPr>
      <w:r>
        <w:rPr>
          <w:rFonts w:hint="eastAsia" w:hAnsi="宋体"/>
          <w:sz w:val="24"/>
        </w:rPr>
        <w:t>投标人名称：</w:t>
      </w:r>
    </w:p>
    <w:p w14:paraId="79F7AC45">
      <w:pPr>
        <w:snapToGrid w:val="0"/>
        <w:spacing w:line="400" w:lineRule="exact"/>
        <w:textAlignment w:val="baseline"/>
        <w:rPr>
          <w:rFonts w:hAnsi="宋体"/>
          <w:sz w:val="24"/>
          <w:u w:val="single"/>
        </w:rPr>
      </w:pPr>
      <w:r>
        <w:rPr>
          <w:rFonts w:hint="eastAsia" w:hAnsi="宋体"/>
          <w:sz w:val="24"/>
        </w:rPr>
        <w:t>招标编号：</w:t>
      </w:r>
    </w:p>
    <w:tbl>
      <w:tblPr>
        <w:tblStyle w:val="40"/>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19"/>
        <w:gridCol w:w="2641"/>
        <w:gridCol w:w="2018"/>
        <w:gridCol w:w="1477"/>
        <w:gridCol w:w="850"/>
      </w:tblGrid>
      <w:tr w14:paraId="636C4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851" w:type="dxa"/>
            <w:vAlign w:val="center"/>
          </w:tcPr>
          <w:p w14:paraId="16A2E473">
            <w:pPr>
              <w:snapToGrid w:val="0"/>
              <w:spacing w:line="400" w:lineRule="exact"/>
              <w:jc w:val="center"/>
              <w:textAlignment w:val="baseline"/>
              <w:rPr>
                <w:rFonts w:hAnsi="宋体"/>
                <w:sz w:val="24"/>
              </w:rPr>
            </w:pPr>
            <w:r>
              <w:rPr>
                <w:rFonts w:hint="eastAsia" w:hAnsi="宋体"/>
                <w:sz w:val="24"/>
              </w:rPr>
              <w:t>序号</w:t>
            </w:r>
          </w:p>
        </w:tc>
        <w:tc>
          <w:tcPr>
            <w:tcW w:w="1719" w:type="dxa"/>
            <w:vAlign w:val="center"/>
          </w:tcPr>
          <w:p w14:paraId="6412A66B">
            <w:pPr>
              <w:snapToGrid w:val="0"/>
              <w:spacing w:line="400" w:lineRule="exact"/>
              <w:jc w:val="center"/>
              <w:textAlignment w:val="baseline"/>
              <w:rPr>
                <w:rFonts w:hAnsi="宋体"/>
                <w:sz w:val="24"/>
              </w:rPr>
            </w:pPr>
            <w:r>
              <w:rPr>
                <w:rFonts w:hint="eastAsia" w:hAnsi="宋体"/>
                <w:sz w:val="24"/>
              </w:rPr>
              <w:t>招标文件条目号</w:t>
            </w:r>
          </w:p>
        </w:tc>
        <w:tc>
          <w:tcPr>
            <w:tcW w:w="2641" w:type="dxa"/>
            <w:vAlign w:val="center"/>
          </w:tcPr>
          <w:p w14:paraId="5EE39431">
            <w:pPr>
              <w:snapToGrid w:val="0"/>
              <w:spacing w:line="400" w:lineRule="exact"/>
              <w:jc w:val="center"/>
              <w:textAlignment w:val="baseline"/>
              <w:rPr>
                <w:rFonts w:hAnsi="宋体"/>
                <w:sz w:val="24"/>
              </w:rPr>
            </w:pPr>
            <w:r>
              <w:rPr>
                <w:rFonts w:hint="eastAsia" w:hAnsi="宋体"/>
                <w:sz w:val="24"/>
              </w:rPr>
              <w:t>招标文件的商务条款</w:t>
            </w:r>
          </w:p>
        </w:tc>
        <w:tc>
          <w:tcPr>
            <w:tcW w:w="2018" w:type="dxa"/>
            <w:vAlign w:val="center"/>
          </w:tcPr>
          <w:p w14:paraId="3878BD6A">
            <w:pPr>
              <w:snapToGrid w:val="0"/>
              <w:spacing w:line="400" w:lineRule="exact"/>
              <w:jc w:val="center"/>
              <w:textAlignment w:val="baseline"/>
              <w:rPr>
                <w:rFonts w:hAnsi="宋体"/>
                <w:sz w:val="24"/>
              </w:rPr>
            </w:pPr>
            <w:r>
              <w:rPr>
                <w:rFonts w:hint="eastAsia" w:hAnsi="宋体"/>
                <w:sz w:val="24"/>
              </w:rPr>
              <w:t>投标文件的商务条款</w:t>
            </w:r>
          </w:p>
        </w:tc>
        <w:tc>
          <w:tcPr>
            <w:tcW w:w="1477" w:type="dxa"/>
            <w:vAlign w:val="center"/>
          </w:tcPr>
          <w:p w14:paraId="39BE83B3">
            <w:pPr>
              <w:snapToGrid w:val="0"/>
              <w:spacing w:line="400" w:lineRule="exact"/>
              <w:jc w:val="center"/>
              <w:textAlignment w:val="baseline"/>
              <w:rPr>
                <w:rFonts w:hAnsi="宋体"/>
                <w:sz w:val="24"/>
              </w:rPr>
            </w:pPr>
            <w:r>
              <w:rPr>
                <w:rFonts w:hint="eastAsia" w:hAnsi="宋体"/>
                <w:sz w:val="24"/>
              </w:rPr>
              <w:t>响应/偏离</w:t>
            </w:r>
          </w:p>
        </w:tc>
        <w:tc>
          <w:tcPr>
            <w:tcW w:w="850" w:type="dxa"/>
            <w:vAlign w:val="center"/>
          </w:tcPr>
          <w:p w14:paraId="773229CE">
            <w:pPr>
              <w:snapToGrid w:val="0"/>
              <w:spacing w:line="400" w:lineRule="exact"/>
              <w:jc w:val="center"/>
              <w:textAlignment w:val="baseline"/>
              <w:rPr>
                <w:rFonts w:hAnsi="宋体"/>
                <w:sz w:val="24"/>
              </w:rPr>
            </w:pPr>
            <w:r>
              <w:rPr>
                <w:rFonts w:hint="eastAsia" w:hAnsi="宋体"/>
                <w:sz w:val="24"/>
              </w:rPr>
              <w:t>说明</w:t>
            </w:r>
          </w:p>
        </w:tc>
      </w:tr>
      <w:tr w14:paraId="2E94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51" w:type="dxa"/>
          </w:tcPr>
          <w:p w14:paraId="3675F011">
            <w:pPr>
              <w:snapToGrid w:val="0"/>
              <w:spacing w:line="400" w:lineRule="exact"/>
              <w:textAlignment w:val="baseline"/>
              <w:rPr>
                <w:rFonts w:hAnsi="宋体"/>
                <w:sz w:val="24"/>
              </w:rPr>
            </w:pPr>
          </w:p>
        </w:tc>
        <w:tc>
          <w:tcPr>
            <w:tcW w:w="1719" w:type="dxa"/>
          </w:tcPr>
          <w:p w14:paraId="532847EF">
            <w:pPr>
              <w:snapToGrid w:val="0"/>
              <w:spacing w:line="400" w:lineRule="exact"/>
              <w:textAlignment w:val="baseline"/>
              <w:rPr>
                <w:rFonts w:hAnsi="宋体"/>
                <w:sz w:val="24"/>
              </w:rPr>
            </w:pPr>
          </w:p>
        </w:tc>
        <w:tc>
          <w:tcPr>
            <w:tcW w:w="2641" w:type="dxa"/>
          </w:tcPr>
          <w:p w14:paraId="23FC9FEE">
            <w:pPr>
              <w:snapToGrid w:val="0"/>
              <w:spacing w:line="400" w:lineRule="exact"/>
              <w:textAlignment w:val="baseline"/>
              <w:rPr>
                <w:rFonts w:hAnsi="宋体"/>
                <w:sz w:val="24"/>
              </w:rPr>
            </w:pPr>
          </w:p>
        </w:tc>
        <w:tc>
          <w:tcPr>
            <w:tcW w:w="2018" w:type="dxa"/>
          </w:tcPr>
          <w:p w14:paraId="2C968FBE">
            <w:pPr>
              <w:snapToGrid w:val="0"/>
              <w:spacing w:line="400" w:lineRule="exact"/>
              <w:textAlignment w:val="baseline"/>
              <w:rPr>
                <w:rFonts w:hAnsi="宋体"/>
                <w:sz w:val="24"/>
              </w:rPr>
            </w:pPr>
          </w:p>
        </w:tc>
        <w:tc>
          <w:tcPr>
            <w:tcW w:w="1477" w:type="dxa"/>
          </w:tcPr>
          <w:p w14:paraId="66B73068">
            <w:pPr>
              <w:snapToGrid w:val="0"/>
              <w:spacing w:line="400" w:lineRule="exact"/>
              <w:textAlignment w:val="baseline"/>
              <w:rPr>
                <w:rFonts w:hAnsi="宋体"/>
                <w:sz w:val="24"/>
              </w:rPr>
            </w:pPr>
          </w:p>
        </w:tc>
        <w:tc>
          <w:tcPr>
            <w:tcW w:w="850" w:type="dxa"/>
          </w:tcPr>
          <w:p w14:paraId="1421E6BD">
            <w:pPr>
              <w:snapToGrid w:val="0"/>
              <w:spacing w:line="400" w:lineRule="exact"/>
              <w:textAlignment w:val="baseline"/>
              <w:rPr>
                <w:rFonts w:hAnsi="宋体"/>
                <w:sz w:val="24"/>
              </w:rPr>
            </w:pPr>
          </w:p>
        </w:tc>
      </w:tr>
      <w:tr w14:paraId="230A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51" w:type="dxa"/>
          </w:tcPr>
          <w:p w14:paraId="1023E0B4">
            <w:pPr>
              <w:snapToGrid w:val="0"/>
              <w:spacing w:line="400" w:lineRule="exact"/>
              <w:textAlignment w:val="baseline"/>
              <w:rPr>
                <w:rFonts w:hAnsi="宋体"/>
                <w:sz w:val="24"/>
              </w:rPr>
            </w:pPr>
          </w:p>
        </w:tc>
        <w:tc>
          <w:tcPr>
            <w:tcW w:w="1719" w:type="dxa"/>
          </w:tcPr>
          <w:p w14:paraId="1A46AC29">
            <w:pPr>
              <w:snapToGrid w:val="0"/>
              <w:spacing w:line="400" w:lineRule="exact"/>
              <w:textAlignment w:val="baseline"/>
              <w:rPr>
                <w:rFonts w:hAnsi="宋体"/>
                <w:sz w:val="24"/>
              </w:rPr>
            </w:pPr>
          </w:p>
        </w:tc>
        <w:tc>
          <w:tcPr>
            <w:tcW w:w="2641" w:type="dxa"/>
          </w:tcPr>
          <w:p w14:paraId="0485F0A1">
            <w:pPr>
              <w:snapToGrid w:val="0"/>
              <w:spacing w:line="400" w:lineRule="exact"/>
              <w:textAlignment w:val="baseline"/>
              <w:rPr>
                <w:rFonts w:hAnsi="宋体"/>
                <w:sz w:val="24"/>
              </w:rPr>
            </w:pPr>
          </w:p>
        </w:tc>
        <w:tc>
          <w:tcPr>
            <w:tcW w:w="2018" w:type="dxa"/>
          </w:tcPr>
          <w:p w14:paraId="5F8576A6">
            <w:pPr>
              <w:snapToGrid w:val="0"/>
              <w:spacing w:line="400" w:lineRule="exact"/>
              <w:textAlignment w:val="baseline"/>
              <w:rPr>
                <w:rFonts w:hAnsi="宋体"/>
                <w:sz w:val="24"/>
              </w:rPr>
            </w:pPr>
          </w:p>
        </w:tc>
        <w:tc>
          <w:tcPr>
            <w:tcW w:w="1477" w:type="dxa"/>
          </w:tcPr>
          <w:p w14:paraId="0C81A630">
            <w:pPr>
              <w:snapToGrid w:val="0"/>
              <w:spacing w:line="400" w:lineRule="exact"/>
              <w:textAlignment w:val="baseline"/>
              <w:rPr>
                <w:rFonts w:hAnsi="宋体"/>
                <w:sz w:val="24"/>
              </w:rPr>
            </w:pPr>
          </w:p>
        </w:tc>
        <w:tc>
          <w:tcPr>
            <w:tcW w:w="850" w:type="dxa"/>
          </w:tcPr>
          <w:p w14:paraId="28310836">
            <w:pPr>
              <w:snapToGrid w:val="0"/>
              <w:spacing w:line="400" w:lineRule="exact"/>
              <w:textAlignment w:val="baseline"/>
              <w:rPr>
                <w:rFonts w:hAnsi="宋体"/>
                <w:sz w:val="24"/>
              </w:rPr>
            </w:pPr>
          </w:p>
        </w:tc>
      </w:tr>
      <w:tr w14:paraId="389B0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51" w:type="dxa"/>
          </w:tcPr>
          <w:p w14:paraId="2CF9C870">
            <w:pPr>
              <w:snapToGrid w:val="0"/>
              <w:spacing w:line="400" w:lineRule="exact"/>
              <w:textAlignment w:val="baseline"/>
              <w:rPr>
                <w:rFonts w:hAnsi="宋体"/>
                <w:sz w:val="24"/>
              </w:rPr>
            </w:pPr>
          </w:p>
        </w:tc>
        <w:tc>
          <w:tcPr>
            <w:tcW w:w="1719" w:type="dxa"/>
          </w:tcPr>
          <w:p w14:paraId="15DAE34F">
            <w:pPr>
              <w:snapToGrid w:val="0"/>
              <w:spacing w:line="400" w:lineRule="exact"/>
              <w:textAlignment w:val="baseline"/>
              <w:rPr>
                <w:rFonts w:hAnsi="宋体"/>
                <w:sz w:val="24"/>
              </w:rPr>
            </w:pPr>
          </w:p>
        </w:tc>
        <w:tc>
          <w:tcPr>
            <w:tcW w:w="2641" w:type="dxa"/>
          </w:tcPr>
          <w:p w14:paraId="493A589E">
            <w:pPr>
              <w:snapToGrid w:val="0"/>
              <w:spacing w:line="400" w:lineRule="exact"/>
              <w:textAlignment w:val="baseline"/>
              <w:rPr>
                <w:rFonts w:hAnsi="宋体"/>
                <w:sz w:val="24"/>
              </w:rPr>
            </w:pPr>
          </w:p>
        </w:tc>
        <w:tc>
          <w:tcPr>
            <w:tcW w:w="2018" w:type="dxa"/>
          </w:tcPr>
          <w:p w14:paraId="01D53A61">
            <w:pPr>
              <w:snapToGrid w:val="0"/>
              <w:spacing w:line="400" w:lineRule="exact"/>
              <w:textAlignment w:val="baseline"/>
              <w:rPr>
                <w:rFonts w:hAnsi="宋体"/>
                <w:sz w:val="24"/>
              </w:rPr>
            </w:pPr>
          </w:p>
        </w:tc>
        <w:tc>
          <w:tcPr>
            <w:tcW w:w="1477" w:type="dxa"/>
          </w:tcPr>
          <w:p w14:paraId="06E63E6F">
            <w:pPr>
              <w:snapToGrid w:val="0"/>
              <w:spacing w:line="400" w:lineRule="exact"/>
              <w:textAlignment w:val="baseline"/>
              <w:rPr>
                <w:rFonts w:hAnsi="宋体"/>
                <w:sz w:val="24"/>
              </w:rPr>
            </w:pPr>
          </w:p>
        </w:tc>
        <w:tc>
          <w:tcPr>
            <w:tcW w:w="850" w:type="dxa"/>
          </w:tcPr>
          <w:p w14:paraId="44DFCF17">
            <w:pPr>
              <w:snapToGrid w:val="0"/>
              <w:spacing w:line="400" w:lineRule="exact"/>
              <w:textAlignment w:val="baseline"/>
              <w:rPr>
                <w:rFonts w:hAnsi="宋体"/>
                <w:sz w:val="24"/>
              </w:rPr>
            </w:pPr>
          </w:p>
        </w:tc>
      </w:tr>
      <w:tr w14:paraId="4C22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51" w:type="dxa"/>
          </w:tcPr>
          <w:p w14:paraId="1D67B60E">
            <w:pPr>
              <w:snapToGrid w:val="0"/>
              <w:spacing w:line="400" w:lineRule="exact"/>
              <w:textAlignment w:val="baseline"/>
              <w:rPr>
                <w:rFonts w:hAnsi="宋体"/>
                <w:sz w:val="24"/>
              </w:rPr>
            </w:pPr>
          </w:p>
        </w:tc>
        <w:tc>
          <w:tcPr>
            <w:tcW w:w="1719" w:type="dxa"/>
          </w:tcPr>
          <w:p w14:paraId="04E0A4E0">
            <w:pPr>
              <w:snapToGrid w:val="0"/>
              <w:spacing w:line="400" w:lineRule="exact"/>
              <w:textAlignment w:val="baseline"/>
              <w:rPr>
                <w:rFonts w:hAnsi="宋体"/>
                <w:sz w:val="24"/>
              </w:rPr>
            </w:pPr>
          </w:p>
        </w:tc>
        <w:tc>
          <w:tcPr>
            <w:tcW w:w="2641" w:type="dxa"/>
          </w:tcPr>
          <w:p w14:paraId="5837360F">
            <w:pPr>
              <w:snapToGrid w:val="0"/>
              <w:spacing w:line="400" w:lineRule="exact"/>
              <w:textAlignment w:val="baseline"/>
              <w:rPr>
                <w:rFonts w:hAnsi="宋体"/>
                <w:sz w:val="24"/>
              </w:rPr>
            </w:pPr>
          </w:p>
        </w:tc>
        <w:tc>
          <w:tcPr>
            <w:tcW w:w="2018" w:type="dxa"/>
          </w:tcPr>
          <w:p w14:paraId="174C3842">
            <w:pPr>
              <w:snapToGrid w:val="0"/>
              <w:spacing w:line="400" w:lineRule="exact"/>
              <w:textAlignment w:val="baseline"/>
              <w:rPr>
                <w:rFonts w:hAnsi="宋体"/>
                <w:sz w:val="24"/>
              </w:rPr>
            </w:pPr>
          </w:p>
        </w:tc>
        <w:tc>
          <w:tcPr>
            <w:tcW w:w="1477" w:type="dxa"/>
          </w:tcPr>
          <w:p w14:paraId="11395CCF">
            <w:pPr>
              <w:snapToGrid w:val="0"/>
              <w:spacing w:line="400" w:lineRule="exact"/>
              <w:textAlignment w:val="baseline"/>
              <w:rPr>
                <w:rFonts w:hAnsi="宋体"/>
                <w:sz w:val="24"/>
              </w:rPr>
            </w:pPr>
          </w:p>
        </w:tc>
        <w:tc>
          <w:tcPr>
            <w:tcW w:w="850" w:type="dxa"/>
          </w:tcPr>
          <w:p w14:paraId="57AD4A91">
            <w:pPr>
              <w:snapToGrid w:val="0"/>
              <w:spacing w:line="400" w:lineRule="exact"/>
              <w:textAlignment w:val="baseline"/>
              <w:rPr>
                <w:rFonts w:hAnsi="宋体"/>
                <w:sz w:val="24"/>
              </w:rPr>
            </w:pPr>
          </w:p>
        </w:tc>
      </w:tr>
      <w:tr w14:paraId="26B62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851" w:type="dxa"/>
          </w:tcPr>
          <w:p w14:paraId="2B31DE83">
            <w:pPr>
              <w:snapToGrid w:val="0"/>
              <w:spacing w:line="400" w:lineRule="exact"/>
              <w:textAlignment w:val="baseline"/>
              <w:rPr>
                <w:rFonts w:hAnsi="宋体"/>
                <w:sz w:val="24"/>
              </w:rPr>
            </w:pPr>
          </w:p>
        </w:tc>
        <w:tc>
          <w:tcPr>
            <w:tcW w:w="1719" w:type="dxa"/>
          </w:tcPr>
          <w:p w14:paraId="32835B1D">
            <w:pPr>
              <w:snapToGrid w:val="0"/>
              <w:spacing w:line="400" w:lineRule="exact"/>
              <w:textAlignment w:val="baseline"/>
              <w:rPr>
                <w:rFonts w:hAnsi="宋体"/>
                <w:sz w:val="24"/>
              </w:rPr>
            </w:pPr>
          </w:p>
        </w:tc>
        <w:tc>
          <w:tcPr>
            <w:tcW w:w="2641" w:type="dxa"/>
          </w:tcPr>
          <w:p w14:paraId="6B483C1B">
            <w:pPr>
              <w:snapToGrid w:val="0"/>
              <w:spacing w:line="400" w:lineRule="exact"/>
              <w:textAlignment w:val="baseline"/>
              <w:rPr>
                <w:rFonts w:hAnsi="宋体"/>
                <w:sz w:val="24"/>
              </w:rPr>
            </w:pPr>
          </w:p>
        </w:tc>
        <w:tc>
          <w:tcPr>
            <w:tcW w:w="2018" w:type="dxa"/>
          </w:tcPr>
          <w:p w14:paraId="6046EA97">
            <w:pPr>
              <w:snapToGrid w:val="0"/>
              <w:spacing w:line="400" w:lineRule="exact"/>
              <w:textAlignment w:val="baseline"/>
              <w:rPr>
                <w:rFonts w:hAnsi="宋体"/>
                <w:sz w:val="24"/>
              </w:rPr>
            </w:pPr>
          </w:p>
        </w:tc>
        <w:tc>
          <w:tcPr>
            <w:tcW w:w="1477" w:type="dxa"/>
          </w:tcPr>
          <w:p w14:paraId="5F704A49">
            <w:pPr>
              <w:snapToGrid w:val="0"/>
              <w:spacing w:line="400" w:lineRule="exact"/>
              <w:textAlignment w:val="baseline"/>
              <w:rPr>
                <w:rFonts w:hAnsi="宋体"/>
                <w:sz w:val="24"/>
              </w:rPr>
            </w:pPr>
          </w:p>
        </w:tc>
        <w:tc>
          <w:tcPr>
            <w:tcW w:w="850" w:type="dxa"/>
          </w:tcPr>
          <w:p w14:paraId="70CDC6CB">
            <w:pPr>
              <w:snapToGrid w:val="0"/>
              <w:spacing w:line="400" w:lineRule="exact"/>
              <w:textAlignment w:val="baseline"/>
              <w:rPr>
                <w:rFonts w:hAnsi="宋体"/>
                <w:sz w:val="24"/>
              </w:rPr>
            </w:pPr>
          </w:p>
        </w:tc>
      </w:tr>
      <w:tr w14:paraId="088EF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51" w:type="dxa"/>
          </w:tcPr>
          <w:p w14:paraId="3BBCFCA0">
            <w:pPr>
              <w:snapToGrid w:val="0"/>
              <w:spacing w:line="400" w:lineRule="exact"/>
              <w:textAlignment w:val="baseline"/>
              <w:rPr>
                <w:rFonts w:hAnsi="宋体"/>
                <w:sz w:val="24"/>
              </w:rPr>
            </w:pPr>
          </w:p>
        </w:tc>
        <w:tc>
          <w:tcPr>
            <w:tcW w:w="1719" w:type="dxa"/>
          </w:tcPr>
          <w:p w14:paraId="5BF0904E">
            <w:pPr>
              <w:snapToGrid w:val="0"/>
              <w:spacing w:line="400" w:lineRule="exact"/>
              <w:textAlignment w:val="baseline"/>
              <w:rPr>
                <w:rFonts w:hAnsi="宋体"/>
                <w:sz w:val="24"/>
              </w:rPr>
            </w:pPr>
          </w:p>
        </w:tc>
        <w:tc>
          <w:tcPr>
            <w:tcW w:w="2641" w:type="dxa"/>
          </w:tcPr>
          <w:p w14:paraId="3BF7E7DB">
            <w:pPr>
              <w:snapToGrid w:val="0"/>
              <w:spacing w:line="400" w:lineRule="exact"/>
              <w:textAlignment w:val="baseline"/>
              <w:rPr>
                <w:rFonts w:hAnsi="宋体"/>
                <w:sz w:val="24"/>
              </w:rPr>
            </w:pPr>
          </w:p>
        </w:tc>
        <w:tc>
          <w:tcPr>
            <w:tcW w:w="2018" w:type="dxa"/>
          </w:tcPr>
          <w:p w14:paraId="50F24C8B">
            <w:pPr>
              <w:snapToGrid w:val="0"/>
              <w:spacing w:line="400" w:lineRule="exact"/>
              <w:textAlignment w:val="baseline"/>
              <w:rPr>
                <w:rFonts w:hAnsi="宋体"/>
                <w:sz w:val="24"/>
              </w:rPr>
            </w:pPr>
          </w:p>
        </w:tc>
        <w:tc>
          <w:tcPr>
            <w:tcW w:w="1477" w:type="dxa"/>
          </w:tcPr>
          <w:p w14:paraId="38D81B43">
            <w:pPr>
              <w:snapToGrid w:val="0"/>
              <w:spacing w:line="400" w:lineRule="exact"/>
              <w:textAlignment w:val="baseline"/>
              <w:rPr>
                <w:rFonts w:hAnsi="宋体"/>
                <w:sz w:val="24"/>
              </w:rPr>
            </w:pPr>
          </w:p>
        </w:tc>
        <w:tc>
          <w:tcPr>
            <w:tcW w:w="850" w:type="dxa"/>
          </w:tcPr>
          <w:p w14:paraId="4BB349DB">
            <w:pPr>
              <w:snapToGrid w:val="0"/>
              <w:spacing w:line="400" w:lineRule="exact"/>
              <w:textAlignment w:val="baseline"/>
              <w:rPr>
                <w:rFonts w:hAnsi="宋体"/>
                <w:sz w:val="24"/>
              </w:rPr>
            </w:pPr>
          </w:p>
        </w:tc>
      </w:tr>
      <w:tr w14:paraId="63DB6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51" w:type="dxa"/>
          </w:tcPr>
          <w:p w14:paraId="0E610344">
            <w:pPr>
              <w:snapToGrid w:val="0"/>
              <w:spacing w:line="400" w:lineRule="exact"/>
              <w:textAlignment w:val="baseline"/>
              <w:rPr>
                <w:rFonts w:hAnsi="宋体"/>
                <w:sz w:val="24"/>
              </w:rPr>
            </w:pPr>
          </w:p>
        </w:tc>
        <w:tc>
          <w:tcPr>
            <w:tcW w:w="1719" w:type="dxa"/>
          </w:tcPr>
          <w:p w14:paraId="4EB65824">
            <w:pPr>
              <w:snapToGrid w:val="0"/>
              <w:spacing w:line="400" w:lineRule="exact"/>
              <w:textAlignment w:val="baseline"/>
              <w:rPr>
                <w:rFonts w:hAnsi="宋体"/>
                <w:sz w:val="24"/>
              </w:rPr>
            </w:pPr>
          </w:p>
        </w:tc>
        <w:tc>
          <w:tcPr>
            <w:tcW w:w="2641" w:type="dxa"/>
          </w:tcPr>
          <w:p w14:paraId="7597887B">
            <w:pPr>
              <w:snapToGrid w:val="0"/>
              <w:spacing w:line="400" w:lineRule="exact"/>
              <w:textAlignment w:val="baseline"/>
              <w:rPr>
                <w:rFonts w:hAnsi="宋体"/>
                <w:sz w:val="24"/>
              </w:rPr>
            </w:pPr>
          </w:p>
        </w:tc>
        <w:tc>
          <w:tcPr>
            <w:tcW w:w="2018" w:type="dxa"/>
          </w:tcPr>
          <w:p w14:paraId="22C58A46">
            <w:pPr>
              <w:snapToGrid w:val="0"/>
              <w:spacing w:line="400" w:lineRule="exact"/>
              <w:textAlignment w:val="baseline"/>
              <w:rPr>
                <w:rFonts w:hAnsi="宋体"/>
                <w:sz w:val="24"/>
              </w:rPr>
            </w:pPr>
          </w:p>
        </w:tc>
        <w:tc>
          <w:tcPr>
            <w:tcW w:w="1477" w:type="dxa"/>
          </w:tcPr>
          <w:p w14:paraId="1E43358A">
            <w:pPr>
              <w:snapToGrid w:val="0"/>
              <w:spacing w:line="400" w:lineRule="exact"/>
              <w:textAlignment w:val="baseline"/>
              <w:rPr>
                <w:rFonts w:hAnsi="宋体"/>
                <w:sz w:val="24"/>
              </w:rPr>
            </w:pPr>
          </w:p>
        </w:tc>
        <w:tc>
          <w:tcPr>
            <w:tcW w:w="850" w:type="dxa"/>
          </w:tcPr>
          <w:p w14:paraId="6FF91A73">
            <w:pPr>
              <w:snapToGrid w:val="0"/>
              <w:spacing w:line="400" w:lineRule="exact"/>
              <w:textAlignment w:val="baseline"/>
              <w:rPr>
                <w:rFonts w:hAnsi="宋体"/>
                <w:sz w:val="24"/>
              </w:rPr>
            </w:pPr>
          </w:p>
        </w:tc>
      </w:tr>
    </w:tbl>
    <w:p w14:paraId="5E130DC2">
      <w:pPr>
        <w:snapToGrid w:val="0"/>
        <w:spacing w:line="400" w:lineRule="exact"/>
        <w:textAlignment w:val="baseline"/>
        <w:rPr>
          <w:rFonts w:hAnsi="宋体"/>
          <w:sz w:val="24"/>
        </w:rPr>
      </w:pPr>
      <w:r>
        <w:rPr>
          <w:rFonts w:hint="eastAsia" w:hAnsi="宋体"/>
          <w:sz w:val="24"/>
        </w:rPr>
        <w:t>要求：无论有无偏离，响应供应商均应按照招标文件中采购人所提出的商务要求填写此表。如无偏离，则应写“无偏离”；如有偏离，则应对偏离的情况详细填写。否则，作无效响应处理。</w:t>
      </w:r>
    </w:p>
    <w:p w14:paraId="2C234E0C">
      <w:pPr>
        <w:snapToGrid w:val="0"/>
        <w:spacing w:line="400" w:lineRule="exact"/>
        <w:textAlignment w:val="baseline"/>
        <w:rPr>
          <w:rFonts w:hAnsi="宋体"/>
          <w:sz w:val="24"/>
        </w:rPr>
      </w:pPr>
    </w:p>
    <w:p w14:paraId="74A9DC77">
      <w:pPr>
        <w:snapToGrid w:val="0"/>
        <w:spacing w:line="400" w:lineRule="exact"/>
        <w:textAlignment w:val="baseline"/>
        <w:rPr>
          <w:rFonts w:hAnsi="宋体"/>
          <w:sz w:val="24"/>
        </w:rPr>
      </w:pPr>
      <w:r>
        <w:rPr>
          <w:rFonts w:hint="eastAsia" w:hAnsi="宋体"/>
          <w:sz w:val="24"/>
        </w:rPr>
        <w:t>投标人（公章）：</w:t>
      </w:r>
    </w:p>
    <w:p w14:paraId="3C02B340">
      <w:pPr>
        <w:snapToGrid w:val="0"/>
        <w:spacing w:line="400" w:lineRule="exact"/>
        <w:textAlignment w:val="baseline"/>
        <w:rPr>
          <w:rFonts w:hAnsi="宋体"/>
          <w:sz w:val="24"/>
        </w:rPr>
      </w:pPr>
    </w:p>
    <w:p w14:paraId="6A7EA291">
      <w:pPr>
        <w:snapToGrid w:val="0"/>
        <w:spacing w:line="400" w:lineRule="exact"/>
        <w:textAlignment w:val="baseline"/>
        <w:rPr>
          <w:rFonts w:hAnsi="宋体"/>
          <w:sz w:val="24"/>
        </w:rPr>
      </w:pPr>
      <w:r>
        <w:rPr>
          <w:rFonts w:hint="eastAsia" w:hAnsi="宋体"/>
          <w:sz w:val="24"/>
        </w:rPr>
        <w:t>法定代表人或其委托代理人（盖章或签字）：</w:t>
      </w:r>
    </w:p>
    <w:p w14:paraId="38E74DC9">
      <w:pPr>
        <w:snapToGrid w:val="0"/>
        <w:spacing w:line="400" w:lineRule="exact"/>
        <w:textAlignment w:val="baseline"/>
        <w:rPr>
          <w:rFonts w:hAnsi="宋体"/>
          <w:sz w:val="24"/>
        </w:rPr>
      </w:pPr>
    </w:p>
    <w:p w14:paraId="1ECE703A">
      <w:pPr>
        <w:snapToGrid w:val="0"/>
        <w:spacing w:line="400" w:lineRule="exact"/>
        <w:textAlignment w:val="baseline"/>
        <w:rPr>
          <w:rFonts w:hAnsi="宋体"/>
          <w:sz w:val="24"/>
        </w:rPr>
      </w:pPr>
      <w:r>
        <w:rPr>
          <w:rFonts w:hint="eastAsia" w:hAnsi="宋体"/>
          <w:sz w:val="24"/>
        </w:rPr>
        <w:t>年月日</w:t>
      </w:r>
    </w:p>
    <w:p w14:paraId="49790074">
      <w:pPr>
        <w:pStyle w:val="4"/>
        <w:snapToGrid w:val="0"/>
        <w:spacing w:before="0" w:after="0" w:line="460" w:lineRule="exact"/>
        <w:textAlignment w:val="baseline"/>
        <w:rPr>
          <w:rFonts w:ascii="宋体" w:hAnsi="宋体" w:eastAsia="宋体"/>
          <w:sz w:val="30"/>
        </w:rPr>
      </w:pPr>
      <w:r>
        <w:rPr>
          <w:rFonts w:ascii="宋体" w:hAnsi="宋体" w:eastAsia="宋体"/>
        </w:rPr>
        <w:br w:type="page"/>
      </w:r>
      <w:bookmarkStart w:id="180" w:name="_Toc329789741"/>
    </w:p>
    <w:bookmarkEnd w:id="180"/>
    <w:p w14:paraId="618523C5">
      <w:pPr>
        <w:snapToGrid w:val="0"/>
        <w:spacing w:line="580" w:lineRule="exact"/>
        <w:ind w:right="520" w:firstLine="5200" w:firstLineChars="2000"/>
        <w:textAlignment w:val="baseline"/>
        <w:rPr>
          <w:rFonts w:hAnsi="宋体" w:cs="仿宋"/>
          <w:sz w:val="26"/>
          <w:szCs w:val="24"/>
        </w:rPr>
      </w:pPr>
      <w:r>
        <w:rPr>
          <w:rFonts w:hAnsi="宋体" w:cs="仿宋"/>
          <w:sz w:val="26"/>
          <w:szCs w:val="24"/>
        </w:rPr>
        <w:cr/>
      </w:r>
    </w:p>
    <w:p w14:paraId="0C4E43CF">
      <w:pPr>
        <w:snapToGrid w:val="0"/>
        <w:textAlignment w:val="baseline"/>
        <w:rPr>
          <w:rFonts w:hAnsi="宋体"/>
          <w:sz w:val="20"/>
        </w:rPr>
      </w:pPr>
    </w:p>
    <w:p w14:paraId="3BF0C720">
      <w:pPr>
        <w:pStyle w:val="4"/>
        <w:snapToGrid w:val="0"/>
        <w:spacing w:before="0" w:after="0" w:line="460" w:lineRule="exact"/>
        <w:jc w:val="center"/>
        <w:textAlignment w:val="baseline"/>
        <w:rPr>
          <w:rFonts w:ascii="宋体" w:hAnsi="宋体" w:eastAsia="宋体"/>
          <w:sz w:val="30"/>
          <w:szCs w:val="30"/>
        </w:rPr>
      </w:pPr>
      <w:bookmarkStart w:id="181" w:name="_Toc447031346"/>
      <w:bookmarkStart w:id="182" w:name="_Toc450122267"/>
      <w:bookmarkStart w:id="183" w:name="_Toc18062"/>
      <w:bookmarkStart w:id="184" w:name="_Toc83627179"/>
      <w:bookmarkStart w:id="185" w:name="_Toc19398"/>
      <w:bookmarkStart w:id="186" w:name="_Toc83626641"/>
      <w:bookmarkStart w:id="187" w:name="_Toc12015"/>
    </w:p>
    <w:p w14:paraId="0B0B31D1">
      <w:pPr>
        <w:pStyle w:val="4"/>
        <w:snapToGrid w:val="0"/>
        <w:spacing w:before="0" w:after="0" w:line="460" w:lineRule="exact"/>
        <w:jc w:val="center"/>
        <w:textAlignment w:val="baseline"/>
        <w:rPr>
          <w:rFonts w:ascii="宋体" w:hAnsi="宋体" w:eastAsia="宋体"/>
          <w:sz w:val="30"/>
          <w:szCs w:val="30"/>
        </w:rPr>
      </w:pPr>
      <w:r>
        <w:rPr>
          <w:rFonts w:hint="eastAsia" w:ascii="宋体" w:hAnsi="宋体" w:eastAsia="宋体"/>
          <w:sz w:val="30"/>
          <w:szCs w:val="30"/>
          <w:lang w:val="en-US" w:eastAsia="zh-CN"/>
        </w:rPr>
        <w:t>6</w:t>
      </w:r>
      <w:r>
        <w:rPr>
          <w:rFonts w:ascii="宋体" w:hAnsi="宋体" w:eastAsia="宋体"/>
          <w:sz w:val="30"/>
          <w:szCs w:val="30"/>
        </w:rPr>
        <w:t>.</w:t>
      </w:r>
      <w:r>
        <w:rPr>
          <w:rFonts w:hint="eastAsia" w:ascii="宋体" w:hAnsi="宋体" w:eastAsia="宋体"/>
          <w:sz w:val="30"/>
          <w:szCs w:val="30"/>
        </w:rPr>
        <w:t>技术文件</w:t>
      </w:r>
      <w:bookmarkEnd w:id="181"/>
      <w:bookmarkEnd w:id="182"/>
      <w:bookmarkEnd w:id="183"/>
      <w:r>
        <w:rPr>
          <w:rFonts w:hint="eastAsia" w:ascii="宋体" w:hAnsi="宋体" w:eastAsia="宋体"/>
          <w:sz w:val="30"/>
          <w:szCs w:val="30"/>
        </w:rPr>
        <w:t>（如有）</w:t>
      </w:r>
      <w:bookmarkEnd w:id="184"/>
      <w:bookmarkEnd w:id="185"/>
      <w:bookmarkEnd w:id="186"/>
      <w:bookmarkEnd w:id="187"/>
    </w:p>
    <w:p w14:paraId="3353E41B">
      <w:pPr>
        <w:snapToGrid w:val="0"/>
        <w:textAlignment w:val="baseline"/>
        <w:rPr>
          <w:rFonts w:hAnsi="宋体"/>
          <w:sz w:val="20"/>
        </w:rPr>
      </w:pPr>
    </w:p>
    <w:p w14:paraId="55DC66D3">
      <w:pPr>
        <w:snapToGrid w:val="0"/>
        <w:spacing w:line="432" w:lineRule="auto"/>
        <w:textAlignment w:val="baseline"/>
        <w:rPr>
          <w:rFonts w:hAnsi="宋体"/>
          <w:sz w:val="24"/>
        </w:rPr>
      </w:pPr>
      <w:r>
        <w:rPr>
          <w:rFonts w:hint="eastAsia" w:hAnsi="宋体"/>
          <w:sz w:val="24"/>
        </w:rPr>
        <w:t>内容包括：</w:t>
      </w:r>
    </w:p>
    <w:p w14:paraId="4D1B4D55">
      <w:pPr>
        <w:snapToGrid w:val="0"/>
        <w:spacing w:line="432" w:lineRule="auto"/>
        <w:textAlignment w:val="baseline"/>
        <w:rPr>
          <w:rFonts w:hAnsi="宋体"/>
          <w:sz w:val="24"/>
        </w:rPr>
      </w:pPr>
      <w:r>
        <w:rPr>
          <w:rFonts w:hint="eastAsia" w:hAnsi="宋体"/>
          <w:sz w:val="24"/>
        </w:rPr>
        <w:t>1、服务内容的详细说明</w:t>
      </w:r>
    </w:p>
    <w:p w14:paraId="055A65D7">
      <w:pPr>
        <w:pStyle w:val="13"/>
        <w:snapToGrid w:val="0"/>
        <w:textAlignment w:val="baseline"/>
        <w:rPr>
          <w:rFonts w:hAnsi="宋体"/>
          <w:sz w:val="24"/>
        </w:rPr>
      </w:pPr>
      <w:r>
        <w:rPr>
          <w:rFonts w:hint="eastAsia" w:hAnsi="宋体"/>
          <w:sz w:val="24"/>
        </w:rPr>
        <w:t>2、投标人认为需要说明的其他内容（投标人视需要自行编写）</w:t>
      </w:r>
    </w:p>
    <w:p w14:paraId="31803592">
      <w:pPr>
        <w:snapToGrid w:val="0"/>
        <w:textAlignment w:val="baseline"/>
        <w:rPr>
          <w:rFonts w:hAnsi="宋体"/>
          <w:sz w:val="20"/>
        </w:rPr>
      </w:pPr>
    </w:p>
    <w:p w14:paraId="41CC2ED0">
      <w:pPr>
        <w:snapToGrid w:val="0"/>
        <w:textAlignment w:val="baseline"/>
        <w:rPr>
          <w:rFonts w:hAnsi="宋体"/>
          <w:sz w:val="20"/>
        </w:rPr>
      </w:pPr>
    </w:p>
    <w:p w14:paraId="3E666E69">
      <w:pPr>
        <w:snapToGrid w:val="0"/>
        <w:textAlignment w:val="baseline"/>
        <w:rPr>
          <w:rFonts w:hAnsi="宋体"/>
          <w:sz w:val="20"/>
        </w:rPr>
      </w:pPr>
    </w:p>
    <w:p w14:paraId="4D9308C3">
      <w:pPr>
        <w:snapToGrid w:val="0"/>
        <w:textAlignment w:val="baseline"/>
        <w:rPr>
          <w:rFonts w:hAnsi="宋体"/>
          <w:sz w:val="20"/>
        </w:rPr>
      </w:pPr>
    </w:p>
    <w:p w14:paraId="385D0331">
      <w:pPr>
        <w:snapToGrid w:val="0"/>
        <w:textAlignment w:val="baseline"/>
        <w:rPr>
          <w:rFonts w:hAnsi="宋体"/>
          <w:sz w:val="20"/>
        </w:rPr>
      </w:pPr>
    </w:p>
    <w:p w14:paraId="1E30A19B">
      <w:pPr>
        <w:snapToGrid w:val="0"/>
        <w:textAlignment w:val="baseline"/>
        <w:rPr>
          <w:rFonts w:hAnsi="宋体"/>
          <w:sz w:val="20"/>
        </w:rPr>
      </w:pPr>
    </w:p>
    <w:p w14:paraId="0507CEF5">
      <w:pPr>
        <w:snapToGrid w:val="0"/>
        <w:textAlignment w:val="baseline"/>
        <w:rPr>
          <w:rFonts w:hAnsi="宋体"/>
          <w:sz w:val="20"/>
        </w:rPr>
      </w:pPr>
    </w:p>
    <w:p w14:paraId="71B13F40">
      <w:pPr>
        <w:snapToGrid w:val="0"/>
        <w:textAlignment w:val="baseline"/>
        <w:rPr>
          <w:rFonts w:hAnsi="宋体"/>
          <w:sz w:val="20"/>
        </w:rPr>
      </w:pPr>
    </w:p>
    <w:p w14:paraId="6B20A5BC">
      <w:pPr>
        <w:snapToGrid w:val="0"/>
        <w:textAlignment w:val="baseline"/>
        <w:rPr>
          <w:rFonts w:hAnsi="宋体"/>
          <w:sz w:val="20"/>
        </w:rPr>
      </w:pPr>
    </w:p>
    <w:p w14:paraId="4973EFD4">
      <w:pPr>
        <w:snapToGrid w:val="0"/>
        <w:textAlignment w:val="baseline"/>
        <w:rPr>
          <w:rFonts w:hAnsi="宋体"/>
          <w:sz w:val="20"/>
        </w:rPr>
      </w:pPr>
    </w:p>
    <w:p w14:paraId="08AA6541">
      <w:pPr>
        <w:snapToGrid w:val="0"/>
        <w:textAlignment w:val="baseline"/>
        <w:rPr>
          <w:rFonts w:hAnsi="宋体"/>
          <w:sz w:val="20"/>
        </w:rPr>
      </w:pPr>
    </w:p>
    <w:p w14:paraId="01D18CDA">
      <w:pPr>
        <w:snapToGrid w:val="0"/>
        <w:textAlignment w:val="baseline"/>
        <w:rPr>
          <w:rFonts w:hAnsi="宋体"/>
          <w:sz w:val="20"/>
        </w:rPr>
      </w:pPr>
    </w:p>
    <w:p w14:paraId="50E7B26B">
      <w:pPr>
        <w:snapToGrid w:val="0"/>
        <w:textAlignment w:val="baseline"/>
        <w:rPr>
          <w:rFonts w:hAnsi="宋体"/>
          <w:sz w:val="20"/>
        </w:rPr>
      </w:pPr>
    </w:p>
    <w:p w14:paraId="4411FB1C">
      <w:pPr>
        <w:snapToGrid w:val="0"/>
        <w:textAlignment w:val="baseline"/>
        <w:rPr>
          <w:rFonts w:hAnsi="宋体"/>
          <w:sz w:val="20"/>
        </w:rPr>
      </w:pPr>
    </w:p>
    <w:p w14:paraId="43C1521D">
      <w:pPr>
        <w:snapToGrid w:val="0"/>
        <w:textAlignment w:val="baseline"/>
        <w:rPr>
          <w:rFonts w:hAnsi="宋体"/>
          <w:sz w:val="20"/>
        </w:rPr>
      </w:pPr>
    </w:p>
    <w:p w14:paraId="3F391385">
      <w:pPr>
        <w:snapToGrid w:val="0"/>
        <w:textAlignment w:val="baseline"/>
        <w:rPr>
          <w:rFonts w:hAnsi="宋体"/>
          <w:sz w:val="20"/>
        </w:rPr>
      </w:pPr>
    </w:p>
    <w:p w14:paraId="765EBB5D">
      <w:pPr>
        <w:pStyle w:val="4"/>
        <w:snapToGrid w:val="0"/>
        <w:spacing w:before="0" w:after="0" w:line="460" w:lineRule="exact"/>
        <w:jc w:val="center"/>
        <w:textAlignment w:val="baseline"/>
        <w:rPr>
          <w:rFonts w:ascii="宋体" w:hAnsi="宋体" w:eastAsia="宋体"/>
          <w:sz w:val="30"/>
          <w:szCs w:val="30"/>
        </w:rPr>
      </w:pPr>
      <w:r>
        <w:rPr>
          <w:rFonts w:ascii="宋体" w:hAnsi="宋体" w:eastAsia="宋体"/>
          <w:sz w:val="30"/>
          <w:szCs w:val="30"/>
        </w:rPr>
        <w:br w:type="page"/>
      </w:r>
    </w:p>
    <w:p w14:paraId="2865B71E">
      <w:pPr>
        <w:snapToGrid w:val="0"/>
        <w:spacing w:line="460" w:lineRule="exact"/>
        <w:jc w:val="center"/>
        <w:textAlignment w:val="baseline"/>
        <w:rPr>
          <w:rFonts w:hAnsi="宋体"/>
          <w:b/>
          <w:sz w:val="30"/>
          <w:szCs w:val="30"/>
        </w:rPr>
      </w:pPr>
      <w:bookmarkStart w:id="188" w:name="_Toc450122268"/>
      <w:bookmarkStart w:id="189" w:name="_Toc29198"/>
      <w:bookmarkStart w:id="190" w:name="_Toc27674"/>
      <w:bookmarkStart w:id="191" w:name="_Toc83627180"/>
      <w:bookmarkStart w:id="192" w:name="_Toc447031347"/>
      <w:bookmarkStart w:id="193" w:name="_Toc83626642"/>
      <w:bookmarkStart w:id="194" w:name="_Toc4625"/>
    </w:p>
    <w:p w14:paraId="2A5B7593">
      <w:pPr>
        <w:snapToGrid w:val="0"/>
        <w:spacing w:line="460" w:lineRule="exact"/>
        <w:jc w:val="center"/>
        <w:textAlignment w:val="baseline"/>
        <w:rPr>
          <w:rFonts w:hAnsi="宋体"/>
          <w:b/>
          <w:sz w:val="30"/>
        </w:rPr>
      </w:pPr>
      <w:r>
        <w:rPr>
          <w:rFonts w:hint="eastAsia" w:hAnsi="宋体"/>
          <w:b/>
          <w:sz w:val="30"/>
          <w:szCs w:val="30"/>
          <w:lang w:val="en-US" w:eastAsia="zh-CN"/>
        </w:rPr>
        <w:t>7</w:t>
      </w:r>
      <w:r>
        <w:rPr>
          <w:rFonts w:hint="eastAsia" w:hAnsi="宋体"/>
          <w:b/>
          <w:sz w:val="30"/>
          <w:szCs w:val="30"/>
        </w:rPr>
        <w:t>．资格证明文件</w:t>
      </w:r>
      <w:bookmarkEnd w:id="188"/>
      <w:bookmarkEnd w:id="189"/>
      <w:bookmarkEnd w:id="190"/>
      <w:bookmarkEnd w:id="191"/>
      <w:bookmarkEnd w:id="192"/>
      <w:bookmarkEnd w:id="193"/>
      <w:bookmarkEnd w:id="194"/>
    </w:p>
    <w:p w14:paraId="05D02FB0">
      <w:pPr>
        <w:snapToGrid w:val="0"/>
        <w:spacing w:line="400" w:lineRule="exact"/>
        <w:ind w:firstLine="720" w:firstLineChars="300"/>
        <w:textAlignment w:val="baseline"/>
        <w:rPr>
          <w:rFonts w:hAnsi="宋体" w:cs="宋体"/>
          <w:bCs/>
          <w:sz w:val="24"/>
          <w:szCs w:val="24"/>
          <w:highlight w:val="none"/>
        </w:rPr>
      </w:pPr>
      <w:r>
        <w:rPr>
          <w:rFonts w:hint="eastAsia" w:hAnsi="宋体" w:cs="宋体"/>
          <w:bCs/>
          <w:sz w:val="24"/>
          <w:szCs w:val="24"/>
          <w:highlight w:val="none"/>
          <w:lang w:val="en-US" w:eastAsia="zh-CN"/>
        </w:rPr>
        <w:t>7.1</w:t>
      </w:r>
      <w:r>
        <w:rPr>
          <w:rFonts w:hint="eastAsia" w:hAnsi="宋体" w:cs="宋体"/>
          <w:bCs/>
          <w:sz w:val="24"/>
          <w:szCs w:val="24"/>
          <w:highlight w:val="none"/>
        </w:rPr>
        <w:t>填写须知</w:t>
      </w:r>
    </w:p>
    <w:p w14:paraId="17323441">
      <w:pPr>
        <w:snapToGrid w:val="0"/>
        <w:spacing w:line="400" w:lineRule="exact"/>
        <w:ind w:firstLine="720" w:firstLineChars="300"/>
        <w:textAlignment w:val="baseline"/>
        <w:rPr>
          <w:rFonts w:hAnsi="宋体" w:cs="宋体"/>
          <w:bCs/>
          <w:sz w:val="24"/>
          <w:szCs w:val="24"/>
          <w:highlight w:val="none"/>
        </w:rPr>
      </w:pPr>
      <w:r>
        <w:rPr>
          <w:rFonts w:hint="eastAsia" w:hAnsi="宋体" w:cs="宋体"/>
          <w:bCs/>
          <w:sz w:val="24"/>
          <w:szCs w:val="24"/>
          <w:highlight w:val="none"/>
        </w:rPr>
        <w:t>（1）投标人应填写和提交招标文件规定的资格证明文件。复印件均须加盖投标人公章。</w:t>
      </w:r>
    </w:p>
    <w:p w14:paraId="1D282580">
      <w:pPr>
        <w:snapToGrid w:val="0"/>
        <w:spacing w:line="400" w:lineRule="exact"/>
        <w:ind w:firstLine="720" w:firstLineChars="300"/>
        <w:textAlignment w:val="baseline"/>
        <w:rPr>
          <w:rFonts w:hAnsi="宋体" w:cs="宋体"/>
          <w:bCs/>
          <w:sz w:val="24"/>
          <w:szCs w:val="24"/>
          <w:highlight w:val="none"/>
        </w:rPr>
      </w:pPr>
      <w:r>
        <w:rPr>
          <w:rFonts w:hint="eastAsia" w:hAnsi="宋体" w:cs="宋体"/>
          <w:bCs/>
          <w:sz w:val="24"/>
          <w:szCs w:val="24"/>
          <w:highlight w:val="none"/>
        </w:rPr>
        <w:t>（2）所附格式中要求填写的全部内容都必须如实填写。</w:t>
      </w:r>
    </w:p>
    <w:p w14:paraId="5F37D47D">
      <w:pPr>
        <w:snapToGrid w:val="0"/>
        <w:spacing w:line="400" w:lineRule="exact"/>
        <w:ind w:firstLine="720" w:firstLineChars="300"/>
        <w:textAlignment w:val="baseline"/>
        <w:rPr>
          <w:rFonts w:hAnsi="宋体" w:cs="宋体"/>
          <w:bCs/>
          <w:sz w:val="24"/>
          <w:szCs w:val="24"/>
          <w:highlight w:val="none"/>
        </w:rPr>
      </w:pPr>
      <w:r>
        <w:rPr>
          <w:rFonts w:hint="eastAsia" w:hAnsi="宋体" w:cs="宋体"/>
          <w:bCs/>
          <w:sz w:val="24"/>
          <w:szCs w:val="24"/>
          <w:highlight w:val="none"/>
        </w:rPr>
        <w:t>（3）本资格声明的签字人应保证全部声明和填写的内容是真实的和正确的。</w:t>
      </w:r>
    </w:p>
    <w:p w14:paraId="6391C047">
      <w:pPr>
        <w:snapToGrid w:val="0"/>
        <w:spacing w:line="400" w:lineRule="exact"/>
        <w:ind w:firstLine="720" w:firstLineChars="300"/>
        <w:textAlignment w:val="baseline"/>
        <w:rPr>
          <w:rFonts w:hAnsi="宋体" w:cs="宋体"/>
          <w:bCs/>
          <w:sz w:val="24"/>
          <w:szCs w:val="24"/>
          <w:highlight w:val="none"/>
        </w:rPr>
      </w:pPr>
      <w:r>
        <w:rPr>
          <w:rFonts w:hint="eastAsia" w:hAnsi="宋体" w:cs="宋体"/>
          <w:bCs/>
          <w:sz w:val="24"/>
          <w:szCs w:val="24"/>
          <w:highlight w:val="none"/>
        </w:rPr>
        <w:t>（4）评标委员会将应用投标人提交的资料，根据自己的判断和考虑决定投标人履行合同的合格性及能力。</w:t>
      </w:r>
    </w:p>
    <w:p w14:paraId="17D81242">
      <w:pPr>
        <w:snapToGrid w:val="0"/>
        <w:spacing w:line="400" w:lineRule="exact"/>
        <w:ind w:firstLine="720" w:firstLineChars="300"/>
        <w:textAlignment w:val="baseline"/>
        <w:rPr>
          <w:rFonts w:hAnsi="宋体" w:cs="宋体"/>
          <w:bCs/>
          <w:sz w:val="24"/>
          <w:szCs w:val="24"/>
          <w:highlight w:val="none"/>
        </w:rPr>
      </w:pPr>
      <w:r>
        <w:rPr>
          <w:rFonts w:hint="eastAsia" w:hAnsi="宋体" w:cs="宋体"/>
          <w:bCs/>
          <w:sz w:val="24"/>
          <w:szCs w:val="24"/>
          <w:highlight w:val="none"/>
          <w:lang w:val="en-US" w:eastAsia="zh-CN"/>
        </w:rPr>
        <w:t>7</w:t>
      </w:r>
      <w:r>
        <w:rPr>
          <w:rFonts w:hint="eastAsia" w:hAnsi="宋体" w:cs="宋体"/>
          <w:bCs/>
          <w:sz w:val="24"/>
          <w:szCs w:val="24"/>
          <w:highlight w:val="none"/>
        </w:rPr>
        <w:t>.2有关证明文件</w:t>
      </w:r>
    </w:p>
    <w:p w14:paraId="45E42E2B">
      <w:pPr>
        <w:snapToGrid w:val="0"/>
        <w:spacing w:line="400" w:lineRule="exact"/>
        <w:ind w:firstLine="720" w:firstLineChars="300"/>
        <w:textAlignment w:val="baseline"/>
        <w:rPr>
          <w:rFonts w:hAnsi="宋体" w:cs="宋体"/>
          <w:bCs/>
          <w:sz w:val="24"/>
          <w:szCs w:val="24"/>
          <w:highlight w:val="none"/>
        </w:rPr>
      </w:pPr>
      <w:r>
        <w:rPr>
          <w:rFonts w:hint="eastAsia" w:hAnsi="宋体" w:cs="宋体"/>
          <w:bCs/>
          <w:sz w:val="24"/>
          <w:szCs w:val="24"/>
          <w:highlight w:val="none"/>
        </w:rPr>
        <w:t>注：投标人在提供以上相关证明文件、资料时，需提供复印件并加盖投标人公章，投标单位和投标委托人应确保所有投标书的证明文件等资料的真实性、有效性及合法性。如由此引起的不真实等任何责任后果都由投标人自行承担做无效投标处理。</w:t>
      </w:r>
    </w:p>
    <w:p w14:paraId="17CDFF97">
      <w:pPr>
        <w:pStyle w:val="13"/>
        <w:snapToGrid w:val="0"/>
        <w:textAlignment w:val="baseline"/>
      </w:pPr>
    </w:p>
    <w:p w14:paraId="216DBC87">
      <w:pPr>
        <w:snapToGrid w:val="0"/>
        <w:textAlignment w:val="baseline"/>
        <w:rPr>
          <w:sz w:val="20"/>
        </w:rPr>
      </w:pPr>
    </w:p>
    <w:p w14:paraId="2E1DE346">
      <w:pPr>
        <w:pStyle w:val="38"/>
        <w:snapToGrid w:val="0"/>
        <w:ind w:firstLine="340"/>
        <w:textAlignment w:val="baseline"/>
      </w:pPr>
    </w:p>
    <w:p w14:paraId="4DC48AA2">
      <w:pPr>
        <w:pStyle w:val="13"/>
      </w:pPr>
    </w:p>
    <w:p w14:paraId="33EDA7F0">
      <w:pPr>
        <w:pStyle w:val="13"/>
      </w:pPr>
    </w:p>
    <w:p w14:paraId="35B96EA8">
      <w:pPr>
        <w:pStyle w:val="13"/>
      </w:pPr>
    </w:p>
    <w:p w14:paraId="1F0CA2BA">
      <w:pPr>
        <w:pStyle w:val="13"/>
      </w:pPr>
    </w:p>
    <w:p w14:paraId="04F94E77">
      <w:pPr>
        <w:pStyle w:val="13"/>
      </w:pPr>
    </w:p>
    <w:p w14:paraId="14F9A721">
      <w:pPr>
        <w:pStyle w:val="13"/>
      </w:pPr>
    </w:p>
    <w:p w14:paraId="4CDAEB29">
      <w:pPr>
        <w:pStyle w:val="13"/>
      </w:pPr>
    </w:p>
    <w:p w14:paraId="1C163C60">
      <w:pPr>
        <w:pStyle w:val="13"/>
      </w:pPr>
    </w:p>
    <w:p w14:paraId="4AF0D337">
      <w:pPr>
        <w:pStyle w:val="13"/>
      </w:pPr>
    </w:p>
    <w:p w14:paraId="24651590">
      <w:pPr>
        <w:pStyle w:val="13"/>
      </w:pPr>
    </w:p>
    <w:p w14:paraId="73A14EF5">
      <w:pPr>
        <w:pStyle w:val="13"/>
      </w:pPr>
    </w:p>
    <w:p w14:paraId="3C41D94A">
      <w:pPr>
        <w:pStyle w:val="13"/>
      </w:pPr>
    </w:p>
    <w:p w14:paraId="20C59F4F">
      <w:pPr>
        <w:pStyle w:val="13"/>
      </w:pPr>
    </w:p>
    <w:p w14:paraId="35911907"/>
    <w:p w14:paraId="586D8599">
      <w:pPr>
        <w:snapToGrid w:val="0"/>
        <w:textAlignment w:val="baseline"/>
        <w:rPr>
          <w:rFonts w:cs="宋体"/>
          <w:bCs/>
          <w:sz w:val="28"/>
          <w:szCs w:val="22"/>
        </w:rPr>
      </w:pPr>
    </w:p>
    <w:p w14:paraId="4D870923">
      <w:pPr>
        <w:snapToGrid w:val="0"/>
        <w:jc w:val="center"/>
        <w:textAlignment w:val="baseline"/>
        <w:rPr>
          <w:rFonts w:hAnsi="宋体"/>
          <w:b/>
          <w:bCs/>
          <w:sz w:val="32"/>
          <w:szCs w:val="32"/>
        </w:rPr>
      </w:pPr>
      <w:r>
        <w:rPr>
          <w:rFonts w:hint="eastAsia" w:hAnsi="宋体"/>
          <w:b/>
          <w:bCs/>
          <w:sz w:val="32"/>
          <w:szCs w:val="32"/>
          <w:lang w:val="en-US" w:eastAsia="zh-CN"/>
        </w:rPr>
        <w:t>7</w:t>
      </w:r>
      <w:r>
        <w:rPr>
          <w:rFonts w:hint="eastAsia" w:hAnsi="宋体"/>
          <w:b/>
          <w:bCs/>
          <w:sz w:val="32"/>
          <w:szCs w:val="32"/>
        </w:rPr>
        <w:t>-1. 法定代表人授权书</w:t>
      </w:r>
    </w:p>
    <w:p w14:paraId="6922E61B">
      <w:pPr>
        <w:snapToGrid w:val="0"/>
        <w:spacing w:line="432" w:lineRule="auto"/>
        <w:jc w:val="center"/>
        <w:textAlignment w:val="baseline"/>
        <w:rPr>
          <w:rFonts w:hAnsi="宋体"/>
          <w:sz w:val="24"/>
        </w:rPr>
      </w:pPr>
      <w:r>
        <w:rPr>
          <w:rFonts w:hint="eastAsia" w:hAnsi="宋体"/>
          <w:sz w:val="24"/>
        </w:rPr>
        <w:t>（供参考格式）</w:t>
      </w:r>
    </w:p>
    <w:p w14:paraId="717061F4">
      <w:pPr>
        <w:snapToGrid w:val="0"/>
        <w:spacing w:line="400" w:lineRule="exact"/>
        <w:textAlignment w:val="baseline"/>
        <w:rPr>
          <w:rFonts w:hint="eastAsia" w:hAnsi="宋体" w:eastAsia="宋体"/>
          <w:sz w:val="24"/>
          <w:szCs w:val="24"/>
          <w:lang w:eastAsia="zh-CN"/>
        </w:rPr>
      </w:pPr>
      <w:r>
        <w:rPr>
          <w:rFonts w:hint="eastAsia" w:hAnsi="宋体"/>
          <w:sz w:val="24"/>
        </w:rPr>
        <w:t>致</w:t>
      </w:r>
      <w:r>
        <w:rPr>
          <w:rFonts w:hAnsi="宋体"/>
          <w:sz w:val="24"/>
        </w:rPr>
        <w:t>:</w:t>
      </w:r>
      <w:r>
        <w:rPr>
          <w:rFonts w:hint="eastAsia" w:hAnsi="宋体"/>
          <w:sz w:val="24"/>
          <w:szCs w:val="24"/>
          <w:lang w:eastAsia="zh-CN"/>
        </w:rPr>
        <w:t>浙江建科工程项目管理有限公司</w:t>
      </w:r>
    </w:p>
    <w:p w14:paraId="340DCDA3">
      <w:pPr>
        <w:snapToGrid w:val="0"/>
        <w:spacing w:line="440" w:lineRule="exact"/>
        <w:ind w:firstLine="480" w:firstLineChars="200"/>
        <w:textAlignment w:val="baseline"/>
        <w:rPr>
          <w:rFonts w:hAnsi="宋体"/>
          <w:sz w:val="24"/>
        </w:rPr>
      </w:pPr>
      <w:r>
        <w:rPr>
          <w:rFonts w:hint="eastAsia" w:hAnsi="宋体"/>
          <w:sz w:val="24"/>
        </w:rPr>
        <w:t>（投标人全称）法定代表人授权（全权代表姓名）为全权代表</w:t>
      </w:r>
      <w:r>
        <w:rPr>
          <w:rFonts w:hAnsi="宋体"/>
          <w:sz w:val="24"/>
        </w:rPr>
        <w:t>,</w:t>
      </w:r>
      <w:r>
        <w:rPr>
          <w:rFonts w:hint="eastAsia" w:hAnsi="宋体"/>
          <w:sz w:val="24"/>
        </w:rPr>
        <w:t>参加贵处组织的（招标编号）项目招标活动，全权代表我方处理招标活动中的一切事宜。</w:t>
      </w:r>
    </w:p>
    <w:p w14:paraId="72A83BAF">
      <w:pPr>
        <w:snapToGrid w:val="0"/>
        <w:spacing w:line="440" w:lineRule="exact"/>
        <w:textAlignment w:val="baseline"/>
        <w:rPr>
          <w:rFonts w:hAnsi="宋体"/>
          <w:sz w:val="24"/>
        </w:rPr>
      </w:pPr>
    </w:p>
    <w:p w14:paraId="75902C93">
      <w:pPr>
        <w:snapToGrid w:val="0"/>
        <w:spacing w:line="440" w:lineRule="exact"/>
        <w:textAlignment w:val="baseline"/>
        <w:rPr>
          <w:rFonts w:hAnsi="宋体"/>
          <w:sz w:val="24"/>
        </w:rPr>
      </w:pPr>
    </w:p>
    <w:p w14:paraId="51AC341F">
      <w:pPr>
        <w:snapToGrid w:val="0"/>
        <w:spacing w:line="440" w:lineRule="exact"/>
        <w:textAlignment w:val="baseline"/>
        <w:rPr>
          <w:rFonts w:hAnsi="宋体"/>
          <w:sz w:val="24"/>
        </w:rPr>
      </w:pPr>
    </w:p>
    <w:p w14:paraId="0900EA34">
      <w:pPr>
        <w:snapToGrid w:val="0"/>
        <w:spacing w:line="440" w:lineRule="exact"/>
        <w:textAlignment w:val="baseline"/>
        <w:rPr>
          <w:rFonts w:hAnsi="宋体"/>
          <w:sz w:val="24"/>
        </w:rPr>
      </w:pPr>
      <w:r>
        <w:rPr>
          <w:rFonts w:hint="eastAsia" w:hAnsi="宋体"/>
          <w:sz w:val="24"/>
        </w:rPr>
        <w:t>法定代表人签字或签章：</w:t>
      </w:r>
    </w:p>
    <w:p w14:paraId="33F39473">
      <w:pPr>
        <w:snapToGrid w:val="0"/>
        <w:spacing w:line="440" w:lineRule="exact"/>
        <w:textAlignment w:val="baseline"/>
        <w:rPr>
          <w:rFonts w:hAnsi="宋体"/>
          <w:sz w:val="24"/>
        </w:rPr>
      </w:pPr>
    </w:p>
    <w:p w14:paraId="22B008EB">
      <w:pPr>
        <w:snapToGrid w:val="0"/>
        <w:spacing w:line="440" w:lineRule="exact"/>
        <w:textAlignment w:val="baseline"/>
        <w:rPr>
          <w:rFonts w:hAnsi="宋体"/>
          <w:sz w:val="24"/>
        </w:rPr>
      </w:pPr>
      <w:r>
        <w:rPr>
          <w:rFonts w:hint="eastAsia" w:hAnsi="宋体"/>
          <w:sz w:val="24"/>
        </w:rPr>
        <w:t>投标人签章：</w:t>
      </w:r>
    </w:p>
    <w:p w14:paraId="75268834">
      <w:pPr>
        <w:snapToGrid w:val="0"/>
        <w:spacing w:line="440" w:lineRule="exact"/>
        <w:textAlignment w:val="baseline"/>
        <w:rPr>
          <w:rFonts w:hAnsi="宋体"/>
          <w:sz w:val="24"/>
        </w:rPr>
      </w:pPr>
    </w:p>
    <w:p w14:paraId="20E179EC">
      <w:pPr>
        <w:snapToGrid w:val="0"/>
        <w:spacing w:line="440" w:lineRule="exact"/>
        <w:textAlignment w:val="baseline"/>
        <w:rPr>
          <w:rFonts w:hAnsi="宋体"/>
          <w:sz w:val="24"/>
        </w:rPr>
      </w:pPr>
      <w:r>
        <w:rPr>
          <w:rFonts w:hint="eastAsia" w:hAnsi="宋体"/>
          <w:sz w:val="24"/>
        </w:rPr>
        <w:t>日期：</w:t>
      </w:r>
    </w:p>
    <w:p w14:paraId="45B8D78F">
      <w:pPr>
        <w:snapToGrid w:val="0"/>
        <w:spacing w:line="440" w:lineRule="exact"/>
        <w:textAlignment w:val="baseline"/>
        <w:rPr>
          <w:rFonts w:hAnsi="宋体"/>
          <w:sz w:val="24"/>
        </w:rPr>
      </w:pPr>
    </w:p>
    <w:p w14:paraId="74D7BBA2">
      <w:pPr>
        <w:snapToGrid w:val="0"/>
        <w:spacing w:line="440" w:lineRule="exact"/>
        <w:textAlignment w:val="baseline"/>
        <w:rPr>
          <w:rFonts w:hAnsi="宋体"/>
          <w:sz w:val="24"/>
        </w:rPr>
      </w:pPr>
    </w:p>
    <w:p w14:paraId="5455C200">
      <w:pPr>
        <w:snapToGrid w:val="0"/>
        <w:spacing w:line="440" w:lineRule="exact"/>
        <w:textAlignment w:val="baseline"/>
        <w:rPr>
          <w:rFonts w:hAnsi="宋体"/>
          <w:sz w:val="24"/>
        </w:rPr>
      </w:pPr>
      <w:r>
        <w:rPr>
          <w:rFonts w:hint="eastAsia" w:hAnsi="宋体"/>
          <w:sz w:val="24"/>
        </w:rPr>
        <w:t>附：</w:t>
      </w:r>
    </w:p>
    <w:p w14:paraId="1A815400">
      <w:pPr>
        <w:snapToGrid w:val="0"/>
        <w:spacing w:line="440" w:lineRule="exact"/>
        <w:textAlignment w:val="baseline"/>
        <w:rPr>
          <w:rFonts w:hAnsi="宋体"/>
          <w:sz w:val="24"/>
          <w:u w:val="single"/>
        </w:rPr>
      </w:pPr>
      <w:r>
        <w:rPr>
          <w:rFonts w:hint="eastAsia" w:hAnsi="宋体"/>
          <w:sz w:val="24"/>
        </w:rPr>
        <w:t>全权代表姓名：</w:t>
      </w:r>
    </w:p>
    <w:p w14:paraId="5442D215">
      <w:pPr>
        <w:snapToGrid w:val="0"/>
        <w:spacing w:line="440" w:lineRule="exact"/>
        <w:textAlignment w:val="baseline"/>
        <w:rPr>
          <w:rFonts w:hAnsi="宋体"/>
          <w:sz w:val="24"/>
        </w:rPr>
      </w:pPr>
      <w:r>
        <w:rPr>
          <w:rFonts w:hint="eastAsia" w:hAnsi="宋体"/>
          <w:sz w:val="24"/>
        </w:rPr>
        <w:t>职务：</w:t>
      </w:r>
    </w:p>
    <w:p w14:paraId="4676BFCE">
      <w:pPr>
        <w:snapToGrid w:val="0"/>
        <w:spacing w:line="440" w:lineRule="exact"/>
        <w:textAlignment w:val="baseline"/>
        <w:rPr>
          <w:rFonts w:hAnsi="宋体"/>
          <w:sz w:val="24"/>
        </w:rPr>
      </w:pPr>
      <w:r>
        <w:rPr>
          <w:rFonts w:hint="eastAsia" w:hAnsi="宋体"/>
          <w:sz w:val="24"/>
        </w:rPr>
        <w:t>电话：</w:t>
      </w:r>
    </w:p>
    <w:p w14:paraId="34A3C9C2">
      <w:pPr>
        <w:snapToGrid w:val="0"/>
        <w:spacing w:line="440" w:lineRule="exact"/>
        <w:textAlignment w:val="baseline"/>
        <w:rPr>
          <w:rFonts w:hAnsi="宋体"/>
          <w:sz w:val="24"/>
        </w:rPr>
      </w:pPr>
      <w:r>
        <w:rPr>
          <w:rFonts w:hint="eastAsia" w:hAnsi="宋体"/>
          <w:sz w:val="24"/>
        </w:rPr>
        <w:t>详细通讯地址：</w:t>
      </w:r>
    </w:p>
    <w:p w14:paraId="56DFB023">
      <w:pPr>
        <w:snapToGrid w:val="0"/>
        <w:spacing w:line="440" w:lineRule="exact"/>
        <w:textAlignment w:val="baseline"/>
        <w:rPr>
          <w:rFonts w:hAnsi="宋体"/>
          <w:sz w:val="24"/>
        </w:rPr>
      </w:pPr>
      <w:r>
        <w:rPr>
          <w:rFonts w:hint="eastAsia" w:hAnsi="宋体"/>
          <w:sz w:val="24"/>
        </w:rPr>
        <w:t>邮政编码：</w:t>
      </w:r>
    </w:p>
    <w:p w14:paraId="60B91372">
      <w:pPr>
        <w:snapToGrid w:val="0"/>
        <w:spacing w:line="440" w:lineRule="exact"/>
        <w:textAlignment w:val="baseline"/>
        <w:rPr>
          <w:rFonts w:hAnsi="宋体"/>
          <w:sz w:val="20"/>
        </w:rPr>
      </w:pPr>
    </w:p>
    <w:p w14:paraId="5BBDF8EC">
      <w:pPr>
        <w:tabs>
          <w:tab w:val="left" w:pos="1470"/>
        </w:tabs>
        <w:snapToGrid w:val="0"/>
        <w:spacing w:line="432" w:lineRule="auto"/>
        <w:textAlignment w:val="baseline"/>
        <w:rPr>
          <w:rFonts w:hAnsi="宋体"/>
          <w:b/>
          <w:sz w:val="24"/>
        </w:rPr>
      </w:pPr>
    </w:p>
    <w:p w14:paraId="50DE1C49">
      <w:pPr>
        <w:tabs>
          <w:tab w:val="left" w:pos="1470"/>
        </w:tabs>
        <w:snapToGrid w:val="0"/>
        <w:spacing w:line="432" w:lineRule="auto"/>
        <w:textAlignment w:val="baseline"/>
        <w:rPr>
          <w:rFonts w:hAnsi="宋体"/>
          <w:b/>
          <w:sz w:val="24"/>
        </w:rPr>
        <w:sectPr>
          <w:footerReference r:id="rId6" w:type="default"/>
          <w:footerReference r:id="rId7" w:type="even"/>
          <w:pgSz w:w="11849" w:h="16781"/>
          <w:pgMar w:top="680" w:right="1077" w:bottom="907" w:left="1417" w:header="567" w:footer="510" w:gutter="170"/>
          <w:cols w:space="720" w:num="1"/>
          <w:docGrid w:linePitch="462" w:charSpace="0"/>
        </w:sectPr>
      </w:pPr>
      <w:r>
        <w:rPr>
          <w:rFonts w:hint="eastAsia" w:hAnsi="宋体"/>
          <w:b/>
          <w:sz w:val="24"/>
        </w:rPr>
        <w:t>附：全权代表身份证扫描件</w:t>
      </w:r>
    </w:p>
    <w:p w14:paraId="21EC4C81">
      <w:pPr>
        <w:snapToGrid w:val="0"/>
        <w:spacing w:after="462"/>
        <w:jc w:val="center"/>
        <w:textAlignment w:val="baseline"/>
        <w:rPr>
          <w:rFonts w:hAnsi="宋体"/>
          <w:b/>
          <w:bCs/>
          <w:sz w:val="32"/>
          <w:szCs w:val="32"/>
        </w:rPr>
      </w:pPr>
      <w:bookmarkStart w:id="195" w:name="_Toc262628298"/>
      <w:bookmarkStart w:id="196" w:name="_Toc262628299"/>
      <w:r>
        <w:rPr>
          <w:rFonts w:hint="eastAsia" w:hAnsi="宋体"/>
          <w:b/>
          <w:bCs/>
          <w:sz w:val="32"/>
          <w:szCs w:val="32"/>
          <w:lang w:val="en-US" w:eastAsia="zh-CN"/>
        </w:rPr>
        <w:t>7</w:t>
      </w:r>
      <w:r>
        <w:rPr>
          <w:rFonts w:hint="eastAsia" w:hAnsi="宋体"/>
          <w:b/>
          <w:bCs/>
          <w:sz w:val="32"/>
          <w:szCs w:val="32"/>
        </w:rPr>
        <w:t>-2．投标人的资格声明</w:t>
      </w:r>
      <w:bookmarkEnd w:id="195"/>
    </w:p>
    <w:p w14:paraId="17D0F557">
      <w:pPr>
        <w:snapToGrid w:val="0"/>
        <w:spacing w:after="462" w:line="432" w:lineRule="auto"/>
        <w:jc w:val="center"/>
        <w:textAlignment w:val="baseline"/>
        <w:rPr>
          <w:rFonts w:hAnsi="宋体"/>
          <w:sz w:val="24"/>
        </w:rPr>
      </w:pPr>
      <w:r>
        <w:rPr>
          <w:rFonts w:hint="eastAsia" w:hAnsi="宋体"/>
          <w:sz w:val="24"/>
        </w:rPr>
        <w:t>（供参考格式）</w:t>
      </w:r>
    </w:p>
    <w:p w14:paraId="07667BC4">
      <w:pPr>
        <w:snapToGrid w:val="0"/>
        <w:spacing w:line="400" w:lineRule="exact"/>
        <w:textAlignment w:val="baseline"/>
        <w:rPr>
          <w:rFonts w:hint="eastAsia" w:hAnsi="宋体" w:eastAsia="宋体"/>
          <w:sz w:val="24"/>
          <w:szCs w:val="24"/>
          <w:lang w:eastAsia="zh-CN"/>
        </w:rPr>
      </w:pPr>
      <w:r>
        <w:rPr>
          <w:rFonts w:hAnsi="宋体"/>
          <w:sz w:val="24"/>
        </w:rPr>
        <w:t>致：</w:t>
      </w:r>
      <w:r>
        <w:rPr>
          <w:rFonts w:hint="eastAsia" w:hAnsi="宋体"/>
          <w:sz w:val="24"/>
          <w:szCs w:val="24"/>
          <w:lang w:eastAsia="zh-CN"/>
        </w:rPr>
        <w:t>浙江建科工程项目管理有限公司</w:t>
      </w:r>
    </w:p>
    <w:p w14:paraId="65B45292">
      <w:pPr>
        <w:snapToGrid w:val="0"/>
        <w:spacing w:line="560" w:lineRule="exact"/>
        <w:ind w:left="960" w:hanging="960" w:hangingChars="400"/>
        <w:textAlignment w:val="baseline"/>
        <w:rPr>
          <w:rFonts w:hAnsi="宋体"/>
          <w:sz w:val="24"/>
        </w:rPr>
      </w:pPr>
    </w:p>
    <w:p w14:paraId="09C4DCEB">
      <w:pPr>
        <w:snapToGrid w:val="0"/>
        <w:spacing w:line="560" w:lineRule="exact"/>
        <w:ind w:left="2" w:firstLine="476" w:firstLineChars="202"/>
        <w:textAlignment w:val="baseline"/>
        <w:rPr>
          <w:rFonts w:hAnsi="宋体"/>
          <w:sz w:val="24"/>
        </w:rPr>
      </w:pPr>
      <w:r>
        <w:rPr>
          <w:rFonts w:hAnsi="宋体"/>
          <w:spacing w:val="-2"/>
          <w:sz w:val="24"/>
        </w:rPr>
        <w:t>为响应你方</w:t>
      </w:r>
      <w:r>
        <w:rPr>
          <w:rFonts w:hint="eastAsia" w:hAnsi="宋体"/>
          <w:iCs/>
          <w:spacing w:val="-2"/>
          <w:sz w:val="24"/>
          <w:u w:val="single" w:color="000000"/>
        </w:rPr>
        <w:t>（项目名称、招标编号）</w:t>
      </w:r>
      <w:r>
        <w:rPr>
          <w:rFonts w:hAnsi="宋体"/>
          <w:iCs/>
          <w:spacing w:val="-2"/>
          <w:sz w:val="24"/>
        </w:rPr>
        <w:t>投标</w:t>
      </w:r>
      <w:r>
        <w:rPr>
          <w:rFonts w:hAnsi="宋体"/>
          <w:spacing w:val="-2"/>
          <w:sz w:val="24"/>
        </w:rPr>
        <w:t>邀请，下述签字人愿参与投标，提供</w:t>
      </w:r>
      <w:r>
        <w:rPr>
          <w:rFonts w:hint="eastAsia" w:hAnsi="宋体"/>
          <w:spacing w:val="-2"/>
          <w:sz w:val="24"/>
        </w:rPr>
        <w:t>采购</w:t>
      </w:r>
      <w:r>
        <w:rPr>
          <w:rFonts w:hAnsi="宋体"/>
          <w:spacing w:val="-2"/>
          <w:sz w:val="24"/>
        </w:rPr>
        <w:t>需求一览表</w:t>
      </w:r>
      <w:r>
        <w:rPr>
          <w:rFonts w:hint="eastAsia" w:hAnsi="宋体"/>
          <w:spacing w:val="-2"/>
          <w:sz w:val="24"/>
        </w:rPr>
        <w:t>和实施方案要求</w:t>
      </w:r>
      <w:r>
        <w:rPr>
          <w:rFonts w:hAnsi="宋体"/>
          <w:sz w:val="24"/>
          <w:szCs w:val="24"/>
        </w:rPr>
        <w:t>规定的</w:t>
      </w:r>
      <w:r>
        <w:rPr>
          <w:rFonts w:hint="eastAsia" w:hAnsi="宋体"/>
          <w:sz w:val="24"/>
          <w:szCs w:val="24"/>
        </w:rPr>
        <w:t>服务</w:t>
      </w:r>
      <w:r>
        <w:rPr>
          <w:rFonts w:hint="eastAsia" w:hAnsi="宋体"/>
          <w:spacing w:val="-2"/>
          <w:sz w:val="24"/>
        </w:rPr>
        <w:t>，</w:t>
      </w:r>
      <w:r>
        <w:rPr>
          <w:rFonts w:hAnsi="宋体"/>
          <w:spacing w:val="-2"/>
          <w:sz w:val="24"/>
        </w:rPr>
        <w:t>提交下述文件并声明全</w:t>
      </w:r>
      <w:r>
        <w:rPr>
          <w:rFonts w:hAnsi="宋体"/>
          <w:sz w:val="24"/>
        </w:rPr>
        <w:t>部说明是真实的和正确的。</w:t>
      </w:r>
    </w:p>
    <w:p w14:paraId="4F7EC27D">
      <w:pPr>
        <w:snapToGrid w:val="0"/>
        <w:spacing w:line="560" w:lineRule="exact"/>
        <w:ind w:firstLine="480" w:firstLineChars="200"/>
        <w:textAlignment w:val="baseline"/>
        <w:rPr>
          <w:rFonts w:hAnsi="宋体"/>
          <w:sz w:val="24"/>
        </w:rPr>
      </w:pPr>
      <w:bookmarkStart w:id="197" w:name="_Toc27595"/>
      <w:r>
        <w:rPr>
          <w:rFonts w:hint="eastAsia" w:hAnsi="宋体"/>
          <w:sz w:val="24"/>
        </w:rPr>
        <w:t>1、</w:t>
      </w:r>
      <w:r>
        <w:rPr>
          <w:rFonts w:hAnsi="宋体"/>
          <w:sz w:val="24"/>
          <w:szCs w:val="24"/>
        </w:rPr>
        <w:t>我方的资格声明正本</w:t>
      </w:r>
      <w:r>
        <w:rPr>
          <w:rFonts w:hint="eastAsia" w:hAnsi="宋体"/>
          <w:sz w:val="24"/>
          <w:szCs w:val="24"/>
        </w:rPr>
        <w:t>扫描件</w:t>
      </w:r>
      <w:r>
        <w:rPr>
          <w:rFonts w:hAnsi="宋体"/>
          <w:sz w:val="24"/>
          <w:szCs w:val="24"/>
        </w:rPr>
        <w:t>一份</w:t>
      </w:r>
      <w:r>
        <w:rPr>
          <w:rFonts w:hint="eastAsia" w:hAnsi="宋体"/>
          <w:sz w:val="24"/>
          <w:szCs w:val="24"/>
        </w:rPr>
        <w:t>；</w:t>
      </w:r>
      <w:bookmarkEnd w:id="197"/>
    </w:p>
    <w:p w14:paraId="6AD831D7">
      <w:pPr>
        <w:snapToGrid w:val="0"/>
        <w:spacing w:line="560" w:lineRule="exact"/>
        <w:ind w:left="956" w:leftChars="140" w:hanging="480" w:hangingChars="200"/>
        <w:textAlignment w:val="baseline"/>
        <w:rPr>
          <w:rFonts w:hAnsi="宋体"/>
          <w:sz w:val="24"/>
        </w:rPr>
      </w:pPr>
      <w:r>
        <w:rPr>
          <w:rFonts w:hint="eastAsia" w:hAnsi="宋体"/>
          <w:sz w:val="24"/>
        </w:rPr>
        <w:t>2、</w:t>
      </w:r>
      <w:r>
        <w:rPr>
          <w:rFonts w:hAnsi="宋体"/>
          <w:sz w:val="24"/>
        </w:rPr>
        <w:t>下述签字人在证书中证明</w:t>
      </w:r>
      <w:r>
        <w:rPr>
          <w:rFonts w:hint="eastAsia" w:hAnsi="宋体"/>
          <w:sz w:val="24"/>
        </w:rPr>
        <w:t>本</w:t>
      </w:r>
      <w:r>
        <w:rPr>
          <w:rFonts w:hAnsi="宋体"/>
          <w:sz w:val="24"/>
        </w:rPr>
        <w:t>资格文件中的内容是真实的和正确的。</w:t>
      </w:r>
    </w:p>
    <w:p w14:paraId="638669E9">
      <w:pPr>
        <w:snapToGrid w:val="0"/>
        <w:spacing w:line="432" w:lineRule="auto"/>
        <w:textAlignment w:val="baseline"/>
        <w:rPr>
          <w:rFonts w:hAnsi="宋体"/>
          <w:sz w:val="24"/>
        </w:rPr>
      </w:pPr>
    </w:p>
    <w:p w14:paraId="2ED579A0">
      <w:pPr>
        <w:snapToGrid w:val="0"/>
        <w:spacing w:line="432" w:lineRule="auto"/>
        <w:textAlignment w:val="baseline"/>
        <w:rPr>
          <w:rFonts w:hAnsi="宋体"/>
          <w:sz w:val="24"/>
        </w:rPr>
      </w:pPr>
    </w:p>
    <w:p w14:paraId="498F41AA">
      <w:pPr>
        <w:snapToGrid w:val="0"/>
        <w:spacing w:line="432" w:lineRule="auto"/>
        <w:textAlignment w:val="baseline"/>
        <w:rPr>
          <w:rFonts w:hAnsi="宋体"/>
          <w:sz w:val="24"/>
        </w:rPr>
      </w:pPr>
      <w:r>
        <w:rPr>
          <w:rFonts w:hint="eastAsia" w:hAnsi="宋体"/>
          <w:sz w:val="24"/>
        </w:rPr>
        <w:t>投标人代表签字或签章</w:t>
      </w:r>
    </w:p>
    <w:p w14:paraId="7FE65E14">
      <w:pPr>
        <w:snapToGrid w:val="0"/>
        <w:spacing w:line="432" w:lineRule="auto"/>
        <w:textAlignment w:val="baseline"/>
        <w:rPr>
          <w:rFonts w:hAnsi="宋体"/>
          <w:sz w:val="24"/>
          <w:u w:val="single"/>
        </w:rPr>
      </w:pPr>
      <w:r>
        <w:rPr>
          <w:rFonts w:hint="eastAsia" w:hAnsi="宋体"/>
          <w:sz w:val="24"/>
        </w:rPr>
        <w:t>投标人签章</w:t>
      </w:r>
    </w:p>
    <w:p w14:paraId="7349D26C">
      <w:pPr>
        <w:snapToGrid w:val="0"/>
        <w:spacing w:line="432" w:lineRule="auto"/>
        <w:textAlignment w:val="baseline"/>
        <w:rPr>
          <w:rFonts w:hAnsi="宋体"/>
          <w:sz w:val="24"/>
          <w:u w:val="single"/>
        </w:rPr>
      </w:pPr>
      <w:r>
        <w:rPr>
          <w:rFonts w:hint="eastAsia" w:hAnsi="宋体"/>
          <w:sz w:val="24"/>
        </w:rPr>
        <w:t>日期</w:t>
      </w:r>
    </w:p>
    <w:p w14:paraId="15064B3A">
      <w:pPr>
        <w:snapToGrid w:val="0"/>
        <w:jc w:val="center"/>
        <w:textAlignment w:val="baseline"/>
        <w:rPr>
          <w:rFonts w:hAnsi="宋体"/>
          <w:sz w:val="24"/>
        </w:rPr>
      </w:pPr>
      <w:r>
        <w:rPr>
          <w:rFonts w:hAnsi="宋体"/>
          <w:sz w:val="24"/>
        </w:rPr>
        <w:br w:type="page"/>
      </w:r>
    </w:p>
    <w:bookmarkEnd w:id="196"/>
    <w:p w14:paraId="70BCC988">
      <w:pPr>
        <w:snapToGrid w:val="0"/>
        <w:jc w:val="center"/>
        <w:textAlignment w:val="baseline"/>
        <w:rPr>
          <w:rFonts w:hAnsi="宋体"/>
          <w:sz w:val="24"/>
        </w:rPr>
      </w:pPr>
      <w:bookmarkStart w:id="198" w:name="_Toc29019"/>
      <w:bookmarkStart w:id="199" w:name="_Toc447031348"/>
      <w:bookmarkStart w:id="200" w:name="_Toc450122269"/>
    </w:p>
    <w:p w14:paraId="6BA71820">
      <w:pPr>
        <w:snapToGrid w:val="0"/>
        <w:spacing w:after="462"/>
        <w:jc w:val="center"/>
        <w:textAlignment w:val="baseline"/>
        <w:rPr>
          <w:rFonts w:hAnsi="宋体"/>
          <w:b/>
          <w:bCs/>
          <w:sz w:val="32"/>
          <w:szCs w:val="32"/>
        </w:rPr>
      </w:pPr>
      <w:r>
        <w:rPr>
          <w:rFonts w:hint="eastAsia" w:hAnsi="宋体"/>
          <w:b/>
          <w:bCs/>
          <w:sz w:val="32"/>
          <w:szCs w:val="32"/>
          <w:lang w:val="en-US" w:eastAsia="zh-CN"/>
        </w:rPr>
        <w:t>7</w:t>
      </w:r>
      <w:r>
        <w:rPr>
          <w:rFonts w:hint="eastAsia" w:hAnsi="宋体"/>
          <w:b/>
          <w:bCs/>
          <w:sz w:val="32"/>
          <w:szCs w:val="32"/>
        </w:rPr>
        <w:t>-3.交纳投标保证金的银行凭证</w:t>
      </w:r>
    </w:p>
    <w:p w14:paraId="51E87851">
      <w:pPr>
        <w:snapToGrid w:val="0"/>
        <w:spacing w:line="560" w:lineRule="exact"/>
        <w:ind w:firstLine="480" w:firstLineChars="200"/>
        <w:textAlignment w:val="baseline"/>
        <w:rPr>
          <w:rFonts w:hAnsi="宋体"/>
          <w:sz w:val="24"/>
          <w:szCs w:val="24"/>
        </w:rPr>
      </w:pPr>
      <w:r>
        <w:rPr>
          <w:rFonts w:hint="eastAsia" w:hAnsi="宋体"/>
          <w:sz w:val="24"/>
          <w:szCs w:val="24"/>
        </w:rPr>
        <w:tab/>
      </w:r>
      <w:r>
        <w:rPr>
          <w:rFonts w:hint="eastAsia" w:hAnsi="宋体"/>
          <w:sz w:val="24"/>
          <w:szCs w:val="24"/>
        </w:rPr>
        <w:tab/>
      </w:r>
      <w:r>
        <w:rPr>
          <w:rFonts w:hint="eastAsia" w:hAnsi="宋体"/>
          <w:sz w:val="24"/>
          <w:szCs w:val="24"/>
        </w:rPr>
        <w:tab/>
      </w:r>
      <w:r>
        <w:rPr>
          <w:rFonts w:hint="eastAsia" w:hAnsi="宋体"/>
          <w:sz w:val="24"/>
          <w:szCs w:val="24"/>
        </w:rPr>
        <w:tab/>
      </w:r>
      <w:r>
        <w:rPr>
          <w:rFonts w:hint="eastAsia" w:hAnsi="宋体"/>
          <w:sz w:val="24"/>
          <w:szCs w:val="24"/>
        </w:rPr>
        <w:tab/>
      </w:r>
      <w:r>
        <w:rPr>
          <w:rFonts w:hint="eastAsia" w:hAnsi="宋体"/>
          <w:sz w:val="24"/>
          <w:szCs w:val="24"/>
        </w:rPr>
        <w:tab/>
      </w:r>
      <w:r>
        <w:rPr>
          <w:rFonts w:hint="eastAsia" w:hAnsi="宋体"/>
          <w:sz w:val="24"/>
          <w:szCs w:val="24"/>
        </w:rPr>
        <w:tab/>
      </w:r>
      <w:r>
        <w:rPr>
          <w:rFonts w:hint="eastAsia" w:hAnsi="宋体"/>
          <w:sz w:val="24"/>
          <w:szCs w:val="24"/>
        </w:rPr>
        <w:tab/>
      </w:r>
      <w:r>
        <w:rPr>
          <w:rFonts w:hint="eastAsia" w:hAnsi="宋体"/>
          <w:sz w:val="24"/>
          <w:szCs w:val="24"/>
        </w:rPr>
        <w:tab/>
      </w:r>
    </w:p>
    <w:p w14:paraId="714C53A9">
      <w:pPr>
        <w:snapToGrid w:val="0"/>
        <w:spacing w:line="560" w:lineRule="exact"/>
        <w:textAlignment w:val="baseline"/>
        <w:rPr>
          <w:rFonts w:hint="eastAsia" w:hAnsi="宋体" w:eastAsia="宋体"/>
          <w:sz w:val="24"/>
          <w:szCs w:val="24"/>
          <w:lang w:eastAsia="zh-CN"/>
        </w:rPr>
      </w:pPr>
      <w:r>
        <w:rPr>
          <w:rFonts w:hint="eastAsia" w:hAnsi="宋体"/>
          <w:sz w:val="24"/>
          <w:szCs w:val="24"/>
        </w:rPr>
        <w:t>致：</w:t>
      </w:r>
      <w:r>
        <w:rPr>
          <w:rFonts w:hint="eastAsia" w:hAnsi="宋体"/>
          <w:sz w:val="24"/>
          <w:szCs w:val="24"/>
          <w:lang w:eastAsia="zh-CN"/>
        </w:rPr>
        <w:t>浙江建科工程项目管理有限公司</w:t>
      </w:r>
    </w:p>
    <w:p w14:paraId="16E56BFA">
      <w:pPr>
        <w:snapToGrid w:val="0"/>
        <w:spacing w:line="560" w:lineRule="exact"/>
        <w:ind w:firstLine="720" w:firstLineChars="300"/>
        <w:textAlignment w:val="baseline"/>
        <w:rPr>
          <w:rFonts w:hAnsi="宋体"/>
          <w:sz w:val="24"/>
          <w:szCs w:val="24"/>
        </w:rPr>
      </w:pPr>
      <w:r>
        <w:rPr>
          <w:rFonts w:hint="eastAsia" w:hAnsi="宋体"/>
          <w:sz w:val="24"/>
          <w:szCs w:val="24"/>
        </w:rPr>
        <w:t>（投标人全称) 参加贵方组织的，采购项目名称为的采购活动。按招标文件的规定，已递交人民币（大写）</w:t>
      </w:r>
      <w:r>
        <w:rPr>
          <w:rFonts w:hint="eastAsia" w:hAnsi="宋体"/>
          <w:sz w:val="24"/>
          <w:szCs w:val="24"/>
          <w:u w:val="single" w:color="000000"/>
        </w:rPr>
        <w:t xml:space="preserve">  　　  </w:t>
      </w:r>
      <w:r>
        <w:rPr>
          <w:rFonts w:hint="eastAsia" w:hAnsi="宋体"/>
          <w:sz w:val="24"/>
          <w:szCs w:val="24"/>
        </w:rPr>
        <w:t>元的投标保证金。</w:t>
      </w:r>
    </w:p>
    <w:p w14:paraId="4E73CF0C">
      <w:pPr>
        <w:snapToGrid w:val="0"/>
        <w:spacing w:line="560" w:lineRule="exact"/>
        <w:ind w:firstLine="480" w:firstLineChars="200"/>
        <w:textAlignment w:val="baseline"/>
        <w:rPr>
          <w:rFonts w:hAnsi="宋体"/>
          <w:sz w:val="24"/>
          <w:szCs w:val="24"/>
        </w:rPr>
      </w:pPr>
    </w:p>
    <w:p w14:paraId="7FB76A5F">
      <w:pPr>
        <w:snapToGrid w:val="0"/>
        <w:spacing w:line="560" w:lineRule="exact"/>
        <w:ind w:firstLine="480" w:firstLineChars="200"/>
        <w:textAlignment w:val="baseline"/>
        <w:rPr>
          <w:rFonts w:hAnsi="宋体"/>
          <w:sz w:val="24"/>
          <w:szCs w:val="24"/>
        </w:rPr>
      </w:pPr>
    </w:p>
    <w:p w14:paraId="3878ECC4">
      <w:pPr>
        <w:snapToGrid w:val="0"/>
        <w:spacing w:line="560" w:lineRule="exact"/>
        <w:ind w:firstLine="480" w:firstLineChars="200"/>
        <w:textAlignment w:val="baseline"/>
        <w:rPr>
          <w:rFonts w:hAnsi="宋体"/>
          <w:sz w:val="24"/>
          <w:szCs w:val="24"/>
        </w:rPr>
      </w:pPr>
      <w:r>
        <w:rPr>
          <w:rFonts w:hint="eastAsia" w:hAnsi="宋体"/>
          <w:sz w:val="24"/>
          <w:szCs w:val="24"/>
        </w:rPr>
        <w:t>投标人代表签字或签章</w:t>
      </w:r>
    </w:p>
    <w:p w14:paraId="6B25E8A8">
      <w:pPr>
        <w:snapToGrid w:val="0"/>
        <w:spacing w:line="560" w:lineRule="exact"/>
        <w:ind w:firstLine="480" w:firstLineChars="200"/>
        <w:textAlignment w:val="baseline"/>
        <w:rPr>
          <w:rFonts w:hAnsi="宋体"/>
          <w:sz w:val="24"/>
          <w:szCs w:val="24"/>
        </w:rPr>
      </w:pPr>
      <w:r>
        <w:rPr>
          <w:rFonts w:hint="eastAsia" w:hAnsi="宋体"/>
          <w:sz w:val="24"/>
          <w:szCs w:val="24"/>
        </w:rPr>
        <w:t>投标人签章</w:t>
      </w:r>
    </w:p>
    <w:p w14:paraId="275998D0">
      <w:pPr>
        <w:snapToGrid w:val="0"/>
        <w:spacing w:line="560" w:lineRule="exact"/>
        <w:ind w:firstLine="480" w:firstLineChars="200"/>
        <w:textAlignment w:val="baseline"/>
        <w:rPr>
          <w:rFonts w:hAnsi="宋体"/>
          <w:sz w:val="24"/>
          <w:szCs w:val="24"/>
        </w:rPr>
      </w:pPr>
      <w:r>
        <w:rPr>
          <w:rFonts w:hint="eastAsia" w:hAnsi="宋体"/>
          <w:sz w:val="24"/>
          <w:szCs w:val="24"/>
        </w:rPr>
        <w:t>日期</w:t>
      </w:r>
    </w:p>
    <w:p w14:paraId="1EC4227D">
      <w:pPr>
        <w:snapToGrid w:val="0"/>
        <w:spacing w:line="360" w:lineRule="auto"/>
        <w:ind w:left="170" w:leftChars="50" w:right="170" w:firstLine="480" w:firstLineChars="200"/>
        <w:textAlignment w:val="baseline"/>
        <w:rPr>
          <w:rFonts w:hAnsi="宋体" w:cs="宋体"/>
          <w:sz w:val="24"/>
          <w:szCs w:val="24"/>
        </w:rPr>
      </w:pPr>
    </w:p>
    <w:p w14:paraId="379C85E1">
      <w:pPr>
        <w:snapToGrid w:val="0"/>
        <w:spacing w:line="360" w:lineRule="auto"/>
        <w:ind w:left="170" w:leftChars="50" w:right="170" w:firstLine="480" w:firstLineChars="200"/>
        <w:textAlignment w:val="baseline"/>
        <w:rPr>
          <w:rFonts w:hAnsi="宋体" w:cs="宋体"/>
          <w:sz w:val="24"/>
          <w:szCs w:val="24"/>
        </w:rPr>
      </w:pPr>
    </w:p>
    <w:tbl>
      <w:tblPr>
        <w:tblStyle w:val="40"/>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0"/>
      </w:tblGrid>
      <w:tr w14:paraId="66836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8790" w:type="dxa"/>
            <w:tcBorders>
              <w:top w:val="single" w:color="auto" w:sz="4" w:space="0"/>
              <w:left w:val="single" w:color="auto" w:sz="4" w:space="0"/>
              <w:bottom w:val="single" w:color="auto" w:sz="4" w:space="0"/>
              <w:right w:val="single" w:color="auto" w:sz="4" w:space="0"/>
            </w:tcBorders>
          </w:tcPr>
          <w:p w14:paraId="1512C105">
            <w:pPr>
              <w:snapToGrid w:val="0"/>
              <w:jc w:val="left"/>
              <w:textAlignment w:val="baseline"/>
              <w:rPr>
                <w:rFonts w:hAnsi="宋体"/>
                <w:sz w:val="24"/>
              </w:rPr>
            </w:pPr>
            <w:r>
              <w:rPr>
                <w:rFonts w:hint="eastAsia" w:hAnsi="宋体"/>
                <w:sz w:val="24"/>
              </w:rPr>
              <w:t>粘贴转帐或电汇银行凭证（复印件）</w:t>
            </w:r>
          </w:p>
        </w:tc>
      </w:tr>
    </w:tbl>
    <w:p w14:paraId="4EBBE493">
      <w:pPr>
        <w:snapToGrid w:val="0"/>
        <w:ind w:left="238" w:leftChars="70"/>
        <w:jc w:val="left"/>
        <w:textAlignment w:val="baseline"/>
        <w:rPr>
          <w:rFonts w:hAnsi="宋体"/>
          <w:sz w:val="24"/>
        </w:rPr>
      </w:pPr>
      <w:r>
        <w:rPr>
          <w:rFonts w:hint="eastAsia" w:hAnsi="宋体"/>
          <w:sz w:val="24"/>
        </w:rPr>
        <w:t>注：请投标人认真填写银行信息，并要求与转帐或电汇银行凭证的相关信息一致，采购招标代理机构将依据此凭证信息退还投标保证金。</w:t>
      </w:r>
    </w:p>
    <w:p w14:paraId="4CCF129C">
      <w:pPr>
        <w:snapToGrid w:val="0"/>
        <w:jc w:val="center"/>
        <w:textAlignment w:val="baseline"/>
        <w:rPr>
          <w:rFonts w:hAnsi="宋体"/>
          <w:sz w:val="24"/>
        </w:rPr>
      </w:pPr>
    </w:p>
    <w:p w14:paraId="2ACAC92D">
      <w:pPr>
        <w:snapToGrid w:val="0"/>
        <w:jc w:val="center"/>
        <w:textAlignment w:val="baseline"/>
        <w:rPr>
          <w:rFonts w:hAnsi="宋体"/>
          <w:sz w:val="24"/>
        </w:rPr>
      </w:pPr>
    </w:p>
    <w:p w14:paraId="45CF042C">
      <w:pPr>
        <w:pStyle w:val="38"/>
        <w:snapToGrid w:val="0"/>
        <w:ind w:firstLine="340"/>
        <w:textAlignment w:val="baseline"/>
      </w:pPr>
    </w:p>
    <w:p w14:paraId="2522E74E">
      <w:pPr>
        <w:snapToGrid w:val="0"/>
        <w:jc w:val="center"/>
        <w:textAlignment w:val="baseline"/>
        <w:rPr>
          <w:rFonts w:hAnsi="宋体"/>
          <w:b/>
          <w:sz w:val="30"/>
          <w:szCs w:val="30"/>
        </w:rPr>
      </w:pPr>
    </w:p>
    <w:p w14:paraId="6BE43406">
      <w:pPr>
        <w:snapToGrid w:val="0"/>
        <w:jc w:val="center"/>
        <w:textAlignment w:val="baseline"/>
        <w:rPr>
          <w:rFonts w:hAnsi="宋体"/>
          <w:b/>
          <w:sz w:val="30"/>
          <w:szCs w:val="30"/>
        </w:rPr>
      </w:pPr>
    </w:p>
    <w:p w14:paraId="629F6065">
      <w:pPr>
        <w:pStyle w:val="38"/>
        <w:snapToGrid w:val="0"/>
        <w:ind w:firstLine="340"/>
        <w:textAlignment w:val="baseline"/>
      </w:pPr>
    </w:p>
    <w:p w14:paraId="4BAE68D8">
      <w:pPr>
        <w:snapToGrid w:val="0"/>
        <w:jc w:val="center"/>
        <w:textAlignment w:val="baseline"/>
        <w:rPr>
          <w:rFonts w:hAnsi="宋体"/>
          <w:b/>
          <w:sz w:val="30"/>
          <w:szCs w:val="30"/>
        </w:rPr>
      </w:pPr>
    </w:p>
    <w:p w14:paraId="514888D7">
      <w:pPr>
        <w:snapToGrid w:val="0"/>
        <w:jc w:val="center"/>
        <w:textAlignment w:val="baseline"/>
        <w:rPr>
          <w:rFonts w:hAnsi="宋体"/>
          <w:b/>
          <w:sz w:val="30"/>
          <w:szCs w:val="30"/>
        </w:rPr>
      </w:pPr>
    </w:p>
    <w:p w14:paraId="60790009">
      <w:pPr>
        <w:snapToGrid w:val="0"/>
        <w:jc w:val="center"/>
        <w:textAlignment w:val="baseline"/>
        <w:rPr>
          <w:rFonts w:hAnsi="宋体"/>
          <w:b/>
          <w:sz w:val="30"/>
          <w:szCs w:val="30"/>
        </w:rPr>
      </w:pPr>
    </w:p>
    <w:p w14:paraId="57EF18AD">
      <w:pPr>
        <w:numPr>
          <w:ilvl w:val="0"/>
          <w:numId w:val="0"/>
        </w:numPr>
        <w:snapToGrid w:val="0"/>
        <w:jc w:val="center"/>
        <w:textAlignment w:val="baseline"/>
        <w:rPr>
          <w:rFonts w:hAnsi="宋体"/>
          <w:b/>
          <w:sz w:val="30"/>
          <w:szCs w:val="30"/>
        </w:rPr>
      </w:pPr>
      <w:bookmarkStart w:id="201" w:name="_Toc13946"/>
      <w:r>
        <w:rPr>
          <w:rFonts w:hint="eastAsia" w:hAnsi="宋体"/>
          <w:b/>
          <w:sz w:val="30"/>
          <w:szCs w:val="30"/>
          <w:lang w:val="en-US" w:eastAsia="zh-CN"/>
        </w:rPr>
        <w:t>8、</w:t>
      </w:r>
      <w:r>
        <w:rPr>
          <w:rFonts w:hint="eastAsia" w:hAnsi="宋体"/>
          <w:b/>
          <w:sz w:val="30"/>
          <w:szCs w:val="30"/>
        </w:rPr>
        <w:t>其他资料</w:t>
      </w:r>
      <w:bookmarkEnd w:id="198"/>
      <w:bookmarkEnd w:id="199"/>
      <w:bookmarkEnd w:id="200"/>
      <w:bookmarkEnd w:id="201"/>
    </w:p>
    <w:p w14:paraId="7CF56DBD">
      <w:pPr>
        <w:pStyle w:val="38"/>
        <w:snapToGrid w:val="0"/>
        <w:ind w:firstLine="340"/>
        <w:textAlignment w:val="baseline"/>
      </w:pPr>
    </w:p>
    <w:p w14:paraId="468975F0">
      <w:pPr>
        <w:snapToGrid w:val="0"/>
        <w:spacing w:after="231" w:line="320" w:lineRule="exact"/>
        <w:jc w:val="center"/>
        <w:textAlignment w:val="baseline"/>
        <w:rPr>
          <w:rFonts w:hAnsi="宋体"/>
          <w:b/>
          <w:bCs/>
          <w:sz w:val="30"/>
          <w:szCs w:val="30"/>
        </w:rPr>
      </w:pPr>
      <w:bookmarkStart w:id="202" w:name="_Toc26613"/>
      <w:bookmarkStart w:id="203" w:name="_Toc25620"/>
      <w:bookmarkStart w:id="204" w:name="_Toc30150"/>
      <w:r>
        <w:rPr>
          <w:rFonts w:hint="eastAsia" w:hAnsi="宋体"/>
          <w:b/>
          <w:bCs/>
          <w:sz w:val="30"/>
          <w:szCs w:val="30"/>
          <w:lang w:val="en-US" w:eastAsia="zh-CN"/>
        </w:rPr>
        <w:t>8</w:t>
      </w:r>
      <w:r>
        <w:rPr>
          <w:rFonts w:hint="eastAsia" w:hAnsi="宋体"/>
          <w:b/>
          <w:bCs/>
          <w:sz w:val="30"/>
          <w:szCs w:val="30"/>
        </w:rPr>
        <w:t>-1. 投标企业情况一览表</w:t>
      </w:r>
      <w:bookmarkEnd w:id="202"/>
      <w:bookmarkEnd w:id="203"/>
      <w:bookmarkEnd w:id="204"/>
    </w:p>
    <w:p w14:paraId="653ABEE6">
      <w:pPr>
        <w:snapToGrid w:val="0"/>
        <w:spacing w:line="320" w:lineRule="exact"/>
        <w:jc w:val="center"/>
        <w:textAlignment w:val="baseline"/>
        <w:rPr>
          <w:rFonts w:hAnsi="宋体"/>
          <w:sz w:val="24"/>
          <w:szCs w:val="24"/>
        </w:rPr>
      </w:pPr>
    </w:p>
    <w:tbl>
      <w:tblPr>
        <w:tblStyle w:val="40"/>
        <w:tblW w:w="0" w:type="auto"/>
        <w:tblInd w:w="-25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35"/>
        <w:gridCol w:w="1035"/>
        <w:gridCol w:w="1696"/>
        <w:gridCol w:w="696"/>
        <w:gridCol w:w="502"/>
        <w:gridCol w:w="1356"/>
        <w:gridCol w:w="876"/>
        <w:gridCol w:w="1324"/>
      </w:tblGrid>
      <w:tr w14:paraId="012274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65CCBC72">
            <w:pPr>
              <w:snapToGrid w:val="0"/>
              <w:jc w:val="center"/>
              <w:textAlignment w:val="baseline"/>
              <w:rPr>
                <w:rFonts w:hAnsi="宋体"/>
                <w:sz w:val="24"/>
              </w:rPr>
            </w:pPr>
            <w:r>
              <w:rPr>
                <w:rFonts w:hint="eastAsia" w:hAnsi="宋体"/>
                <w:sz w:val="24"/>
              </w:rPr>
              <w:t>投标人名称</w:t>
            </w:r>
          </w:p>
        </w:tc>
        <w:tc>
          <w:tcPr>
            <w:tcW w:w="7485" w:type="dxa"/>
            <w:gridSpan w:val="7"/>
            <w:vAlign w:val="center"/>
          </w:tcPr>
          <w:p w14:paraId="3A7302C0">
            <w:pPr>
              <w:snapToGrid w:val="0"/>
              <w:jc w:val="center"/>
              <w:textAlignment w:val="baseline"/>
              <w:rPr>
                <w:rFonts w:hAnsi="宋体"/>
                <w:sz w:val="24"/>
              </w:rPr>
            </w:pPr>
          </w:p>
        </w:tc>
      </w:tr>
      <w:tr w14:paraId="63B215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2D8033DD">
            <w:pPr>
              <w:snapToGrid w:val="0"/>
              <w:jc w:val="center"/>
              <w:textAlignment w:val="baseline"/>
              <w:rPr>
                <w:rFonts w:hAnsi="宋体"/>
                <w:sz w:val="24"/>
              </w:rPr>
            </w:pPr>
            <w:r>
              <w:rPr>
                <w:rFonts w:hint="eastAsia" w:hAnsi="宋体"/>
                <w:sz w:val="24"/>
              </w:rPr>
              <w:t>注册地址</w:t>
            </w:r>
          </w:p>
        </w:tc>
        <w:tc>
          <w:tcPr>
            <w:tcW w:w="3929" w:type="dxa"/>
            <w:gridSpan w:val="4"/>
            <w:vAlign w:val="center"/>
          </w:tcPr>
          <w:p w14:paraId="679B5524">
            <w:pPr>
              <w:snapToGrid w:val="0"/>
              <w:jc w:val="center"/>
              <w:textAlignment w:val="baseline"/>
              <w:rPr>
                <w:rFonts w:hAnsi="宋体"/>
                <w:sz w:val="24"/>
              </w:rPr>
            </w:pPr>
          </w:p>
        </w:tc>
        <w:tc>
          <w:tcPr>
            <w:tcW w:w="1356" w:type="dxa"/>
            <w:vAlign w:val="center"/>
          </w:tcPr>
          <w:p w14:paraId="2379E39C">
            <w:pPr>
              <w:snapToGrid w:val="0"/>
              <w:jc w:val="center"/>
              <w:textAlignment w:val="baseline"/>
              <w:rPr>
                <w:rFonts w:hAnsi="宋体"/>
                <w:sz w:val="24"/>
              </w:rPr>
            </w:pPr>
            <w:r>
              <w:rPr>
                <w:rFonts w:hint="eastAsia" w:hAnsi="宋体"/>
                <w:sz w:val="24"/>
              </w:rPr>
              <w:t>邮政编码</w:t>
            </w:r>
          </w:p>
        </w:tc>
        <w:tc>
          <w:tcPr>
            <w:tcW w:w="2200" w:type="dxa"/>
            <w:gridSpan w:val="2"/>
            <w:vAlign w:val="center"/>
          </w:tcPr>
          <w:p w14:paraId="16F28656">
            <w:pPr>
              <w:snapToGrid w:val="0"/>
              <w:jc w:val="center"/>
              <w:textAlignment w:val="baseline"/>
              <w:rPr>
                <w:rFonts w:hAnsi="宋体"/>
                <w:sz w:val="24"/>
              </w:rPr>
            </w:pPr>
          </w:p>
        </w:tc>
      </w:tr>
      <w:tr w14:paraId="28ABB6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restart"/>
            <w:vAlign w:val="center"/>
          </w:tcPr>
          <w:p w14:paraId="47048D67">
            <w:pPr>
              <w:snapToGrid w:val="0"/>
              <w:jc w:val="center"/>
              <w:textAlignment w:val="baseline"/>
              <w:rPr>
                <w:rFonts w:hAnsi="宋体"/>
                <w:sz w:val="24"/>
              </w:rPr>
            </w:pPr>
            <w:r>
              <w:rPr>
                <w:rFonts w:hint="eastAsia" w:hAnsi="宋体"/>
                <w:sz w:val="24"/>
              </w:rPr>
              <w:t>联系方式</w:t>
            </w:r>
          </w:p>
        </w:tc>
        <w:tc>
          <w:tcPr>
            <w:tcW w:w="1035" w:type="dxa"/>
            <w:vAlign w:val="center"/>
          </w:tcPr>
          <w:p w14:paraId="7006079D">
            <w:pPr>
              <w:snapToGrid w:val="0"/>
              <w:jc w:val="center"/>
              <w:textAlignment w:val="baseline"/>
              <w:rPr>
                <w:rFonts w:hAnsi="宋体"/>
                <w:sz w:val="24"/>
              </w:rPr>
            </w:pPr>
            <w:r>
              <w:rPr>
                <w:rFonts w:hint="eastAsia" w:hAnsi="宋体"/>
                <w:sz w:val="24"/>
              </w:rPr>
              <w:t>联系人</w:t>
            </w:r>
          </w:p>
        </w:tc>
        <w:tc>
          <w:tcPr>
            <w:tcW w:w="2894" w:type="dxa"/>
            <w:gridSpan w:val="3"/>
            <w:vAlign w:val="center"/>
          </w:tcPr>
          <w:p w14:paraId="11F988DD">
            <w:pPr>
              <w:snapToGrid w:val="0"/>
              <w:jc w:val="center"/>
              <w:textAlignment w:val="baseline"/>
              <w:rPr>
                <w:rFonts w:hAnsi="宋体"/>
                <w:sz w:val="24"/>
              </w:rPr>
            </w:pPr>
          </w:p>
        </w:tc>
        <w:tc>
          <w:tcPr>
            <w:tcW w:w="1356" w:type="dxa"/>
            <w:vAlign w:val="center"/>
          </w:tcPr>
          <w:p w14:paraId="46524786">
            <w:pPr>
              <w:snapToGrid w:val="0"/>
              <w:jc w:val="center"/>
              <w:textAlignment w:val="baseline"/>
              <w:rPr>
                <w:rFonts w:hAnsi="宋体"/>
                <w:sz w:val="24"/>
              </w:rPr>
            </w:pPr>
            <w:r>
              <w:rPr>
                <w:rFonts w:hint="eastAsia" w:hAnsi="宋体"/>
                <w:sz w:val="24"/>
              </w:rPr>
              <w:t>联系电话</w:t>
            </w:r>
          </w:p>
        </w:tc>
        <w:tc>
          <w:tcPr>
            <w:tcW w:w="2200" w:type="dxa"/>
            <w:gridSpan w:val="2"/>
            <w:vAlign w:val="center"/>
          </w:tcPr>
          <w:p w14:paraId="4A0B5FB6">
            <w:pPr>
              <w:snapToGrid w:val="0"/>
              <w:jc w:val="center"/>
              <w:textAlignment w:val="baseline"/>
              <w:rPr>
                <w:rFonts w:hAnsi="宋体"/>
                <w:sz w:val="24"/>
              </w:rPr>
            </w:pPr>
          </w:p>
        </w:tc>
      </w:tr>
      <w:tr w14:paraId="1BD517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continue"/>
            <w:vAlign w:val="center"/>
          </w:tcPr>
          <w:p w14:paraId="78B67292">
            <w:pPr>
              <w:snapToGrid w:val="0"/>
              <w:jc w:val="center"/>
              <w:textAlignment w:val="baseline"/>
              <w:rPr>
                <w:rFonts w:hAnsi="宋体"/>
                <w:sz w:val="24"/>
              </w:rPr>
            </w:pPr>
          </w:p>
        </w:tc>
        <w:tc>
          <w:tcPr>
            <w:tcW w:w="1035" w:type="dxa"/>
            <w:vAlign w:val="center"/>
          </w:tcPr>
          <w:p w14:paraId="4058894E">
            <w:pPr>
              <w:snapToGrid w:val="0"/>
              <w:jc w:val="center"/>
              <w:textAlignment w:val="baseline"/>
              <w:rPr>
                <w:rFonts w:hAnsi="宋体"/>
                <w:sz w:val="24"/>
              </w:rPr>
            </w:pPr>
            <w:r>
              <w:rPr>
                <w:rFonts w:hint="eastAsia" w:hAnsi="宋体"/>
                <w:sz w:val="24"/>
              </w:rPr>
              <w:t>传  真</w:t>
            </w:r>
          </w:p>
        </w:tc>
        <w:tc>
          <w:tcPr>
            <w:tcW w:w="2894" w:type="dxa"/>
            <w:gridSpan w:val="3"/>
            <w:vAlign w:val="center"/>
          </w:tcPr>
          <w:p w14:paraId="14BBA9BB">
            <w:pPr>
              <w:snapToGrid w:val="0"/>
              <w:jc w:val="center"/>
              <w:textAlignment w:val="baseline"/>
              <w:rPr>
                <w:rFonts w:hAnsi="宋体"/>
                <w:sz w:val="24"/>
              </w:rPr>
            </w:pPr>
          </w:p>
        </w:tc>
        <w:tc>
          <w:tcPr>
            <w:tcW w:w="1356" w:type="dxa"/>
            <w:vAlign w:val="center"/>
          </w:tcPr>
          <w:p w14:paraId="168A8D43">
            <w:pPr>
              <w:snapToGrid w:val="0"/>
              <w:jc w:val="center"/>
              <w:textAlignment w:val="baseline"/>
              <w:rPr>
                <w:rFonts w:hAnsi="宋体"/>
                <w:sz w:val="24"/>
              </w:rPr>
            </w:pPr>
            <w:r>
              <w:rPr>
                <w:rFonts w:hint="eastAsia" w:hAnsi="宋体"/>
                <w:sz w:val="24"/>
              </w:rPr>
              <w:t>网址/邮箱</w:t>
            </w:r>
          </w:p>
        </w:tc>
        <w:tc>
          <w:tcPr>
            <w:tcW w:w="2200" w:type="dxa"/>
            <w:gridSpan w:val="2"/>
            <w:vAlign w:val="center"/>
          </w:tcPr>
          <w:p w14:paraId="113B5362">
            <w:pPr>
              <w:snapToGrid w:val="0"/>
              <w:jc w:val="center"/>
              <w:textAlignment w:val="baseline"/>
              <w:rPr>
                <w:rFonts w:hAnsi="宋体"/>
                <w:sz w:val="24"/>
              </w:rPr>
            </w:pPr>
          </w:p>
        </w:tc>
      </w:tr>
      <w:tr w14:paraId="3C5E02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58F2799A">
            <w:pPr>
              <w:snapToGrid w:val="0"/>
              <w:jc w:val="center"/>
              <w:textAlignment w:val="baseline"/>
              <w:rPr>
                <w:rFonts w:hAnsi="宋体"/>
                <w:sz w:val="24"/>
              </w:rPr>
            </w:pPr>
            <w:r>
              <w:rPr>
                <w:rFonts w:hint="eastAsia" w:hAnsi="宋体"/>
                <w:sz w:val="24"/>
              </w:rPr>
              <w:t>组织结构</w:t>
            </w:r>
          </w:p>
        </w:tc>
        <w:tc>
          <w:tcPr>
            <w:tcW w:w="7485" w:type="dxa"/>
            <w:gridSpan w:val="7"/>
            <w:vAlign w:val="center"/>
          </w:tcPr>
          <w:p w14:paraId="154D86E7">
            <w:pPr>
              <w:snapToGrid w:val="0"/>
              <w:jc w:val="center"/>
              <w:textAlignment w:val="baseline"/>
              <w:rPr>
                <w:rFonts w:hAnsi="宋体"/>
                <w:sz w:val="24"/>
              </w:rPr>
            </w:pPr>
          </w:p>
        </w:tc>
      </w:tr>
      <w:tr w14:paraId="13A1A5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5EED2C58">
            <w:pPr>
              <w:snapToGrid w:val="0"/>
              <w:jc w:val="center"/>
              <w:textAlignment w:val="baseline"/>
              <w:rPr>
                <w:rFonts w:hAnsi="宋体"/>
                <w:sz w:val="24"/>
              </w:rPr>
            </w:pPr>
            <w:r>
              <w:rPr>
                <w:rFonts w:hint="eastAsia" w:hAnsi="宋体"/>
                <w:sz w:val="24"/>
              </w:rPr>
              <w:t>法定代表人</w:t>
            </w:r>
          </w:p>
        </w:tc>
        <w:tc>
          <w:tcPr>
            <w:tcW w:w="1035" w:type="dxa"/>
            <w:vAlign w:val="center"/>
          </w:tcPr>
          <w:p w14:paraId="552E048A">
            <w:pPr>
              <w:snapToGrid w:val="0"/>
              <w:jc w:val="center"/>
              <w:textAlignment w:val="baseline"/>
              <w:rPr>
                <w:rFonts w:hAnsi="宋体"/>
                <w:sz w:val="24"/>
              </w:rPr>
            </w:pPr>
            <w:r>
              <w:rPr>
                <w:rFonts w:hint="eastAsia" w:hAnsi="宋体"/>
                <w:sz w:val="24"/>
              </w:rPr>
              <w:t>姓名</w:t>
            </w:r>
          </w:p>
        </w:tc>
        <w:tc>
          <w:tcPr>
            <w:tcW w:w="1696" w:type="dxa"/>
            <w:vAlign w:val="center"/>
          </w:tcPr>
          <w:p w14:paraId="18A2BAEA">
            <w:pPr>
              <w:snapToGrid w:val="0"/>
              <w:jc w:val="center"/>
              <w:textAlignment w:val="baseline"/>
              <w:rPr>
                <w:rFonts w:hAnsi="宋体"/>
                <w:sz w:val="24"/>
              </w:rPr>
            </w:pPr>
          </w:p>
        </w:tc>
        <w:tc>
          <w:tcPr>
            <w:tcW w:w="1198" w:type="dxa"/>
            <w:gridSpan w:val="2"/>
            <w:vAlign w:val="center"/>
          </w:tcPr>
          <w:p w14:paraId="15F43DFD">
            <w:pPr>
              <w:snapToGrid w:val="0"/>
              <w:jc w:val="center"/>
              <w:textAlignment w:val="baseline"/>
              <w:rPr>
                <w:rFonts w:hAnsi="宋体"/>
                <w:sz w:val="24"/>
              </w:rPr>
            </w:pPr>
            <w:r>
              <w:rPr>
                <w:rFonts w:hint="eastAsia" w:hAnsi="宋体"/>
                <w:sz w:val="24"/>
              </w:rPr>
              <w:t>技术职称</w:t>
            </w:r>
          </w:p>
        </w:tc>
        <w:tc>
          <w:tcPr>
            <w:tcW w:w="1356" w:type="dxa"/>
            <w:vAlign w:val="center"/>
          </w:tcPr>
          <w:p w14:paraId="370DD6A2">
            <w:pPr>
              <w:snapToGrid w:val="0"/>
              <w:jc w:val="center"/>
              <w:textAlignment w:val="baseline"/>
              <w:rPr>
                <w:rFonts w:hAnsi="宋体"/>
                <w:sz w:val="24"/>
              </w:rPr>
            </w:pPr>
          </w:p>
        </w:tc>
        <w:tc>
          <w:tcPr>
            <w:tcW w:w="876" w:type="dxa"/>
            <w:vAlign w:val="center"/>
          </w:tcPr>
          <w:p w14:paraId="1792A8CC">
            <w:pPr>
              <w:snapToGrid w:val="0"/>
              <w:jc w:val="center"/>
              <w:textAlignment w:val="baseline"/>
              <w:rPr>
                <w:rFonts w:hAnsi="宋体"/>
                <w:sz w:val="24"/>
              </w:rPr>
            </w:pPr>
            <w:r>
              <w:rPr>
                <w:rFonts w:hint="eastAsia" w:hAnsi="宋体"/>
                <w:sz w:val="24"/>
              </w:rPr>
              <w:t>电话</w:t>
            </w:r>
          </w:p>
        </w:tc>
        <w:tc>
          <w:tcPr>
            <w:tcW w:w="1324" w:type="dxa"/>
            <w:vAlign w:val="center"/>
          </w:tcPr>
          <w:p w14:paraId="42831736">
            <w:pPr>
              <w:snapToGrid w:val="0"/>
              <w:jc w:val="center"/>
              <w:textAlignment w:val="baseline"/>
              <w:rPr>
                <w:rFonts w:hAnsi="宋体"/>
                <w:sz w:val="24"/>
              </w:rPr>
            </w:pPr>
          </w:p>
        </w:tc>
      </w:tr>
      <w:tr w14:paraId="3DCEB3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1456A416">
            <w:pPr>
              <w:snapToGrid w:val="0"/>
              <w:jc w:val="center"/>
              <w:textAlignment w:val="baseline"/>
              <w:rPr>
                <w:rFonts w:hAnsi="宋体"/>
                <w:sz w:val="24"/>
              </w:rPr>
            </w:pPr>
            <w:r>
              <w:rPr>
                <w:rFonts w:hint="eastAsia" w:hAnsi="宋体"/>
                <w:sz w:val="24"/>
              </w:rPr>
              <w:t>技术负责人</w:t>
            </w:r>
          </w:p>
        </w:tc>
        <w:tc>
          <w:tcPr>
            <w:tcW w:w="1035" w:type="dxa"/>
            <w:vAlign w:val="center"/>
          </w:tcPr>
          <w:p w14:paraId="01E394F3">
            <w:pPr>
              <w:snapToGrid w:val="0"/>
              <w:jc w:val="center"/>
              <w:textAlignment w:val="baseline"/>
              <w:rPr>
                <w:rFonts w:hAnsi="宋体"/>
                <w:sz w:val="24"/>
              </w:rPr>
            </w:pPr>
            <w:r>
              <w:rPr>
                <w:rFonts w:hint="eastAsia" w:hAnsi="宋体"/>
                <w:sz w:val="24"/>
              </w:rPr>
              <w:t>姓名</w:t>
            </w:r>
          </w:p>
        </w:tc>
        <w:tc>
          <w:tcPr>
            <w:tcW w:w="1696" w:type="dxa"/>
            <w:vAlign w:val="center"/>
          </w:tcPr>
          <w:p w14:paraId="334610B4">
            <w:pPr>
              <w:snapToGrid w:val="0"/>
              <w:jc w:val="center"/>
              <w:textAlignment w:val="baseline"/>
              <w:rPr>
                <w:rFonts w:hAnsi="宋体"/>
                <w:sz w:val="24"/>
              </w:rPr>
            </w:pPr>
          </w:p>
        </w:tc>
        <w:tc>
          <w:tcPr>
            <w:tcW w:w="1198" w:type="dxa"/>
            <w:gridSpan w:val="2"/>
            <w:vAlign w:val="center"/>
          </w:tcPr>
          <w:p w14:paraId="63B4C586">
            <w:pPr>
              <w:snapToGrid w:val="0"/>
              <w:jc w:val="center"/>
              <w:textAlignment w:val="baseline"/>
              <w:rPr>
                <w:rFonts w:hAnsi="宋体"/>
                <w:sz w:val="24"/>
              </w:rPr>
            </w:pPr>
            <w:r>
              <w:rPr>
                <w:rFonts w:hint="eastAsia" w:hAnsi="宋体"/>
                <w:sz w:val="24"/>
              </w:rPr>
              <w:t>技术职称</w:t>
            </w:r>
          </w:p>
        </w:tc>
        <w:tc>
          <w:tcPr>
            <w:tcW w:w="1356" w:type="dxa"/>
            <w:vAlign w:val="center"/>
          </w:tcPr>
          <w:p w14:paraId="46AA67D6">
            <w:pPr>
              <w:snapToGrid w:val="0"/>
              <w:jc w:val="center"/>
              <w:textAlignment w:val="baseline"/>
              <w:rPr>
                <w:rFonts w:hAnsi="宋体"/>
                <w:sz w:val="24"/>
              </w:rPr>
            </w:pPr>
          </w:p>
        </w:tc>
        <w:tc>
          <w:tcPr>
            <w:tcW w:w="876" w:type="dxa"/>
            <w:vAlign w:val="center"/>
          </w:tcPr>
          <w:p w14:paraId="66EA772C">
            <w:pPr>
              <w:snapToGrid w:val="0"/>
              <w:jc w:val="center"/>
              <w:textAlignment w:val="baseline"/>
              <w:rPr>
                <w:rFonts w:hAnsi="宋体"/>
                <w:sz w:val="24"/>
              </w:rPr>
            </w:pPr>
            <w:r>
              <w:rPr>
                <w:rFonts w:hint="eastAsia" w:hAnsi="宋体"/>
                <w:sz w:val="24"/>
              </w:rPr>
              <w:t>电话</w:t>
            </w:r>
          </w:p>
        </w:tc>
        <w:tc>
          <w:tcPr>
            <w:tcW w:w="1324" w:type="dxa"/>
            <w:vAlign w:val="center"/>
          </w:tcPr>
          <w:p w14:paraId="623457B8">
            <w:pPr>
              <w:snapToGrid w:val="0"/>
              <w:jc w:val="center"/>
              <w:textAlignment w:val="baseline"/>
              <w:rPr>
                <w:rFonts w:hAnsi="宋体"/>
                <w:sz w:val="24"/>
              </w:rPr>
            </w:pPr>
          </w:p>
        </w:tc>
      </w:tr>
      <w:tr w14:paraId="6A14AA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61E0D0BE">
            <w:pPr>
              <w:snapToGrid w:val="0"/>
              <w:jc w:val="center"/>
              <w:textAlignment w:val="baseline"/>
              <w:rPr>
                <w:rFonts w:hAnsi="宋体"/>
                <w:sz w:val="24"/>
              </w:rPr>
            </w:pPr>
            <w:r>
              <w:rPr>
                <w:rFonts w:hint="eastAsia" w:hAnsi="宋体"/>
                <w:sz w:val="24"/>
              </w:rPr>
              <w:t>成立时间</w:t>
            </w:r>
          </w:p>
        </w:tc>
        <w:tc>
          <w:tcPr>
            <w:tcW w:w="2731" w:type="dxa"/>
            <w:gridSpan w:val="2"/>
            <w:vAlign w:val="center"/>
          </w:tcPr>
          <w:p w14:paraId="04429C26">
            <w:pPr>
              <w:snapToGrid w:val="0"/>
              <w:jc w:val="center"/>
              <w:textAlignment w:val="baseline"/>
              <w:rPr>
                <w:rFonts w:hAnsi="宋体"/>
                <w:sz w:val="24"/>
              </w:rPr>
            </w:pPr>
          </w:p>
        </w:tc>
        <w:tc>
          <w:tcPr>
            <w:tcW w:w="4754" w:type="dxa"/>
            <w:gridSpan w:val="5"/>
            <w:vAlign w:val="center"/>
          </w:tcPr>
          <w:p w14:paraId="02318056">
            <w:pPr>
              <w:snapToGrid w:val="0"/>
              <w:textAlignment w:val="baseline"/>
              <w:rPr>
                <w:rFonts w:hAnsi="宋体"/>
                <w:sz w:val="24"/>
              </w:rPr>
            </w:pPr>
            <w:r>
              <w:rPr>
                <w:rFonts w:hint="eastAsia" w:hAnsi="宋体"/>
                <w:sz w:val="24"/>
              </w:rPr>
              <w:t>员工总人数：</w:t>
            </w:r>
          </w:p>
        </w:tc>
      </w:tr>
      <w:tr w14:paraId="13DB36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74B36805">
            <w:pPr>
              <w:snapToGrid w:val="0"/>
              <w:jc w:val="center"/>
              <w:textAlignment w:val="baseline"/>
              <w:rPr>
                <w:rFonts w:hAnsi="宋体"/>
                <w:sz w:val="24"/>
              </w:rPr>
            </w:pPr>
            <w:r>
              <w:rPr>
                <w:rFonts w:hint="eastAsia" w:hAnsi="宋体"/>
                <w:sz w:val="24"/>
              </w:rPr>
              <w:t>营业执照号</w:t>
            </w:r>
          </w:p>
        </w:tc>
        <w:tc>
          <w:tcPr>
            <w:tcW w:w="2731" w:type="dxa"/>
            <w:gridSpan w:val="2"/>
            <w:vAlign w:val="center"/>
          </w:tcPr>
          <w:p w14:paraId="390D6B16">
            <w:pPr>
              <w:snapToGrid w:val="0"/>
              <w:jc w:val="center"/>
              <w:textAlignment w:val="baseline"/>
              <w:rPr>
                <w:rFonts w:hAnsi="宋体"/>
                <w:sz w:val="24"/>
              </w:rPr>
            </w:pPr>
          </w:p>
        </w:tc>
        <w:tc>
          <w:tcPr>
            <w:tcW w:w="696" w:type="dxa"/>
            <w:vMerge w:val="restart"/>
            <w:vAlign w:val="center"/>
          </w:tcPr>
          <w:p w14:paraId="2035F87A">
            <w:pPr>
              <w:snapToGrid w:val="0"/>
              <w:jc w:val="center"/>
              <w:textAlignment w:val="baseline"/>
              <w:rPr>
                <w:rFonts w:hAnsi="宋体"/>
                <w:sz w:val="24"/>
              </w:rPr>
            </w:pPr>
            <w:r>
              <w:rPr>
                <w:rFonts w:hint="eastAsia" w:hAnsi="宋体"/>
                <w:sz w:val="24"/>
              </w:rPr>
              <w:t>其中</w:t>
            </w:r>
          </w:p>
        </w:tc>
        <w:tc>
          <w:tcPr>
            <w:tcW w:w="1858" w:type="dxa"/>
            <w:gridSpan w:val="2"/>
            <w:vAlign w:val="center"/>
          </w:tcPr>
          <w:p w14:paraId="1761B993">
            <w:pPr>
              <w:snapToGrid w:val="0"/>
              <w:jc w:val="center"/>
              <w:textAlignment w:val="baseline"/>
              <w:rPr>
                <w:rFonts w:hAnsi="宋体"/>
                <w:sz w:val="24"/>
              </w:rPr>
            </w:pPr>
            <w:r>
              <w:rPr>
                <w:rFonts w:hint="eastAsia" w:hAnsi="宋体"/>
                <w:sz w:val="24"/>
              </w:rPr>
              <w:t>高级职称人员</w:t>
            </w:r>
          </w:p>
        </w:tc>
        <w:tc>
          <w:tcPr>
            <w:tcW w:w="2200" w:type="dxa"/>
            <w:gridSpan w:val="2"/>
            <w:vAlign w:val="center"/>
          </w:tcPr>
          <w:p w14:paraId="2E154213">
            <w:pPr>
              <w:snapToGrid w:val="0"/>
              <w:jc w:val="center"/>
              <w:textAlignment w:val="baseline"/>
              <w:rPr>
                <w:rFonts w:hAnsi="宋体"/>
                <w:sz w:val="24"/>
              </w:rPr>
            </w:pPr>
          </w:p>
        </w:tc>
      </w:tr>
      <w:tr w14:paraId="6E2FF7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220AE870">
            <w:pPr>
              <w:snapToGrid w:val="0"/>
              <w:jc w:val="center"/>
              <w:textAlignment w:val="baseline"/>
              <w:rPr>
                <w:rFonts w:hAnsi="宋体"/>
                <w:sz w:val="24"/>
              </w:rPr>
            </w:pPr>
            <w:r>
              <w:rPr>
                <w:rFonts w:hint="eastAsia" w:hAnsi="宋体"/>
                <w:sz w:val="24"/>
              </w:rPr>
              <w:t>注册资金</w:t>
            </w:r>
          </w:p>
        </w:tc>
        <w:tc>
          <w:tcPr>
            <w:tcW w:w="2731" w:type="dxa"/>
            <w:gridSpan w:val="2"/>
            <w:vAlign w:val="center"/>
          </w:tcPr>
          <w:p w14:paraId="6A3CE2F7">
            <w:pPr>
              <w:snapToGrid w:val="0"/>
              <w:jc w:val="center"/>
              <w:textAlignment w:val="baseline"/>
              <w:rPr>
                <w:rFonts w:hAnsi="宋体"/>
                <w:sz w:val="24"/>
              </w:rPr>
            </w:pPr>
          </w:p>
        </w:tc>
        <w:tc>
          <w:tcPr>
            <w:tcW w:w="696" w:type="dxa"/>
            <w:vMerge w:val="continue"/>
            <w:vAlign w:val="center"/>
          </w:tcPr>
          <w:p w14:paraId="7D49167B">
            <w:pPr>
              <w:snapToGrid w:val="0"/>
              <w:jc w:val="center"/>
              <w:textAlignment w:val="baseline"/>
              <w:rPr>
                <w:rFonts w:hAnsi="宋体"/>
                <w:sz w:val="24"/>
              </w:rPr>
            </w:pPr>
          </w:p>
        </w:tc>
        <w:tc>
          <w:tcPr>
            <w:tcW w:w="1858" w:type="dxa"/>
            <w:gridSpan w:val="2"/>
            <w:vAlign w:val="center"/>
          </w:tcPr>
          <w:p w14:paraId="6699AA9B">
            <w:pPr>
              <w:snapToGrid w:val="0"/>
              <w:jc w:val="center"/>
              <w:textAlignment w:val="baseline"/>
              <w:rPr>
                <w:rFonts w:hAnsi="宋体"/>
                <w:sz w:val="24"/>
              </w:rPr>
            </w:pPr>
            <w:r>
              <w:rPr>
                <w:rFonts w:hint="eastAsia" w:hAnsi="宋体"/>
                <w:sz w:val="24"/>
              </w:rPr>
              <w:t>中级职称人员</w:t>
            </w:r>
          </w:p>
        </w:tc>
        <w:tc>
          <w:tcPr>
            <w:tcW w:w="2200" w:type="dxa"/>
            <w:gridSpan w:val="2"/>
            <w:vAlign w:val="center"/>
          </w:tcPr>
          <w:p w14:paraId="109BF541">
            <w:pPr>
              <w:snapToGrid w:val="0"/>
              <w:jc w:val="center"/>
              <w:textAlignment w:val="baseline"/>
              <w:rPr>
                <w:rFonts w:hAnsi="宋体"/>
                <w:sz w:val="24"/>
              </w:rPr>
            </w:pPr>
          </w:p>
        </w:tc>
      </w:tr>
      <w:tr w14:paraId="4EC576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6E027385">
            <w:pPr>
              <w:snapToGrid w:val="0"/>
              <w:jc w:val="center"/>
              <w:textAlignment w:val="baseline"/>
              <w:rPr>
                <w:rFonts w:hAnsi="宋体"/>
                <w:sz w:val="24"/>
              </w:rPr>
            </w:pPr>
            <w:r>
              <w:rPr>
                <w:rFonts w:hint="eastAsia" w:hAnsi="宋体"/>
                <w:sz w:val="24"/>
              </w:rPr>
              <w:t>开户银行</w:t>
            </w:r>
          </w:p>
        </w:tc>
        <w:tc>
          <w:tcPr>
            <w:tcW w:w="2731" w:type="dxa"/>
            <w:gridSpan w:val="2"/>
            <w:vAlign w:val="center"/>
          </w:tcPr>
          <w:p w14:paraId="1F44F83D">
            <w:pPr>
              <w:snapToGrid w:val="0"/>
              <w:jc w:val="center"/>
              <w:textAlignment w:val="baseline"/>
              <w:rPr>
                <w:rFonts w:hAnsi="宋体"/>
                <w:sz w:val="24"/>
              </w:rPr>
            </w:pPr>
          </w:p>
        </w:tc>
        <w:tc>
          <w:tcPr>
            <w:tcW w:w="696" w:type="dxa"/>
            <w:vMerge w:val="continue"/>
            <w:vAlign w:val="center"/>
          </w:tcPr>
          <w:p w14:paraId="3C3E3E2C">
            <w:pPr>
              <w:snapToGrid w:val="0"/>
              <w:jc w:val="center"/>
              <w:textAlignment w:val="baseline"/>
              <w:rPr>
                <w:rFonts w:hAnsi="宋体"/>
                <w:sz w:val="24"/>
              </w:rPr>
            </w:pPr>
          </w:p>
        </w:tc>
        <w:tc>
          <w:tcPr>
            <w:tcW w:w="1858" w:type="dxa"/>
            <w:gridSpan w:val="2"/>
            <w:vAlign w:val="center"/>
          </w:tcPr>
          <w:p w14:paraId="03530BE5">
            <w:pPr>
              <w:snapToGrid w:val="0"/>
              <w:jc w:val="center"/>
              <w:textAlignment w:val="baseline"/>
              <w:rPr>
                <w:rFonts w:hAnsi="宋体"/>
                <w:sz w:val="24"/>
              </w:rPr>
            </w:pPr>
            <w:r>
              <w:rPr>
                <w:rFonts w:hint="eastAsia" w:hAnsi="宋体"/>
                <w:sz w:val="24"/>
              </w:rPr>
              <w:t>初级职称人员</w:t>
            </w:r>
          </w:p>
        </w:tc>
        <w:tc>
          <w:tcPr>
            <w:tcW w:w="2200" w:type="dxa"/>
            <w:gridSpan w:val="2"/>
            <w:vAlign w:val="center"/>
          </w:tcPr>
          <w:p w14:paraId="060F7C1A">
            <w:pPr>
              <w:snapToGrid w:val="0"/>
              <w:jc w:val="center"/>
              <w:textAlignment w:val="baseline"/>
              <w:rPr>
                <w:rFonts w:hAnsi="宋体"/>
                <w:sz w:val="24"/>
              </w:rPr>
            </w:pPr>
          </w:p>
        </w:tc>
      </w:tr>
      <w:tr w14:paraId="381FD0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0BF8D098">
            <w:pPr>
              <w:snapToGrid w:val="0"/>
              <w:jc w:val="center"/>
              <w:textAlignment w:val="baseline"/>
              <w:rPr>
                <w:rFonts w:hAnsi="宋体"/>
                <w:sz w:val="24"/>
              </w:rPr>
            </w:pPr>
            <w:r>
              <w:rPr>
                <w:rFonts w:hint="eastAsia" w:hAnsi="宋体"/>
                <w:sz w:val="24"/>
              </w:rPr>
              <w:t>银行账号</w:t>
            </w:r>
          </w:p>
        </w:tc>
        <w:tc>
          <w:tcPr>
            <w:tcW w:w="2731" w:type="dxa"/>
            <w:gridSpan w:val="2"/>
            <w:vAlign w:val="center"/>
          </w:tcPr>
          <w:p w14:paraId="4E07C2A4">
            <w:pPr>
              <w:snapToGrid w:val="0"/>
              <w:jc w:val="center"/>
              <w:textAlignment w:val="baseline"/>
              <w:rPr>
                <w:rFonts w:hAnsi="宋体"/>
                <w:sz w:val="24"/>
              </w:rPr>
            </w:pPr>
          </w:p>
        </w:tc>
        <w:tc>
          <w:tcPr>
            <w:tcW w:w="696" w:type="dxa"/>
            <w:vMerge w:val="continue"/>
            <w:vAlign w:val="center"/>
          </w:tcPr>
          <w:p w14:paraId="343FCDA7">
            <w:pPr>
              <w:snapToGrid w:val="0"/>
              <w:jc w:val="center"/>
              <w:textAlignment w:val="baseline"/>
              <w:rPr>
                <w:rFonts w:hAnsi="宋体"/>
                <w:sz w:val="24"/>
              </w:rPr>
            </w:pPr>
          </w:p>
        </w:tc>
        <w:tc>
          <w:tcPr>
            <w:tcW w:w="1858" w:type="dxa"/>
            <w:gridSpan w:val="2"/>
            <w:vAlign w:val="center"/>
          </w:tcPr>
          <w:p w14:paraId="41B43F64">
            <w:pPr>
              <w:snapToGrid w:val="0"/>
              <w:jc w:val="center"/>
              <w:textAlignment w:val="baseline"/>
              <w:rPr>
                <w:rFonts w:hAnsi="宋体"/>
                <w:sz w:val="24"/>
              </w:rPr>
            </w:pPr>
            <w:r>
              <w:rPr>
                <w:rFonts w:hint="eastAsia" w:hAnsi="宋体"/>
                <w:sz w:val="24"/>
              </w:rPr>
              <w:t>技工</w:t>
            </w:r>
          </w:p>
        </w:tc>
        <w:tc>
          <w:tcPr>
            <w:tcW w:w="2200" w:type="dxa"/>
            <w:gridSpan w:val="2"/>
            <w:vAlign w:val="center"/>
          </w:tcPr>
          <w:p w14:paraId="4362B19D">
            <w:pPr>
              <w:snapToGrid w:val="0"/>
              <w:jc w:val="center"/>
              <w:textAlignment w:val="baseline"/>
              <w:rPr>
                <w:rFonts w:hAnsi="宋体"/>
                <w:sz w:val="24"/>
              </w:rPr>
            </w:pPr>
          </w:p>
        </w:tc>
      </w:tr>
      <w:tr w14:paraId="445291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235" w:type="dxa"/>
            <w:vAlign w:val="center"/>
          </w:tcPr>
          <w:p w14:paraId="490C2779">
            <w:pPr>
              <w:snapToGrid w:val="0"/>
              <w:jc w:val="center"/>
              <w:textAlignment w:val="baseline"/>
              <w:rPr>
                <w:rFonts w:hAnsi="宋体"/>
                <w:sz w:val="24"/>
              </w:rPr>
            </w:pPr>
            <w:r>
              <w:rPr>
                <w:rFonts w:hint="eastAsia" w:hAnsi="宋体"/>
                <w:sz w:val="24"/>
              </w:rPr>
              <w:t>经营范围备注</w:t>
            </w:r>
          </w:p>
        </w:tc>
        <w:tc>
          <w:tcPr>
            <w:tcW w:w="7485" w:type="dxa"/>
            <w:gridSpan w:val="7"/>
            <w:vAlign w:val="center"/>
          </w:tcPr>
          <w:p w14:paraId="25CC1203">
            <w:pPr>
              <w:snapToGrid w:val="0"/>
              <w:textAlignment w:val="baseline"/>
              <w:rPr>
                <w:sz w:val="20"/>
              </w:rPr>
            </w:pPr>
          </w:p>
          <w:p w14:paraId="73FF6D8E">
            <w:pPr>
              <w:pStyle w:val="13"/>
              <w:snapToGrid w:val="0"/>
              <w:textAlignment w:val="baseline"/>
            </w:pPr>
          </w:p>
          <w:p w14:paraId="02856581">
            <w:pPr>
              <w:snapToGrid w:val="0"/>
              <w:textAlignment w:val="baseline"/>
              <w:rPr>
                <w:sz w:val="20"/>
              </w:rPr>
            </w:pPr>
          </w:p>
          <w:p w14:paraId="50BCCD54">
            <w:pPr>
              <w:pStyle w:val="13"/>
              <w:snapToGrid w:val="0"/>
              <w:textAlignment w:val="baseline"/>
            </w:pPr>
          </w:p>
        </w:tc>
      </w:tr>
    </w:tbl>
    <w:p w14:paraId="15DB4D1E">
      <w:pPr>
        <w:snapToGrid w:val="0"/>
        <w:spacing w:line="432" w:lineRule="auto"/>
        <w:textAlignment w:val="baseline"/>
        <w:rPr>
          <w:rFonts w:hAnsi="宋体"/>
          <w:sz w:val="24"/>
        </w:rPr>
      </w:pPr>
    </w:p>
    <w:p w14:paraId="09968830">
      <w:pPr>
        <w:snapToGrid w:val="0"/>
        <w:spacing w:line="440" w:lineRule="exact"/>
        <w:textAlignment w:val="baseline"/>
        <w:rPr>
          <w:rFonts w:hAnsi="宋体"/>
          <w:sz w:val="24"/>
          <w:u w:val="single"/>
        </w:rPr>
      </w:pPr>
      <w:r>
        <w:rPr>
          <w:rFonts w:hint="eastAsia" w:hAnsi="宋体"/>
          <w:sz w:val="24"/>
        </w:rPr>
        <w:t>投标人签章</w:t>
      </w:r>
    </w:p>
    <w:p w14:paraId="75EC6096">
      <w:pPr>
        <w:snapToGrid w:val="0"/>
        <w:spacing w:after="231" w:line="320" w:lineRule="exact"/>
        <w:jc w:val="center"/>
        <w:textAlignment w:val="baseline"/>
        <w:rPr>
          <w:rFonts w:hAnsi="宋体"/>
          <w:b/>
          <w:bCs/>
          <w:sz w:val="30"/>
          <w:szCs w:val="30"/>
        </w:rPr>
      </w:pPr>
      <w:r>
        <w:rPr>
          <w:rFonts w:hAnsi="宋体"/>
          <w:b/>
          <w:bCs/>
          <w:sz w:val="32"/>
        </w:rPr>
        <w:br w:type="page"/>
      </w:r>
    </w:p>
    <w:p w14:paraId="68667630">
      <w:pPr>
        <w:snapToGrid w:val="0"/>
        <w:spacing w:after="231" w:line="320" w:lineRule="exact"/>
        <w:jc w:val="center"/>
        <w:textAlignment w:val="baseline"/>
        <w:rPr>
          <w:rFonts w:hint="eastAsia" w:hAnsi="宋体"/>
          <w:b/>
          <w:bCs/>
          <w:sz w:val="30"/>
          <w:szCs w:val="30"/>
          <w:lang w:val="en-US" w:eastAsia="zh-CN"/>
        </w:rPr>
      </w:pPr>
    </w:p>
    <w:p w14:paraId="69514316">
      <w:pPr>
        <w:snapToGrid w:val="0"/>
        <w:spacing w:after="231" w:line="320" w:lineRule="exact"/>
        <w:jc w:val="center"/>
        <w:textAlignment w:val="baseline"/>
        <w:rPr>
          <w:rFonts w:hint="eastAsia" w:hAnsi="宋体"/>
          <w:b/>
          <w:bCs/>
          <w:sz w:val="30"/>
          <w:szCs w:val="30"/>
          <w:lang w:val="en-US" w:eastAsia="zh-CN"/>
        </w:rPr>
      </w:pPr>
    </w:p>
    <w:p w14:paraId="5608713B">
      <w:pPr>
        <w:snapToGrid w:val="0"/>
        <w:spacing w:after="231" w:line="320" w:lineRule="exact"/>
        <w:jc w:val="center"/>
        <w:textAlignment w:val="baseline"/>
        <w:rPr>
          <w:rFonts w:hAnsi="宋体"/>
          <w:b/>
          <w:sz w:val="30"/>
        </w:rPr>
      </w:pPr>
      <w:r>
        <w:rPr>
          <w:rFonts w:hint="eastAsia" w:hAnsi="宋体"/>
          <w:b/>
          <w:bCs/>
          <w:sz w:val="30"/>
          <w:szCs w:val="30"/>
          <w:lang w:val="en-US" w:eastAsia="zh-CN"/>
        </w:rPr>
        <w:t>8</w:t>
      </w:r>
      <w:r>
        <w:rPr>
          <w:rFonts w:hint="eastAsia" w:hAnsi="宋体"/>
          <w:b/>
          <w:bCs/>
          <w:sz w:val="30"/>
          <w:szCs w:val="30"/>
        </w:rPr>
        <w:t>-2与技术、商务等评审计分有关的资料</w:t>
      </w:r>
    </w:p>
    <w:p w14:paraId="23BE734F">
      <w:pPr>
        <w:pStyle w:val="3"/>
        <w:snapToGrid w:val="0"/>
        <w:spacing w:line="440" w:lineRule="exact"/>
        <w:jc w:val="center"/>
        <w:textAlignment w:val="baseline"/>
        <w:rPr>
          <w:rFonts w:hAnsi="宋体"/>
          <w:b/>
          <w:bCs/>
          <w:sz w:val="32"/>
        </w:rPr>
      </w:pPr>
      <w:bookmarkStart w:id="205" w:name="_Toc83626643"/>
    </w:p>
    <w:p w14:paraId="01E6F8FE">
      <w:pPr>
        <w:rPr>
          <w:rFonts w:hAnsi="宋体"/>
          <w:b/>
          <w:bCs/>
          <w:sz w:val="32"/>
        </w:rPr>
      </w:pPr>
    </w:p>
    <w:p w14:paraId="369A8205">
      <w:pPr>
        <w:pStyle w:val="2"/>
        <w:rPr>
          <w:rFonts w:hAnsi="宋体"/>
          <w:b/>
          <w:bCs/>
          <w:sz w:val="32"/>
        </w:rPr>
      </w:pPr>
    </w:p>
    <w:p w14:paraId="191A839F">
      <w:pPr>
        <w:pStyle w:val="2"/>
        <w:rPr>
          <w:rFonts w:hAnsi="宋体"/>
          <w:b/>
          <w:bCs/>
          <w:sz w:val="32"/>
        </w:rPr>
      </w:pPr>
    </w:p>
    <w:p w14:paraId="10198C7B">
      <w:pPr>
        <w:pStyle w:val="2"/>
        <w:rPr>
          <w:rFonts w:hAnsi="宋体"/>
          <w:b/>
          <w:bCs/>
          <w:sz w:val="32"/>
        </w:rPr>
      </w:pPr>
    </w:p>
    <w:p w14:paraId="65D69FA0">
      <w:pPr>
        <w:pStyle w:val="2"/>
        <w:rPr>
          <w:rFonts w:hAnsi="宋体"/>
          <w:b/>
          <w:bCs/>
          <w:sz w:val="32"/>
        </w:rPr>
      </w:pPr>
    </w:p>
    <w:p w14:paraId="6608101D">
      <w:pPr>
        <w:pStyle w:val="2"/>
        <w:rPr>
          <w:rFonts w:hAnsi="宋体"/>
          <w:b/>
          <w:bCs/>
          <w:sz w:val="32"/>
        </w:rPr>
      </w:pPr>
    </w:p>
    <w:p w14:paraId="2E91D3BD">
      <w:pPr>
        <w:pStyle w:val="2"/>
        <w:rPr>
          <w:rFonts w:hAnsi="宋体"/>
          <w:b/>
          <w:bCs/>
          <w:sz w:val="32"/>
        </w:rPr>
      </w:pPr>
    </w:p>
    <w:p w14:paraId="408C39DD">
      <w:pPr>
        <w:pStyle w:val="2"/>
        <w:rPr>
          <w:rFonts w:hAnsi="宋体"/>
          <w:b/>
          <w:bCs/>
          <w:sz w:val="32"/>
        </w:rPr>
      </w:pPr>
    </w:p>
    <w:p w14:paraId="04E17ADA">
      <w:pPr>
        <w:pStyle w:val="2"/>
        <w:rPr>
          <w:rFonts w:hAnsi="宋体"/>
          <w:b/>
          <w:bCs/>
          <w:sz w:val="32"/>
        </w:rPr>
      </w:pPr>
    </w:p>
    <w:p w14:paraId="4661B6AC">
      <w:pPr>
        <w:pStyle w:val="2"/>
        <w:rPr>
          <w:rFonts w:hAnsi="宋体"/>
          <w:b/>
          <w:bCs/>
          <w:sz w:val="32"/>
        </w:rPr>
      </w:pPr>
    </w:p>
    <w:p w14:paraId="67BF870B">
      <w:pPr>
        <w:pStyle w:val="2"/>
        <w:rPr>
          <w:rFonts w:hAnsi="宋体"/>
          <w:b/>
          <w:bCs/>
          <w:sz w:val="32"/>
        </w:rPr>
      </w:pPr>
    </w:p>
    <w:p w14:paraId="3E342219">
      <w:pPr>
        <w:pStyle w:val="2"/>
        <w:rPr>
          <w:rFonts w:hAnsi="宋体"/>
          <w:b/>
          <w:bCs/>
          <w:sz w:val="32"/>
        </w:rPr>
      </w:pPr>
    </w:p>
    <w:p w14:paraId="67912796">
      <w:pPr>
        <w:pStyle w:val="2"/>
        <w:rPr>
          <w:rFonts w:hAnsi="宋体"/>
          <w:b/>
          <w:bCs/>
          <w:sz w:val="32"/>
        </w:rPr>
      </w:pPr>
    </w:p>
    <w:p w14:paraId="216E0EFB">
      <w:pPr>
        <w:pStyle w:val="2"/>
        <w:rPr>
          <w:rFonts w:hAnsi="宋体"/>
          <w:b/>
          <w:bCs/>
          <w:sz w:val="32"/>
        </w:rPr>
      </w:pPr>
    </w:p>
    <w:p w14:paraId="4AA5F7EE">
      <w:pPr>
        <w:pStyle w:val="2"/>
        <w:rPr>
          <w:rFonts w:hAnsi="宋体"/>
          <w:b/>
          <w:bCs/>
          <w:sz w:val="32"/>
        </w:rPr>
      </w:pPr>
    </w:p>
    <w:p w14:paraId="20B7EB32">
      <w:pPr>
        <w:pStyle w:val="2"/>
        <w:rPr>
          <w:rFonts w:hAnsi="宋体"/>
          <w:b/>
          <w:bCs/>
          <w:sz w:val="32"/>
        </w:rPr>
      </w:pPr>
    </w:p>
    <w:p w14:paraId="078753FB">
      <w:pPr>
        <w:pStyle w:val="2"/>
        <w:rPr>
          <w:rFonts w:hAnsi="宋体"/>
          <w:b/>
          <w:bCs/>
          <w:sz w:val="32"/>
        </w:rPr>
      </w:pPr>
    </w:p>
    <w:p w14:paraId="6B7F2B13">
      <w:pPr>
        <w:pStyle w:val="2"/>
        <w:rPr>
          <w:rFonts w:hAnsi="宋体"/>
          <w:b/>
          <w:bCs/>
          <w:sz w:val="32"/>
        </w:rPr>
      </w:pPr>
    </w:p>
    <w:p w14:paraId="65745F4E">
      <w:pPr>
        <w:pStyle w:val="2"/>
        <w:rPr>
          <w:rFonts w:hAnsi="宋体"/>
          <w:b/>
          <w:bCs/>
          <w:sz w:val="32"/>
        </w:rPr>
      </w:pPr>
    </w:p>
    <w:p w14:paraId="3D88A5A2">
      <w:pPr>
        <w:pStyle w:val="2"/>
        <w:rPr>
          <w:rFonts w:hAnsi="宋体"/>
          <w:b/>
          <w:bCs/>
          <w:sz w:val="32"/>
        </w:rPr>
      </w:pPr>
    </w:p>
    <w:p w14:paraId="1A27E4D9">
      <w:pPr>
        <w:pStyle w:val="2"/>
        <w:rPr>
          <w:rFonts w:hAnsi="宋体"/>
          <w:b/>
          <w:bCs/>
          <w:sz w:val="32"/>
        </w:rPr>
      </w:pPr>
    </w:p>
    <w:p w14:paraId="57B74BE0">
      <w:pPr>
        <w:pStyle w:val="2"/>
        <w:rPr>
          <w:rFonts w:hAnsi="宋体"/>
          <w:b/>
          <w:bCs/>
          <w:sz w:val="32"/>
        </w:rPr>
      </w:pPr>
    </w:p>
    <w:p w14:paraId="4F24D0DE">
      <w:pPr>
        <w:pStyle w:val="2"/>
        <w:rPr>
          <w:rFonts w:hAnsi="宋体"/>
          <w:b/>
          <w:bCs/>
          <w:sz w:val="32"/>
        </w:rPr>
      </w:pPr>
    </w:p>
    <w:p w14:paraId="63B22624">
      <w:pPr>
        <w:pStyle w:val="2"/>
        <w:rPr>
          <w:rFonts w:hAnsi="宋体"/>
          <w:b/>
          <w:bCs/>
          <w:sz w:val="32"/>
        </w:rPr>
      </w:pPr>
    </w:p>
    <w:p w14:paraId="77D82184">
      <w:pPr>
        <w:pStyle w:val="2"/>
        <w:rPr>
          <w:rFonts w:hAnsi="宋体"/>
          <w:b/>
          <w:bCs/>
          <w:sz w:val="32"/>
        </w:rPr>
      </w:pPr>
    </w:p>
    <w:p w14:paraId="353BF1DF">
      <w:pPr>
        <w:pStyle w:val="2"/>
        <w:rPr>
          <w:rFonts w:hAnsi="宋体"/>
          <w:b/>
          <w:bCs/>
          <w:sz w:val="32"/>
        </w:rPr>
      </w:pPr>
    </w:p>
    <w:p w14:paraId="44299283">
      <w:pPr>
        <w:pStyle w:val="2"/>
        <w:rPr>
          <w:rFonts w:hAnsi="宋体"/>
          <w:b/>
          <w:bCs/>
          <w:sz w:val="32"/>
        </w:rPr>
      </w:pPr>
    </w:p>
    <w:p w14:paraId="3DD7EA83">
      <w:pPr>
        <w:pStyle w:val="2"/>
        <w:rPr>
          <w:rFonts w:hAnsi="宋体"/>
          <w:b/>
          <w:bCs/>
          <w:sz w:val="32"/>
        </w:rPr>
      </w:pPr>
    </w:p>
    <w:p w14:paraId="5A61F9F6">
      <w:pPr>
        <w:pStyle w:val="2"/>
        <w:rPr>
          <w:rFonts w:hAnsi="宋体"/>
          <w:b/>
          <w:bCs/>
          <w:sz w:val="32"/>
        </w:rPr>
      </w:pPr>
    </w:p>
    <w:p w14:paraId="359BFFDD">
      <w:pPr>
        <w:pStyle w:val="2"/>
        <w:rPr>
          <w:rFonts w:hAnsi="宋体"/>
          <w:b/>
          <w:bCs/>
          <w:sz w:val="32"/>
        </w:rPr>
      </w:pPr>
    </w:p>
    <w:p w14:paraId="28AFE59D">
      <w:pPr>
        <w:pStyle w:val="3"/>
        <w:snapToGrid w:val="0"/>
        <w:spacing w:line="440" w:lineRule="exact"/>
        <w:ind w:firstLine="2891" w:firstLineChars="900"/>
        <w:jc w:val="both"/>
        <w:textAlignment w:val="baseline"/>
        <w:rPr>
          <w:rFonts w:hAnsi="宋体"/>
          <w:b/>
          <w:bCs/>
          <w:sz w:val="32"/>
        </w:rPr>
      </w:pPr>
      <w:bookmarkStart w:id="206" w:name="_Toc83627181"/>
      <w:bookmarkStart w:id="207" w:name="_Toc28148"/>
      <w:r>
        <w:rPr>
          <w:rFonts w:hint="eastAsia" w:hAnsi="宋体"/>
          <w:b/>
          <w:bCs/>
          <w:sz w:val="32"/>
        </w:rPr>
        <w:t>第五章　采购需求</w:t>
      </w:r>
      <w:bookmarkEnd w:id="205"/>
      <w:bookmarkEnd w:id="206"/>
      <w:bookmarkEnd w:id="207"/>
    </w:p>
    <w:p w14:paraId="4222CA57">
      <w:pPr>
        <w:snapToGrid w:val="0"/>
        <w:textAlignment w:val="baseline"/>
        <w:rPr>
          <w:sz w:val="20"/>
        </w:rPr>
      </w:pPr>
    </w:p>
    <w:p w14:paraId="05A908BD">
      <w:pPr>
        <w:pStyle w:val="4"/>
        <w:numPr>
          <w:ilvl w:val="0"/>
          <w:numId w:val="5"/>
        </w:numPr>
        <w:spacing w:before="0" w:after="0" w:line="360" w:lineRule="auto"/>
        <w:ind w:left="6"/>
        <w:jc w:val="left"/>
      </w:pPr>
      <w:r>
        <w:rPr>
          <w:rFonts w:hint="eastAsia" w:ascii="宋体" w:hAnsi="宋体" w:eastAsia="宋体"/>
          <w:bCs w:val="0"/>
          <w:sz w:val="28"/>
        </w:rPr>
        <w:t>技术条款</w:t>
      </w:r>
    </w:p>
    <w:p w14:paraId="78E67FB1">
      <w:pPr>
        <w:snapToGrid w:val="0"/>
        <w:spacing w:line="336" w:lineRule="auto"/>
        <w:ind w:firstLine="480" w:firstLineChars="200"/>
        <w:rPr>
          <w:rFonts w:hAnsi="宋体" w:cs="宋体"/>
          <w:color w:val="auto"/>
          <w:kern w:val="2"/>
          <w:sz w:val="24"/>
          <w:szCs w:val="24"/>
          <w:highlight w:val="none"/>
        </w:rPr>
      </w:pPr>
      <w:r>
        <w:rPr>
          <w:rFonts w:hint="eastAsia" w:hAnsi="宋体" w:cs="宋体"/>
          <w:kern w:val="2"/>
          <w:sz w:val="24"/>
          <w:szCs w:val="24"/>
          <w:highlight w:val="none"/>
        </w:rPr>
        <w:t>1、</w:t>
      </w:r>
      <w:r>
        <w:rPr>
          <w:rFonts w:hint="eastAsia" w:hAnsi="宋体" w:cs="宋体"/>
          <w:kern w:val="2"/>
          <w:sz w:val="24"/>
          <w:szCs w:val="24"/>
          <w:highlight w:val="none"/>
          <w:lang w:eastAsia="zh-CN"/>
        </w:rPr>
        <w:t>本项目</w:t>
      </w:r>
      <w:r>
        <w:rPr>
          <w:rFonts w:hint="eastAsia" w:hAnsi="宋体" w:cs="宋体"/>
          <w:color w:val="auto"/>
          <w:kern w:val="0"/>
          <w:sz w:val="24"/>
          <w:szCs w:val="24"/>
          <w:highlight w:val="none"/>
          <w:lang w:val="en-US" w:eastAsia="zh-CN"/>
        </w:rPr>
        <w:t>投资</w:t>
      </w:r>
      <w:r>
        <w:rPr>
          <w:rFonts w:hint="eastAsia" w:ascii="宋体" w:hAnsi="宋体" w:eastAsia="宋体" w:cs="宋体"/>
          <w:color w:val="auto"/>
          <w:kern w:val="0"/>
          <w:sz w:val="24"/>
          <w:szCs w:val="24"/>
          <w:highlight w:val="none"/>
          <w:lang w:val="en-US" w:eastAsia="zh-CN"/>
        </w:rPr>
        <w:t>额约</w:t>
      </w:r>
      <w:r>
        <w:rPr>
          <w:rFonts w:hint="default"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.6亿元</w:t>
      </w:r>
      <w:r>
        <w:rPr>
          <w:rFonts w:hint="eastAsia" w:hAnsi="宋体" w:cs="宋体"/>
          <w:color w:val="auto"/>
          <w:kern w:val="0"/>
          <w:sz w:val="24"/>
          <w:szCs w:val="24"/>
          <w:highlight w:val="none"/>
          <w:lang w:val="en-US" w:eastAsia="zh-CN"/>
        </w:rPr>
        <w:t>。</w:t>
      </w:r>
      <w:r>
        <w:rPr>
          <w:rFonts w:hint="eastAsia" w:hAnsi="宋体" w:cs="宋体"/>
          <w:kern w:val="2"/>
          <w:sz w:val="24"/>
          <w:szCs w:val="24"/>
          <w:highlight w:val="none"/>
          <w:lang w:eastAsia="zh-CN"/>
        </w:rPr>
        <w:t>招标范围</w:t>
      </w:r>
      <w:r>
        <w:rPr>
          <w:rFonts w:hint="eastAsia" w:hAnsi="宋体" w:cs="宋体"/>
          <w:kern w:val="2"/>
          <w:sz w:val="24"/>
          <w:szCs w:val="24"/>
          <w:highlight w:val="none"/>
        </w:rPr>
        <w:t>：</w:t>
      </w:r>
      <w:r>
        <w:rPr>
          <w:rFonts w:hint="eastAsia" w:hAnsi="宋体" w:cs="宋体"/>
          <w:color w:val="auto"/>
          <w:kern w:val="2"/>
          <w:sz w:val="24"/>
          <w:szCs w:val="24"/>
          <w:highlight w:val="none"/>
        </w:rPr>
        <w:t>起点为规划二路，向西南延伸，终于马鞍山大道，全长约5089米，</w:t>
      </w:r>
      <w:r>
        <w:rPr>
          <w:rFonts w:hint="eastAsia" w:hAnsi="宋体" w:cs="宋体"/>
          <w:color w:val="auto"/>
          <w:kern w:val="2"/>
          <w:sz w:val="24"/>
          <w:szCs w:val="24"/>
          <w:highlight w:val="none"/>
          <w:lang w:val="en-US" w:eastAsia="zh-CN"/>
        </w:rPr>
        <w:t>含一座270米预制简支变连续小箱梁桥，</w:t>
      </w:r>
      <w:r>
        <w:rPr>
          <w:rFonts w:hint="eastAsia" w:ascii="宋体" w:hAnsi="宋体" w:eastAsia="宋体" w:cs="宋体"/>
          <w:color w:val="auto"/>
          <w:kern w:val="0"/>
          <w:sz w:val="24"/>
          <w:szCs w:val="24"/>
          <w:highlight w:val="none"/>
          <w:shd w:val="clear" w:color="auto" w:fill="FFFFFF"/>
          <w:lang w:eastAsia="zh-CN"/>
        </w:rPr>
        <w:t>桥梁工程建安费</w:t>
      </w:r>
      <w:r>
        <w:rPr>
          <w:rFonts w:hint="eastAsia" w:ascii="宋体" w:hAnsi="宋体" w:eastAsia="宋体" w:cs="宋体"/>
          <w:color w:val="auto"/>
          <w:kern w:val="0"/>
          <w:sz w:val="24"/>
          <w:szCs w:val="24"/>
          <w:highlight w:val="none"/>
          <w:shd w:val="clear" w:color="auto" w:fill="FFFFFF"/>
          <w:lang w:val="en-US" w:eastAsia="zh-CN"/>
        </w:rPr>
        <w:t>约3684</w:t>
      </w:r>
      <w:r>
        <w:rPr>
          <w:rFonts w:hint="eastAsia" w:ascii="宋体" w:hAnsi="宋体" w:eastAsia="宋体" w:cs="宋体"/>
          <w:color w:val="auto"/>
          <w:kern w:val="0"/>
          <w:sz w:val="24"/>
          <w:szCs w:val="24"/>
          <w:highlight w:val="none"/>
          <w:shd w:val="clear" w:color="auto" w:fill="FFFFFF"/>
          <w:lang w:eastAsia="zh-CN"/>
        </w:rPr>
        <w:t>万元</w:t>
      </w:r>
      <w:r>
        <w:rPr>
          <w:rFonts w:hint="eastAsia" w:hAnsi="宋体" w:cs="宋体"/>
          <w:color w:val="auto"/>
          <w:kern w:val="2"/>
          <w:sz w:val="24"/>
          <w:szCs w:val="24"/>
          <w:highlight w:val="none"/>
          <w:lang w:val="en-US" w:eastAsia="zh-CN"/>
        </w:rPr>
        <w:t>，</w:t>
      </w:r>
      <w:r>
        <w:rPr>
          <w:rFonts w:hint="eastAsia" w:hAnsi="宋体" w:cs="宋体"/>
          <w:color w:val="auto"/>
          <w:kern w:val="2"/>
          <w:sz w:val="24"/>
          <w:szCs w:val="24"/>
          <w:highlight w:val="none"/>
        </w:rPr>
        <w:t>桩号范围K3+060-K8+149.292。道路红线宽度55米，城市主干路，双向六车道，设计速度60km/h，沥青混凝土路面。工程内容为全线的道路工程、桥涵工程、给排水工程、照明工程、弱电工程、绿化工程、电力工程及交通工程。本项目工程量清单及施工图纸内涵盖的所有内容。</w:t>
      </w:r>
    </w:p>
    <w:p w14:paraId="5AAA03DB">
      <w:pPr>
        <w:snapToGrid w:val="0"/>
        <w:spacing w:line="336" w:lineRule="auto"/>
        <w:ind w:firstLine="480" w:firstLineChars="200"/>
        <w:rPr>
          <w:rFonts w:hAnsi="宋体" w:cs="宋体"/>
          <w:color w:val="auto"/>
          <w:kern w:val="2"/>
          <w:sz w:val="24"/>
          <w:szCs w:val="24"/>
          <w:highlight w:val="none"/>
        </w:rPr>
      </w:pPr>
      <w:r>
        <w:rPr>
          <w:rFonts w:hint="eastAsia" w:hAnsi="宋体" w:cs="宋体"/>
          <w:color w:val="auto"/>
          <w:kern w:val="2"/>
          <w:sz w:val="24"/>
          <w:szCs w:val="24"/>
          <w:highlight w:val="none"/>
          <w:lang w:val="en-US" w:eastAsia="zh-CN"/>
        </w:rPr>
        <w:t>2</w:t>
      </w:r>
      <w:r>
        <w:rPr>
          <w:rFonts w:hint="eastAsia" w:hAnsi="宋体" w:cs="宋体"/>
          <w:color w:val="auto"/>
          <w:kern w:val="2"/>
          <w:sz w:val="24"/>
          <w:szCs w:val="24"/>
          <w:highlight w:val="none"/>
        </w:rPr>
        <w:t>、服务要求：总体要求要满足本招标文件实质性要求，且应符合国家有关标准和规范要求。</w:t>
      </w:r>
    </w:p>
    <w:p w14:paraId="435D1907">
      <w:pPr>
        <w:snapToGrid w:val="0"/>
        <w:spacing w:line="336" w:lineRule="auto"/>
        <w:ind w:firstLine="480" w:firstLineChars="200"/>
        <w:rPr>
          <w:rFonts w:hAnsi="宋体" w:cs="宋体"/>
          <w:color w:val="auto"/>
          <w:kern w:val="2"/>
          <w:sz w:val="24"/>
          <w:szCs w:val="24"/>
          <w:highlight w:val="none"/>
        </w:rPr>
      </w:pPr>
      <w:r>
        <w:rPr>
          <w:rFonts w:hint="eastAsia" w:hAnsi="宋体" w:cs="宋体"/>
          <w:color w:val="auto"/>
          <w:kern w:val="2"/>
          <w:sz w:val="24"/>
          <w:szCs w:val="24"/>
          <w:highlight w:val="none"/>
          <w:lang w:val="en-US" w:eastAsia="zh-CN"/>
        </w:rPr>
        <w:t>3</w:t>
      </w:r>
      <w:r>
        <w:rPr>
          <w:rFonts w:hint="eastAsia" w:hAnsi="宋体" w:cs="宋体"/>
          <w:color w:val="auto"/>
          <w:kern w:val="2"/>
          <w:sz w:val="24"/>
          <w:szCs w:val="24"/>
          <w:highlight w:val="none"/>
        </w:rPr>
        <w:t>、业务操作程序：中标人在接到招标人委托的业务时，应根据项目的实际情况及时</w:t>
      </w:r>
    </w:p>
    <w:p w14:paraId="5BDAB8B2">
      <w:pPr>
        <w:snapToGrid w:val="0"/>
        <w:spacing w:line="336" w:lineRule="auto"/>
        <w:rPr>
          <w:rFonts w:hAnsi="宋体" w:cs="宋体"/>
          <w:color w:val="auto"/>
          <w:kern w:val="2"/>
          <w:sz w:val="24"/>
          <w:szCs w:val="24"/>
          <w:highlight w:val="none"/>
        </w:rPr>
      </w:pPr>
      <w:r>
        <w:rPr>
          <w:rFonts w:hint="eastAsia" w:hAnsi="宋体" w:cs="宋体"/>
          <w:color w:val="auto"/>
          <w:kern w:val="2"/>
          <w:sz w:val="24"/>
          <w:szCs w:val="24"/>
          <w:highlight w:val="none"/>
        </w:rPr>
        <w:t>成立由专人负责的造价工作组协助招标人开展</w:t>
      </w:r>
      <w:r>
        <w:rPr>
          <w:rFonts w:hint="eastAsia" w:hAnsi="宋体" w:cs="宋体"/>
          <w:color w:val="auto"/>
          <w:kern w:val="2"/>
          <w:sz w:val="24"/>
          <w:szCs w:val="24"/>
          <w:highlight w:val="none"/>
          <w:lang w:val="en-US" w:eastAsia="zh-CN"/>
        </w:rPr>
        <w:t>审计</w:t>
      </w:r>
      <w:r>
        <w:rPr>
          <w:rFonts w:hint="eastAsia" w:hAnsi="宋体" w:cs="宋体"/>
          <w:color w:val="auto"/>
          <w:kern w:val="2"/>
          <w:sz w:val="24"/>
          <w:szCs w:val="24"/>
          <w:highlight w:val="none"/>
        </w:rPr>
        <w:t xml:space="preserve">工作，该工作组应由取得注册造价工程师资格证书担任造价机构内部质量复核人。以保证在整个工作过程中形成快速的反馈响应机制，使工作顺利、便捷、快速的进行，同时把好咨询机构内部质量复核关。中标人应严格按照招标人的要求开展相关工作。同时，招标单位保留按有关政策和实际需要进一步调整具体要求的权利。 </w:t>
      </w:r>
    </w:p>
    <w:p w14:paraId="2BBAB582">
      <w:pPr>
        <w:numPr>
          <w:ilvl w:val="0"/>
          <w:numId w:val="0"/>
        </w:numPr>
        <w:snapToGrid w:val="0"/>
        <w:spacing w:line="336" w:lineRule="auto"/>
        <w:ind w:firstLine="480" w:firstLineChars="200"/>
        <w:rPr>
          <w:rFonts w:hint="eastAsia" w:hAnsi="宋体" w:cs="宋体"/>
          <w:color w:val="auto"/>
          <w:kern w:val="2"/>
          <w:sz w:val="24"/>
          <w:szCs w:val="24"/>
          <w:highlight w:val="none"/>
        </w:rPr>
      </w:pPr>
      <w:r>
        <w:rPr>
          <w:rFonts w:hint="eastAsia" w:hAnsi="宋体" w:cs="宋体"/>
          <w:color w:val="auto"/>
          <w:kern w:val="2"/>
          <w:sz w:val="24"/>
          <w:szCs w:val="24"/>
          <w:highlight w:val="none"/>
          <w:lang w:val="en-US" w:eastAsia="zh-CN"/>
        </w:rPr>
        <w:t>4、</w:t>
      </w:r>
      <w:r>
        <w:rPr>
          <w:rFonts w:hint="eastAsia" w:hAnsi="宋体" w:cs="宋体"/>
          <w:color w:val="auto"/>
          <w:kern w:val="2"/>
          <w:sz w:val="24"/>
          <w:szCs w:val="24"/>
          <w:highlight w:val="none"/>
        </w:rPr>
        <w:t>时限要求：中标人应在</w:t>
      </w:r>
      <w:r>
        <w:rPr>
          <w:rFonts w:hint="eastAsia" w:hAnsi="宋体" w:cs="宋体"/>
          <w:color w:val="auto"/>
          <w:kern w:val="2"/>
          <w:sz w:val="24"/>
          <w:szCs w:val="24"/>
          <w:highlight w:val="none"/>
          <w:lang w:val="en-US" w:eastAsia="zh-CN"/>
        </w:rPr>
        <w:t>7日</w:t>
      </w:r>
      <w:r>
        <w:rPr>
          <w:rFonts w:hint="eastAsia" w:hAnsi="宋体" w:cs="宋体"/>
          <w:color w:val="auto"/>
          <w:kern w:val="2"/>
          <w:sz w:val="24"/>
          <w:szCs w:val="24"/>
          <w:highlight w:val="none"/>
        </w:rPr>
        <w:t>内完成招标人所委托的相关业务</w:t>
      </w:r>
      <w:r>
        <w:rPr>
          <w:rFonts w:hint="eastAsia" w:hAnsi="宋体" w:cs="宋体"/>
          <w:color w:val="auto"/>
          <w:kern w:val="2"/>
          <w:sz w:val="24"/>
          <w:szCs w:val="24"/>
          <w:highlight w:val="none"/>
          <w:lang w:eastAsia="zh-CN"/>
        </w:rPr>
        <w:t>，包含但不限于</w:t>
      </w:r>
      <w:r>
        <w:rPr>
          <w:rFonts w:hint="eastAsia" w:hAnsi="Times New Roman"/>
          <w:color w:val="auto"/>
          <w:sz w:val="24"/>
          <w:szCs w:val="24"/>
          <w:highlight w:val="none"/>
          <w:lang w:val="en-US" w:bidi="ar-SA"/>
        </w:rPr>
        <w:t>工程计量与工程款审核</w:t>
      </w:r>
      <w:r>
        <w:rPr>
          <w:rFonts w:hint="eastAsia" w:hAnsi="Times New Roman"/>
          <w:color w:val="auto"/>
          <w:sz w:val="24"/>
          <w:szCs w:val="24"/>
          <w:highlight w:val="none"/>
          <w:lang w:val="en-US" w:eastAsia="zh-CN" w:bidi="ar-SA"/>
        </w:rPr>
        <w:t>、</w:t>
      </w:r>
      <w:r>
        <w:rPr>
          <w:rFonts w:hint="eastAsia"/>
          <w:color w:val="auto"/>
          <w:sz w:val="24"/>
          <w:szCs w:val="24"/>
          <w:highlight w:val="none"/>
          <w:lang w:eastAsia="zh-CN"/>
        </w:rPr>
        <w:t>设计</w:t>
      </w:r>
      <w:r>
        <w:rPr>
          <w:rFonts w:hint="eastAsia"/>
          <w:color w:val="auto"/>
          <w:sz w:val="24"/>
          <w:szCs w:val="24"/>
          <w:highlight w:val="none"/>
        </w:rPr>
        <w:t>变更</w:t>
      </w:r>
      <w:r>
        <w:rPr>
          <w:rFonts w:hint="eastAsia"/>
          <w:color w:val="auto"/>
          <w:sz w:val="24"/>
          <w:szCs w:val="24"/>
          <w:highlight w:val="none"/>
          <w:lang w:val="en-US" w:eastAsia="zh-CN"/>
        </w:rPr>
        <w:t>及</w:t>
      </w:r>
      <w:r>
        <w:rPr>
          <w:rFonts w:hint="eastAsia"/>
          <w:color w:val="auto"/>
          <w:sz w:val="24"/>
          <w:szCs w:val="24"/>
          <w:highlight w:val="none"/>
        </w:rPr>
        <w:t>签证</w:t>
      </w:r>
      <w:r>
        <w:rPr>
          <w:rFonts w:hint="eastAsia"/>
          <w:color w:val="auto"/>
          <w:sz w:val="24"/>
          <w:szCs w:val="24"/>
          <w:highlight w:val="none"/>
          <w:lang w:val="en-US" w:eastAsia="zh-CN"/>
        </w:rPr>
        <w:t>造价审核、进度款审计、产值报告等。结算审核报告在施工单位报审30日内出具初审报告</w:t>
      </w:r>
      <w:r>
        <w:rPr>
          <w:rFonts w:hint="eastAsia" w:hAnsi="宋体" w:cs="宋体"/>
          <w:color w:val="auto"/>
          <w:kern w:val="2"/>
          <w:sz w:val="24"/>
          <w:szCs w:val="24"/>
          <w:highlight w:val="none"/>
        </w:rPr>
        <w:t xml:space="preserve">。 </w:t>
      </w:r>
    </w:p>
    <w:p w14:paraId="52DC90BF">
      <w:pPr>
        <w:snapToGrid w:val="0"/>
        <w:spacing w:line="336" w:lineRule="auto"/>
        <w:ind w:firstLine="480" w:firstLineChars="200"/>
        <w:rPr>
          <w:rFonts w:hint="eastAsia" w:hAnsi="Times New Roman" w:cs="Times New Roman"/>
          <w:color w:val="auto"/>
          <w:sz w:val="24"/>
          <w:szCs w:val="24"/>
          <w:highlight w:val="none"/>
          <w:lang w:val="en-US" w:eastAsia="zh-CN"/>
        </w:rPr>
      </w:pPr>
      <w:r>
        <w:rPr>
          <w:rFonts w:hint="eastAsia" w:cs="Times New Roman"/>
          <w:color w:val="auto"/>
          <w:sz w:val="24"/>
          <w:szCs w:val="24"/>
          <w:highlight w:val="none"/>
          <w:lang w:val="en-US" w:eastAsia="zh-CN"/>
        </w:rPr>
        <w:t>5</w:t>
      </w:r>
      <w:r>
        <w:rPr>
          <w:rFonts w:hint="eastAsia" w:hAnsi="Times New Roman" w:cs="Times New Roman"/>
          <w:color w:val="auto"/>
          <w:sz w:val="24"/>
          <w:szCs w:val="24"/>
          <w:highlight w:val="none"/>
          <w:lang w:val="en-US" w:eastAsia="zh-CN"/>
        </w:rPr>
        <w:t>、</w:t>
      </w:r>
      <w:r>
        <w:rPr>
          <w:rFonts w:hint="eastAsia" w:cs="Times New Roman"/>
          <w:color w:val="auto"/>
          <w:sz w:val="24"/>
          <w:szCs w:val="24"/>
          <w:highlight w:val="none"/>
          <w:lang w:val="en-US" w:eastAsia="zh-CN"/>
        </w:rPr>
        <w:t>拟派</w:t>
      </w:r>
      <w:r>
        <w:rPr>
          <w:rFonts w:hint="eastAsia" w:hAnsi="Times New Roman" w:cs="Times New Roman"/>
          <w:color w:val="auto"/>
          <w:sz w:val="24"/>
          <w:szCs w:val="24"/>
          <w:highlight w:val="none"/>
          <w:lang w:val="en-US" w:eastAsia="zh-CN"/>
        </w:rPr>
        <w:t>人员要求</w:t>
      </w:r>
      <w:r>
        <w:rPr>
          <w:rFonts w:hint="eastAsia" w:hAnsi="Times New Roman" w:cs="Times New Roman"/>
          <w:color w:val="auto"/>
          <w:sz w:val="24"/>
          <w:szCs w:val="24"/>
          <w:highlight w:val="none"/>
          <w:lang w:val="en-US"/>
        </w:rPr>
        <w:t>：项目负责人1人</w:t>
      </w:r>
      <w:r>
        <w:rPr>
          <w:rFonts w:hint="eastAsia" w:hAnsi="Times New Roman" w:cs="Times New Roman"/>
          <w:color w:val="auto"/>
          <w:sz w:val="24"/>
          <w:szCs w:val="24"/>
          <w:highlight w:val="none"/>
          <w:lang w:val="en-US" w:eastAsia="zh-CN"/>
        </w:rPr>
        <w:t>，</w:t>
      </w:r>
      <w:r>
        <w:rPr>
          <w:rFonts w:hint="eastAsia" w:hAnsi="Times New Roman" w:cs="Times New Roman"/>
          <w:color w:val="auto"/>
          <w:sz w:val="24"/>
          <w:szCs w:val="24"/>
          <w:highlight w:val="none"/>
          <w:lang w:val="en-US"/>
        </w:rPr>
        <w:t>该负责人必须是一级</w:t>
      </w:r>
      <w:r>
        <w:rPr>
          <w:rFonts w:hint="eastAsia" w:hAnsi="Times New Roman" w:cs="Times New Roman"/>
          <w:color w:val="auto"/>
          <w:sz w:val="24"/>
          <w:szCs w:val="24"/>
          <w:highlight w:val="none"/>
          <w:lang w:val="en-US" w:eastAsia="zh-CN"/>
        </w:rPr>
        <w:t>注册</w:t>
      </w:r>
      <w:r>
        <w:rPr>
          <w:rFonts w:hint="eastAsia" w:hAnsi="Times New Roman" w:cs="Times New Roman"/>
          <w:color w:val="auto"/>
          <w:sz w:val="24"/>
          <w:szCs w:val="24"/>
          <w:highlight w:val="none"/>
          <w:lang w:val="en-US"/>
        </w:rPr>
        <w:t>造价工程师</w:t>
      </w:r>
      <w:r>
        <w:rPr>
          <w:rFonts w:hint="eastAsia" w:hAnsi="Times New Roman" w:cs="Times New Roman"/>
          <w:color w:val="auto"/>
          <w:sz w:val="24"/>
          <w:szCs w:val="24"/>
          <w:highlight w:val="none"/>
          <w:lang w:val="en-US" w:eastAsia="zh-CN"/>
        </w:rPr>
        <w:t>且职称为工程造价相关专业的高级工程师</w:t>
      </w:r>
      <w:r>
        <w:rPr>
          <w:rFonts w:hint="eastAsia" w:hAnsi="Times New Roman" w:cs="Times New Roman"/>
          <w:color w:val="auto"/>
          <w:sz w:val="24"/>
          <w:szCs w:val="24"/>
          <w:highlight w:val="none"/>
          <w:lang w:val="en-US"/>
        </w:rPr>
        <w:t>；</w:t>
      </w:r>
      <w:r>
        <w:rPr>
          <w:rFonts w:hint="eastAsia" w:hAnsi="Times New Roman" w:cs="Times New Roman"/>
          <w:color w:val="auto"/>
          <w:sz w:val="24"/>
          <w:szCs w:val="24"/>
          <w:highlight w:val="none"/>
          <w:lang w:val="en-US" w:eastAsia="zh-CN"/>
        </w:rPr>
        <w:t>拟投入团队成员</w:t>
      </w:r>
      <w:r>
        <w:rPr>
          <w:rFonts w:hint="eastAsia" w:hAnsi="Times New Roman" w:cs="Times New Roman"/>
          <w:color w:val="auto"/>
          <w:sz w:val="24"/>
          <w:szCs w:val="24"/>
          <w:highlight w:val="none"/>
          <w:lang w:val="en-US"/>
        </w:rPr>
        <w:t>不少于4人</w:t>
      </w:r>
      <w:r>
        <w:rPr>
          <w:rFonts w:hint="eastAsia" w:hAnsi="Times New Roman" w:cs="Times New Roman"/>
          <w:color w:val="auto"/>
          <w:sz w:val="24"/>
          <w:szCs w:val="24"/>
          <w:highlight w:val="none"/>
          <w:lang w:val="en-US" w:eastAsia="zh-CN"/>
        </w:rPr>
        <w:t>：一级注册造价师1人（土建专业）、一级注册造价师1人（安装专业）、二级注册造价师（土建专业）及以上、二级注册造价师（安装专业）及以上各1名</w:t>
      </w:r>
      <w:r>
        <w:rPr>
          <w:rFonts w:hint="eastAsia" w:cs="Times New Roman"/>
          <w:color w:val="auto"/>
          <w:sz w:val="24"/>
          <w:szCs w:val="24"/>
          <w:highlight w:val="none"/>
          <w:lang w:val="en-US" w:eastAsia="zh-CN"/>
        </w:rPr>
        <w:t>。</w:t>
      </w:r>
      <w:r>
        <w:rPr>
          <w:rFonts w:hint="eastAsia" w:hAnsi="Times New Roman" w:cs="Times New Roman"/>
          <w:color w:val="auto"/>
          <w:sz w:val="24"/>
          <w:szCs w:val="24"/>
          <w:highlight w:val="none"/>
          <w:lang w:val="en-US" w:eastAsia="zh-CN"/>
        </w:rPr>
        <w:t>【供应商需在投标文件中提供相关证书（职称证书还需提供职称证书查询路径）和有效的劳动合同及开标前</w:t>
      </w:r>
      <w:r>
        <w:rPr>
          <w:rFonts w:hint="eastAsia" w:cs="Times New Roman"/>
          <w:color w:val="auto"/>
          <w:sz w:val="24"/>
          <w:szCs w:val="24"/>
          <w:highlight w:val="none"/>
          <w:lang w:val="en-US" w:eastAsia="zh-CN"/>
        </w:rPr>
        <w:t>连续</w:t>
      </w:r>
      <w:r>
        <w:rPr>
          <w:rFonts w:hint="eastAsia" w:hAnsi="Times New Roman" w:cs="Times New Roman"/>
          <w:color w:val="auto"/>
          <w:sz w:val="24"/>
          <w:szCs w:val="24"/>
          <w:highlight w:val="none"/>
          <w:lang w:val="en-US" w:eastAsia="zh-CN"/>
        </w:rPr>
        <w:t>6个月（</w:t>
      </w:r>
      <w:r>
        <w:rPr>
          <w:rFonts w:hint="eastAsia" w:cs="Times New Roman"/>
          <w:color w:val="auto"/>
          <w:sz w:val="24"/>
          <w:szCs w:val="24"/>
          <w:highlight w:val="none"/>
          <w:lang w:val="en-US" w:eastAsia="zh-CN"/>
        </w:rPr>
        <w:t>不</w:t>
      </w:r>
      <w:r>
        <w:rPr>
          <w:rFonts w:hint="eastAsia" w:hAnsi="Times New Roman" w:cs="Times New Roman"/>
          <w:color w:val="auto"/>
          <w:sz w:val="24"/>
          <w:szCs w:val="24"/>
          <w:highlight w:val="none"/>
          <w:lang w:val="en-US" w:eastAsia="zh-CN"/>
        </w:rPr>
        <w:t>含开标当月）</w:t>
      </w:r>
      <w:r>
        <w:rPr>
          <w:rFonts w:hint="eastAsia" w:cs="Times New Roman"/>
          <w:color w:val="auto"/>
          <w:sz w:val="24"/>
          <w:szCs w:val="24"/>
          <w:highlight w:val="none"/>
          <w:lang w:val="en-US" w:eastAsia="zh-CN"/>
        </w:rPr>
        <w:t>在</w:t>
      </w:r>
      <w:r>
        <w:rPr>
          <w:rFonts w:hint="eastAsia" w:hAnsi="Times New Roman" w:cs="Times New Roman"/>
          <w:color w:val="auto"/>
          <w:sz w:val="24"/>
          <w:szCs w:val="24"/>
          <w:highlight w:val="none"/>
          <w:lang w:val="en-US" w:eastAsia="zh-CN"/>
        </w:rPr>
        <w:t>本企业参加基本养老保险并正常缴费的证明材料、复印件加盖供应商公章，退休人员提供聘用合同和退休证明；并提供“全国工程造价咨询管理系统”查询结果截图及网址链接加盖供应商公章。】</w:t>
      </w:r>
    </w:p>
    <w:p w14:paraId="50412A9E">
      <w:pPr>
        <w:snapToGrid w:val="0"/>
        <w:spacing w:line="336" w:lineRule="auto"/>
        <w:ind w:firstLine="480" w:firstLineChars="200"/>
        <w:rPr>
          <w:rFonts w:hint="eastAsia" w:ascii="宋体" w:hAnsi="宋体" w:eastAsia="宋体" w:cs="宋体"/>
          <w:color w:val="auto"/>
          <w:kern w:val="2"/>
          <w:sz w:val="24"/>
          <w:szCs w:val="24"/>
          <w:highlight w:val="none"/>
        </w:rPr>
      </w:pPr>
      <w:r>
        <w:rPr>
          <w:rFonts w:hint="eastAsia" w:hAnsi="宋体" w:cs="宋体"/>
          <w:color w:val="auto"/>
          <w:kern w:val="2"/>
          <w:sz w:val="24"/>
          <w:szCs w:val="24"/>
          <w:highlight w:val="none"/>
          <w:lang w:val="en-US" w:eastAsia="zh-CN"/>
        </w:rPr>
        <w:t>6</w:t>
      </w:r>
      <w:r>
        <w:rPr>
          <w:rFonts w:hint="eastAsia" w:hAnsi="宋体" w:cs="宋体"/>
          <w:color w:val="auto"/>
          <w:kern w:val="2"/>
          <w:sz w:val="24"/>
          <w:szCs w:val="24"/>
          <w:highlight w:val="none"/>
        </w:rPr>
        <w:t>、驻场要求：本项目要求人</w:t>
      </w:r>
      <w:r>
        <w:rPr>
          <w:rFonts w:hint="eastAsia" w:ascii="宋体" w:hAnsi="宋体" w:eastAsia="宋体" w:cs="宋体"/>
          <w:color w:val="auto"/>
          <w:kern w:val="2"/>
          <w:sz w:val="24"/>
          <w:szCs w:val="24"/>
          <w:highlight w:val="none"/>
        </w:rPr>
        <w:t>员注册造价工程师驻场</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至少2名二级造价师全程驻场参与项目跟踪审计，驻场的审计人员按项目关键岗位人员管理，关键岗位人员必须每人每月考勤累计不得少于20工作日，考勤以天为统计单位，每天考勤两次，具体由业主方项目部负责考勤考核，缺勤罚款500元/一天（纳入合同约定）；且重要节点的相关会议及现场勘查项目负责人须到场</w:t>
      </w:r>
      <w:r>
        <w:rPr>
          <w:rFonts w:hint="eastAsia" w:hAnsi="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val="en-US" w:eastAsia="zh-CN"/>
        </w:rPr>
        <w:t>各项隐蔽验收工作</w:t>
      </w:r>
      <w:r>
        <w:rPr>
          <w:rFonts w:hint="eastAsia" w:hAnsi="宋体" w:cs="宋体"/>
          <w:color w:val="auto"/>
          <w:kern w:val="2"/>
          <w:sz w:val="24"/>
          <w:szCs w:val="24"/>
          <w:highlight w:val="none"/>
          <w:lang w:val="en-US" w:eastAsia="zh-CN"/>
        </w:rPr>
        <w:t>驻场人员须到场</w:t>
      </w:r>
      <w:r>
        <w:rPr>
          <w:rFonts w:hint="eastAsia" w:ascii="宋体" w:hAnsi="宋体" w:eastAsia="宋体" w:cs="宋体"/>
          <w:color w:val="auto"/>
          <w:kern w:val="2"/>
          <w:sz w:val="24"/>
          <w:szCs w:val="24"/>
          <w:highlight w:val="none"/>
          <w:lang w:val="en-US" w:eastAsia="zh-CN"/>
        </w:rPr>
        <w:t>。中标后不可变更拟派人员(因不可抗力原因或经招标人同意的情况除外），若</w:t>
      </w:r>
      <w:r>
        <w:rPr>
          <w:rFonts w:hint="eastAsia" w:hAnsi="宋体" w:cs="宋体"/>
          <w:color w:val="auto"/>
          <w:kern w:val="2"/>
          <w:sz w:val="24"/>
          <w:szCs w:val="24"/>
          <w:highlight w:val="none"/>
          <w:lang w:val="en-US" w:eastAsia="zh-CN"/>
        </w:rPr>
        <w:t>违反上述要求</w:t>
      </w:r>
      <w:r>
        <w:rPr>
          <w:rFonts w:hint="eastAsia" w:ascii="宋体" w:hAnsi="宋体" w:eastAsia="宋体" w:cs="宋体"/>
          <w:color w:val="auto"/>
          <w:kern w:val="2"/>
          <w:sz w:val="24"/>
          <w:szCs w:val="24"/>
          <w:highlight w:val="none"/>
          <w:lang w:val="en-US" w:eastAsia="zh-CN"/>
        </w:rPr>
        <w:t>，招标人有权取消其中标资格。</w:t>
      </w:r>
      <w:r>
        <w:rPr>
          <w:rFonts w:hint="eastAsia" w:hAnsi="宋体" w:cs="宋体"/>
          <w:color w:val="auto"/>
          <w:kern w:val="2"/>
          <w:sz w:val="24"/>
          <w:szCs w:val="24"/>
          <w:highlight w:val="none"/>
          <w:lang w:val="en-US" w:eastAsia="zh-CN"/>
        </w:rPr>
        <w:t>另</w:t>
      </w:r>
      <w:r>
        <w:rPr>
          <w:rFonts w:hint="eastAsia" w:ascii="宋体" w:hAnsi="宋体" w:eastAsia="宋体" w:cs="宋体"/>
          <w:color w:val="auto"/>
          <w:kern w:val="2"/>
          <w:sz w:val="24"/>
          <w:szCs w:val="24"/>
          <w:highlight w:val="none"/>
        </w:rPr>
        <w:t>驻场人员需要自行解决食宿办公问题。</w:t>
      </w:r>
    </w:p>
    <w:p w14:paraId="778CABFF">
      <w:pPr>
        <w:snapToGrid w:val="0"/>
        <w:spacing w:line="336" w:lineRule="auto"/>
        <w:ind w:firstLine="480" w:firstLineChars="200"/>
        <w:rPr>
          <w:color w:val="auto"/>
          <w:highlight w:val="none"/>
        </w:rPr>
      </w:pPr>
      <w:r>
        <w:rPr>
          <w:rFonts w:hint="eastAsia" w:hAnsi="宋体" w:cs="宋体"/>
          <w:color w:val="auto"/>
          <w:kern w:val="2"/>
          <w:sz w:val="24"/>
          <w:szCs w:val="24"/>
          <w:highlight w:val="none"/>
          <w:lang w:val="en-US" w:eastAsia="zh-CN"/>
        </w:rPr>
        <w:t>7</w:t>
      </w:r>
      <w:r>
        <w:rPr>
          <w:rFonts w:hint="eastAsia" w:hAnsi="宋体" w:cs="宋体"/>
          <w:color w:val="auto"/>
          <w:kern w:val="2"/>
          <w:sz w:val="24"/>
          <w:szCs w:val="24"/>
          <w:highlight w:val="none"/>
        </w:rPr>
        <w:t>、打卡要求：驻场造价师每人每月考勤累计不得少于20个工作日，考勤以天为统计单位，每天考勤两次，</w:t>
      </w:r>
      <w:r>
        <w:rPr>
          <w:rFonts w:hint="eastAsia" w:hAnsi="宋体" w:cs="宋体"/>
          <w:color w:val="auto"/>
          <w:kern w:val="2"/>
          <w:sz w:val="24"/>
          <w:szCs w:val="24"/>
          <w:highlight w:val="none"/>
          <w:lang w:val="en-US" w:eastAsia="zh-CN"/>
        </w:rPr>
        <w:t>上午、下午各一次</w:t>
      </w:r>
      <w:r>
        <w:rPr>
          <w:rFonts w:hint="eastAsia" w:hAnsi="宋体" w:cs="宋体"/>
          <w:color w:val="auto"/>
          <w:kern w:val="2"/>
          <w:sz w:val="24"/>
          <w:szCs w:val="24"/>
          <w:highlight w:val="none"/>
        </w:rPr>
        <w:t>。</w:t>
      </w:r>
    </w:p>
    <w:p w14:paraId="297AA4CD">
      <w:pPr>
        <w:snapToGrid w:val="0"/>
        <w:spacing w:line="336" w:lineRule="auto"/>
        <w:ind w:firstLine="480" w:firstLineChars="200"/>
        <w:rPr>
          <w:rFonts w:hint="eastAsia" w:hAnsi="宋体" w:cs="宋体"/>
          <w:color w:val="auto"/>
          <w:kern w:val="2"/>
          <w:sz w:val="24"/>
          <w:szCs w:val="24"/>
          <w:highlight w:val="none"/>
        </w:rPr>
      </w:pPr>
      <w:r>
        <w:rPr>
          <w:rFonts w:hint="eastAsia" w:hAnsi="宋体" w:cs="宋体"/>
          <w:color w:val="auto"/>
          <w:kern w:val="2"/>
          <w:sz w:val="24"/>
          <w:szCs w:val="24"/>
          <w:highlight w:val="none"/>
          <w:lang w:val="en-US" w:eastAsia="zh-CN"/>
        </w:rPr>
        <w:t>8</w:t>
      </w:r>
      <w:r>
        <w:rPr>
          <w:rFonts w:hint="eastAsia" w:hAnsi="宋体" w:cs="宋体"/>
          <w:color w:val="auto"/>
          <w:kern w:val="2"/>
          <w:sz w:val="24"/>
          <w:szCs w:val="24"/>
          <w:highlight w:val="none"/>
        </w:rPr>
        <w:t>、工程造价质量保障：中标人应建立严格的内部复核制度，并保留工程造价质量全过程控制的记录。</w:t>
      </w:r>
    </w:p>
    <w:p w14:paraId="01496F24">
      <w:pPr>
        <w:snapToGrid w:val="0"/>
        <w:spacing w:line="336" w:lineRule="auto"/>
        <w:ind w:firstLine="480" w:firstLineChars="200"/>
        <w:rPr>
          <w:rFonts w:hAnsi="宋体" w:cs="宋体"/>
          <w:color w:val="auto"/>
          <w:kern w:val="2"/>
          <w:sz w:val="24"/>
          <w:szCs w:val="24"/>
          <w:highlight w:val="none"/>
        </w:rPr>
      </w:pPr>
      <w:r>
        <w:rPr>
          <w:rFonts w:hint="eastAsia" w:hAnsi="宋体" w:cs="宋体"/>
          <w:color w:val="auto"/>
          <w:kern w:val="2"/>
          <w:sz w:val="24"/>
          <w:szCs w:val="24"/>
          <w:highlight w:val="none"/>
          <w:lang w:val="en-US" w:eastAsia="zh-CN"/>
        </w:rPr>
        <w:t>9</w:t>
      </w:r>
      <w:r>
        <w:rPr>
          <w:rFonts w:hint="eastAsia" w:hAnsi="宋体" w:cs="宋体"/>
          <w:color w:val="auto"/>
          <w:kern w:val="2"/>
          <w:sz w:val="24"/>
          <w:szCs w:val="24"/>
          <w:highlight w:val="none"/>
        </w:rPr>
        <w:t>、资料保全：中标人应负责确保项目资料的完备、安全、无损，待项目结束后全</w:t>
      </w:r>
    </w:p>
    <w:p w14:paraId="165968A0">
      <w:pPr>
        <w:snapToGrid w:val="0"/>
        <w:spacing w:line="336" w:lineRule="auto"/>
        <w:rPr>
          <w:rFonts w:hAnsi="宋体" w:cs="宋体"/>
          <w:color w:val="auto"/>
          <w:kern w:val="2"/>
          <w:sz w:val="24"/>
          <w:szCs w:val="24"/>
          <w:highlight w:val="none"/>
        </w:rPr>
      </w:pPr>
      <w:r>
        <w:rPr>
          <w:rFonts w:hint="eastAsia" w:hAnsi="宋体" w:cs="宋体"/>
          <w:color w:val="auto"/>
          <w:kern w:val="2"/>
          <w:sz w:val="24"/>
          <w:szCs w:val="24"/>
          <w:highlight w:val="none"/>
        </w:rPr>
        <w:t xml:space="preserve">部移交给招标人。 </w:t>
      </w:r>
    </w:p>
    <w:p w14:paraId="34489097">
      <w:pPr>
        <w:snapToGrid w:val="0"/>
        <w:spacing w:line="336" w:lineRule="auto"/>
        <w:ind w:firstLine="480" w:firstLineChars="200"/>
        <w:rPr>
          <w:rFonts w:hAnsi="宋体" w:cs="宋体"/>
          <w:color w:val="auto"/>
          <w:kern w:val="2"/>
          <w:sz w:val="24"/>
          <w:szCs w:val="24"/>
          <w:highlight w:val="none"/>
        </w:rPr>
      </w:pPr>
      <w:r>
        <w:rPr>
          <w:rFonts w:hint="eastAsia" w:hAnsi="宋体" w:cs="宋体"/>
          <w:color w:val="auto"/>
          <w:kern w:val="2"/>
          <w:sz w:val="24"/>
          <w:szCs w:val="24"/>
          <w:highlight w:val="none"/>
          <w:lang w:val="en-US" w:eastAsia="zh-CN"/>
        </w:rPr>
        <w:t>10</w:t>
      </w:r>
      <w:r>
        <w:rPr>
          <w:rFonts w:hint="eastAsia" w:hAnsi="宋体" w:cs="宋体"/>
          <w:color w:val="auto"/>
          <w:kern w:val="2"/>
          <w:sz w:val="24"/>
          <w:szCs w:val="24"/>
          <w:highlight w:val="none"/>
        </w:rPr>
        <w:t>、保密制度：未经招标人同意，不得以任何形式向任何单位或个人披露项目的有关信息，更不得对外提供、泄露或公开项目的有关情况。</w:t>
      </w:r>
    </w:p>
    <w:p w14:paraId="5E0B75A5">
      <w:pPr>
        <w:snapToGrid w:val="0"/>
        <w:spacing w:line="336" w:lineRule="auto"/>
        <w:ind w:firstLine="480" w:firstLineChars="200"/>
        <w:rPr>
          <w:rFonts w:hint="default"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11</w:t>
      </w:r>
      <w:r>
        <w:rPr>
          <w:rFonts w:hint="eastAsia" w:hAnsi="宋体" w:cs="宋体"/>
          <w:color w:val="auto"/>
          <w:kern w:val="2"/>
          <w:sz w:val="24"/>
          <w:szCs w:val="24"/>
          <w:highlight w:val="none"/>
        </w:rPr>
        <w:t>、中标人对招标人委托事项的咨询成果的真实性、正确性、客观性负责，并承担全部的法律责任。如因造价咨询机构咨询成果不真实、不正确、不客观给招标人造成的损失，全部由造价机构负担。</w:t>
      </w:r>
    </w:p>
    <w:p w14:paraId="553B7156">
      <w:pPr>
        <w:spacing w:line="360" w:lineRule="auto"/>
        <w:rPr>
          <w:rFonts w:hAnsi="宋体" w:cs="宋体"/>
          <w:color w:val="auto"/>
          <w:kern w:val="2"/>
          <w:sz w:val="24"/>
          <w:szCs w:val="24"/>
          <w:highlight w:val="none"/>
        </w:rPr>
      </w:pPr>
      <w:r>
        <w:rPr>
          <w:rFonts w:hint="eastAsia" w:hAnsi="宋体" w:cs="宋体"/>
          <w:b/>
          <w:bCs/>
          <w:color w:val="auto"/>
          <w:sz w:val="28"/>
          <w:szCs w:val="36"/>
          <w:highlight w:val="none"/>
        </w:rPr>
        <w:t>二、商务条款</w:t>
      </w:r>
      <w:bookmarkStart w:id="208" w:name="_Toc10092"/>
    </w:p>
    <w:p w14:paraId="625460F6">
      <w:pPr>
        <w:snapToGrid w:val="0"/>
        <w:spacing w:line="336"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1、付款方式：</w:t>
      </w:r>
    </w:p>
    <w:p w14:paraId="22C0618B">
      <w:pPr>
        <w:snapToGrid w:val="0"/>
        <w:spacing w:line="336" w:lineRule="auto"/>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①</w:t>
      </w:r>
      <w:r>
        <w:rPr>
          <w:rFonts w:hint="eastAsia" w:hAnsi="宋体" w:cs="宋体"/>
          <w:color w:val="auto"/>
          <w:kern w:val="2"/>
          <w:sz w:val="24"/>
          <w:szCs w:val="24"/>
          <w:highlight w:val="none"/>
          <w:lang w:val="en-US" w:eastAsia="zh-CN"/>
        </w:rPr>
        <w:t>跟审</w:t>
      </w:r>
      <w:r>
        <w:rPr>
          <w:rFonts w:hint="eastAsia" w:ascii="宋体" w:hAnsi="宋体" w:eastAsia="宋体" w:cs="宋体"/>
          <w:color w:val="auto"/>
          <w:kern w:val="2"/>
          <w:sz w:val="24"/>
          <w:szCs w:val="24"/>
          <w:highlight w:val="none"/>
          <w:lang w:val="en-US" w:eastAsia="zh-CN"/>
        </w:rPr>
        <w:t>工程量完成30%两个月内支付</w:t>
      </w:r>
      <w:r>
        <w:rPr>
          <w:rFonts w:hint="eastAsia" w:hAnsi="宋体" w:cs="宋体"/>
          <w:color w:val="auto"/>
          <w:kern w:val="2"/>
          <w:sz w:val="24"/>
          <w:szCs w:val="24"/>
          <w:highlight w:val="none"/>
          <w:lang w:val="en-US" w:eastAsia="zh-CN"/>
        </w:rPr>
        <w:t>跟审</w:t>
      </w:r>
      <w:r>
        <w:rPr>
          <w:rFonts w:hint="eastAsia" w:ascii="宋体" w:hAnsi="宋体" w:eastAsia="宋体" w:cs="宋体"/>
          <w:color w:val="auto"/>
          <w:kern w:val="2"/>
          <w:sz w:val="24"/>
          <w:szCs w:val="24"/>
          <w:highlight w:val="none"/>
          <w:lang w:val="en-US" w:eastAsia="zh-CN"/>
        </w:rPr>
        <w:t>合同价款的20%；</w:t>
      </w:r>
    </w:p>
    <w:p w14:paraId="1B086779">
      <w:pPr>
        <w:snapToGrid w:val="0"/>
        <w:spacing w:line="336" w:lineRule="auto"/>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②</w:t>
      </w:r>
      <w:r>
        <w:rPr>
          <w:rFonts w:hint="eastAsia" w:hAnsi="宋体" w:cs="宋体"/>
          <w:color w:val="auto"/>
          <w:kern w:val="2"/>
          <w:sz w:val="24"/>
          <w:szCs w:val="24"/>
          <w:highlight w:val="none"/>
          <w:lang w:val="en-US" w:eastAsia="zh-CN"/>
        </w:rPr>
        <w:t>跟审</w:t>
      </w:r>
      <w:r>
        <w:rPr>
          <w:rFonts w:hint="eastAsia" w:ascii="宋体" w:hAnsi="宋体" w:eastAsia="宋体" w:cs="宋体"/>
          <w:color w:val="auto"/>
          <w:kern w:val="2"/>
          <w:sz w:val="24"/>
          <w:szCs w:val="24"/>
          <w:highlight w:val="none"/>
          <w:lang w:val="en-US" w:eastAsia="zh-CN"/>
        </w:rPr>
        <w:t>工程量完成50%两个月内支付</w:t>
      </w:r>
      <w:r>
        <w:rPr>
          <w:rFonts w:hint="eastAsia" w:hAnsi="宋体" w:cs="宋体"/>
          <w:color w:val="auto"/>
          <w:kern w:val="2"/>
          <w:sz w:val="24"/>
          <w:szCs w:val="24"/>
          <w:highlight w:val="none"/>
          <w:lang w:val="en-US" w:eastAsia="zh-CN"/>
        </w:rPr>
        <w:t>跟审</w:t>
      </w:r>
      <w:r>
        <w:rPr>
          <w:rFonts w:hint="eastAsia" w:ascii="宋体" w:hAnsi="宋体" w:eastAsia="宋体" w:cs="宋体"/>
          <w:color w:val="auto"/>
          <w:kern w:val="2"/>
          <w:sz w:val="24"/>
          <w:szCs w:val="24"/>
          <w:highlight w:val="none"/>
          <w:lang w:val="en-US" w:eastAsia="zh-CN"/>
        </w:rPr>
        <w:t>合同价款20%；</w:t>
      </w:r>
    </w:p>
    <w:p w14:paraId="20773F7A">
      <w:pPr>
        <w:snapToGrid w:val="0"/>
        <w:spacing w:line="336" w:lineRule="auto"/>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③</w:t>
      </w:r>
      <w:r>
        <w:rPr>
          <w:rFonts w:hint="eastAsia" w:hAnsi="宋体" w:cs="宋体"/>
          <w:color w:val="auto"/>
          <w:kern w:val="2"/>
          <w:sz w:val="24"/>
          <w:szCs w:val="24"/>
          <w:highlight w:val="none"/>
          <w:lang w:val="en-US" w:eastAsia="zh-CN"/>
        </w:rPr>
        <w:t>跟审</w:t>
      </w:r>
      <w:r>
        <w:rPr>
          <w:rFonts w:hint="eastAsia" w:ascii="宋体" w:hAnsi="宋体" w:eastAsia="宋体" w:cs="宋体"/>
          <w:color w:val="auto"/>
          <w:kern w:val="2"/>
          <w:sz w:val="24"/>
          <w:szCs w:val="24"/>
          <w:highlight w:val="none"/>
          <w:lang w:val="en-US" w:eastAsia="zh-CN"/>
        </w:rPr>
        <w:t>工程量完成80%两个月内支付</w:t>
      </w:r>
      <w:r>
        <w:rPr>
          <w:rFonts w:hint="eastAsia" w:hAnsi="宋体" w:cs="宋体"/>
          <w:color w:val="auto"/>
          <w:kern w:val="2"/>
          <w:sz w:val="24"/>
          <w:szCs w:val="24"/>
          <w:highlight w:val="none"/>
          <w:lang w:val="en-US" w:eastAsia="zh-CN"/>
        </w:rPr>
        <w:t>跟审</w:t>
      </w:r>
      <w:r>
        <w:rPr>
          <w:rFonts w:hint="eastAsia" w:ascii="宋体" w:hAnsi="宋体" w:eastAsia="宋体" w:cs="宋体"/>
          <w:color w:val="auto"/>
          <w:kern w:val="2"/>
          <w:sz w:val="24"/>
          <w:szCs w:val="24"/>
          <w:highlight w:val="none"/>
          <w:lang w:val="en-US" w:eastAsia="zh-CN"/>
        </w:rPr>
        <w:t>合同价款30%；</w:t>
      </w:r>
    </w:p>
    <w:p w14:paraId="5F69E464">
      <w:pPr>
        <w:snapToGrid w:val="0"/>
        <w:spacing w:line="336" w:lineRule="auto"/>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④</w:t>
      </w:r>
      <w:r>
        <w:rPr>
          <w:rFonts w:hint="eastAsia" w:hAnsi="宋体" w:cs="宋体"/>
          <w:color w:val="auto"/>
          <w:kern w:val="2"/>
          <w:sz w:val="24"/>
          <w:szCs w:val="24"/>
          <w:highlight w:val="none"/>
          <w:lang w:val="en-US" w:eastAsia="zh-CN"/>
        </w:rPr>
        <w:t>跟审</w:t>
      </w:r>
      <w:r>
        <w:rPr>
          <w:rFonts w:hint="eastAsia" w:ascii="宋体" w:hAnsi="宋体" w:eastAsia="宋体" w:cs="宋体"/>
          <w:color w:val="auto"/>
          <w:kern w:val="2"/>
          <w:sz w:val="24"/>
          <w:szCs w:val="24"/>
          <w:highlight w:val="none"/>
          <w:lang w:val="en-US" w:eastAsia="zh-CN"/>
        </w:rPr>
        <w:t>工程量完成100%两个月内支付</w:t>
      </w:r>
      <w:r>
        <w:rPr>
          <w:rFonts w:hint="eastAsia" w:hAnsi="宋体" w:cs="宋体"/>
          <w:color w:val="auto"/>
          <w:kern w:val="2"/>
          <w:sz w:val="24"/>
          <w:szCs w:val="24"/>
          <w:highlight w:val="none"/>
          <w:lang w:val="en-US" w:eastAsia="zh-CN"/>
        </w:rPr>
        <w:t>跟审</w:t>
      </w:r>
      <w:r>
        <w:rPr>
          <w:rFonts w:hint="eastAsia" w:ascii="宋体" w:hAnsi="宋体" w:eastAsia="宋体" w:cs="宋体"/>
          <w:color w:val="auto"/>
          <w:kern w:val="2"/>
          <w:sz w:val="24"/>
          <w:szCs w:val="24"/>
          <w:highlight w:val="none"/>
          <w:lang w:val="en-US" w:eastAsia="zh-CN"/>
        </w:rPr>
        <w:t>合同价款20%；</w:t>
      </w:r>
    </w:p>
    <w:p w14:paraId="63E71B36">
      <w:pPr>
        <w:snapToGrid w:val="0"/>
        <w:spacing w:line="336" w:lineRule="auto"/>
        <w:ind w:firstLine="480" w:firstLineChars="200"/>
        <w:rPr>
          <w:rFonts w:hAnsi="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⑤余款（一审基本收费+核减收费</w:t>
      </w:r>
      <w:r>
        <w:rPr>
          <w:rFonts w:hint="eastAsia" w:hAnsi="宋体" w:cs="宋体"/>
          <w:color w:val="auto"/>
          <w:kern w:val="2"/>
          <w:sz w:val="24"/>
          <w:szCs w:val="24"/>
          <w:highlight w:val="none"/>
          <w:lang w:val="en-US" w:eastAsia="zh-CN"/>
        </w:rPr>
        <w:t>+跟审部分的合同尾款</w:t>
      </w:r>
      <w:r>
        <w:rPr>
          <w:rFonts w:hint="eastAsia" w:ascii="宋体" w:hAnsi="宋体" w:eastAsia="宋体" w:cs="宋体"/>
          <w:color w:val="auto"/>
          <w:kern w:val="2"/>
          <w:sz w:val="24"/>
          <w:szCs w:val="24"/>
          <w:highlight w:val="none"/>
          <w:lang w:val="en-US" w:eastAsia="zh-CN"/>
        </w:rPr>
        <w:t>）在二审报告出具后，两个月内付清。</w:t>
      </w:r>
    </w:p>
    <w:p w14:paraId="6BD35056">
      <w:pPr>
        <w:snapToGrid w:val="0"/>
        <w:spacing w:line="336" w:lineRule="auto"/>
        <w:ind w:firstLine="480" w:firstLineChars="200"/>
        <w:rPr>
          <w:rFonts w:hint="eastAsia" w:ascii="宋体" w:hAnsi="宋体" w:eastAsia="宋体" w:cs="宋体"/>
          <w:color w:val="auto"/>
          <w:kern w:val="2"/>
          <w:sz w:val="24"/>
          <w:szCs w:val="24"/>
          <w:highlight w:val="none"/>
        </w:rPr>
      </w:pPr>
      <w:r>
        <w:rPr>
          <w:rFonts w:hint="eastAsia" w:hAnsi="宋体" w:cs="宋体"/>
          <w:color w:val="auto"/>
          <w:kern w:val="2"/>
          <w:sz w:val="24"/>
          <w:szCs w:val="24"/>
          <w:highlight w:val="none"/>
        </w:rPr>
        <w:t>2、服务</w:t>
      </w:r>
      <w:r>
        <w:rPr>
          <w:rFonts w:hint="eastAsia" w:ascii="宋体" w:hAnsi="宋体" w:eastAsia="宋体" w:cs="宋体"/>
          <w:color w:val="auto"/>
          <w:kern w:val="2"/>
          <w:sz w:val="24"/>
          <w:szCs w:val="24"/>
          <w:highlight w:val="none"/>
        </w:rPr>
        <w:t>期：自合同签订之日起至本项目竣工结算完成为止。</w:t>
      </w:r>
    </w:p>
    <w:p w14:paraId="5764980C">
      <w:pPr>
        <w:snapToGrid w:val="0"/>
        <w:spacing w:line="336"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3、服务地点：江西省上饶市</w:t>
      </w:r>
      <w:r>
        <w:rPr>
          <w:rFonts w:hint="eastAsia" w:ascii="宋体" w:hAnsi="宋体" w:eastAsia="宋体" w:cs="宋体"/>
          <w:color w:val="auto"/>
          <w:kern w:val="2"/>
          <w:sz w:val="24"/>
          <w:szCs w:val="24"/>
          <w:highlight w:val="none"/>
          <w:lang w:eastAsia="zh-CN"/>
        </w:rPr>
        <w:t>经开区</w:t>
      </w:r>
      <w:r>
        <w:rPr>
          <w:rFonts w:hint="eastAsia" w:ascii="宋体" w:hAnsi="宋体" w:eastAsia="宋体" w:cs="宋体"/>
          <w:color w:val="auto"/>
          <w:kern w:val="2"/>
          <w:sz w:val="24"/>
          <w:szCs w:val="24"/>
          <w:highlight w:val="none"/>
        </w:rPr>
        <w:t>。</w:t>
      </w:r>
    </w:p>
    <w:p w14:paraId="1050CEF5">
      <w:pPr>
        <w:snapToGrid w:val="0"/>
        <w:spacing w:line="336" w:lineRule="auto"/>
        <w:ind w:firstLine="480" w:firstLineChars="200"/>
        <w:rPr>
          <w:rFonts w:hint="eastAsia" w:ascii="宋体" w:hAnsi="宋体" w:eastAsia="宋体" w:cs="宋体"/>
          <w:color w:val="auto"/>
          <w:kern w:val="2"/>
          <w:sz w:val="24"/>
          <w:szCs w:val="24"/>
          <w:highlight w:val="none"/>
        </w:rPr>
      </w:pPr>
      <w:r>
        <w:rPr>
          <w:rFonts w:hint="eastAsia" w:hAnsi="宋体" w:cs="宋体"/>
          <w:color w:val="auto"/>
          <w:kern w:val="2"/>
          <w:sz w:val="24"/>
          <w:szCs w:val="24"/>
          <w:highlight w:val="none"/>
        </w:rPr>
        <w:t>4、中标人在履行合同期间，应对中标人（或其雇佣人员）的疏忽、故意或过失而造成采购人的直接或间接损失、第三者的财产损失及安全责任事故等负责，并承担相应费用。</w:t>
      </w:r>
    </w:p>
    <w:p w14:paraId="481E4CBE">
      <w:pPr>
        <w:snapToGrid w:val="0"/>
        <w:spacing w:line="336" w:lineRule="auto"/>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最终的造价服务费：</w:t>
      </w:r>
    </w:p>
    <w:p w14:paraId="2ECA4F2A">
      <w:pPr>
        <w:snapToGrid w:val="0"/>
        <w:spacing w:line="336" w:lineRule="auto"/>
        <w:ind w:firstLine="480" w:firstLineChars="200"/>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①跟踪审计费用（含一审）基本费用暂按合同造价总额的2.8‰计取，各投标报价不得超过本数。其中一审基本收费按结算送审造价的1.2‰计取，跟踪审计按施工合同价款的1.6‰计取，中标后按相应比例分别计取。</w:t>
      </w:r>
    </w:p>
    <w:p w14:paraId="2CAC9EE4">
      <w:pPr>
        <w:snapToGrid w:val="0"/>
        <w:spacing w:line="336" w:lineRule="auto"/>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②一审核减收费按核减工程款5%计取，各投标报价不得超过本数。</w:t>
      </w:r>
    </w:p>
    <w:p w14:paraId="65BAA018">
      <w:pPr>
        <w:snapToGrid w:val="0"/>
        <w:spacing w:line="336" w:lineRule="auto"/>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跟踪审计不计取核减费用。</w:t>
      </w:r>
    </w:p>
    <w:p w14:paraId="49061FBF">
      <w:pPr>
        <w:snapToGrid w:val="0"/>
        <w:spacing w:line="336" w:lineRule="auto"/>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③合计收费=基本收费+核减收费</w:t>
      </w:r>
    </w:p>
    <w:p w14:paraId="51748B14">
      <w:pPr>
        <w:snapToGrid w:val="0"/>
        <w:spacing w:line="336" w:lineRule="auto"/>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④一审核减额在送审价5%以内的，核减审计费由委托方承担，核减额在送审价5%以上的，超出5%的部分由施工单位承担。</w:t>
      </w:r>
    </w:p>
    <w:p w14:paraId="35A4BACB">
      <w:pPr>
        <w:snapToGrid w:val="0"/>
        <w:spacing w:line="336" w:lineRule="auto"/>
        <w:ind w:firstLine="480" w:firstLineChars="200"/>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⑤二审核减额在一审定价5%以内的核减审计费由委托方承担,二审核减额超出5%的部分由一审单位承担，从一审审计费中扣除。</w:t>
      </w:r>
    </w:p>
    <w:p w14:paraId="0D049E51">
      <w:pPr>
        <w:snapToGrid w:val="0"/>
        <w:spacing w:line="336"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其他未尽事宜可在合同中约定。</w:t>
      </w:r>
    </w:p>
    <w:p w14:paraId="7C766324">
      <w:pPr>
        <w:snapToGrid w:val="0"/>
        <w:spacing w:line="336" w:lineRule="auto"/>
        <w:ind w:firstLine="480" w:firstLineChars="200"/>
        <w:rPr>
          <w:rFonts w:hint="eastAsia" w:ascii="宋体" w:hAnsi="宋体" w:eastAsia="宋体" w:cs="宋体"/>
          <w:color w:val="auto"/>
          <w:kern w:val="2"/>
          <w:sz w:val="24"/>
          <w:szCs w:val="24"/>
          <w:highlight w:val="none"/>
        </w:rPr>
      </w:pPr>
    </w:p>
    <w:p w14:paraId="5D9580F8">
      <w:pPr>
        <w:pStyle w:val="2"/>
        <w:rPr>
          <w:rFonts w:hint="eastAsia" w:ascii="宋体" w:hAnsi="宋体" w:eastAsia="宋体" w:cs="宋体"/>
          <w:color w:val="auto"/>
          <w:kern w:val="2"/>
          <w:sz w:val="24"/>
          <w:szCs w:val="24"/>
          <w:highlight w:val="none"/>
        </w:rPr>
      </w:pPr>
    </w:p>
    <w:p w14:paraId="642EB74A">
      <w:pPr>
        <w:pStyle w:val="2"/>
        <w:rPr>
          <w:rFonts w:hint="eastAsia" w:ascii="宋体" w:hAnsi="宋体" w:eastAsia="宋体" w:cs="宋体"/>
          <w:kern w:val="2"/>
          <w:sz w:val="24"/>
          <w:szCs w:val="24"/>
        </w:rPr>
      </w:pPr>
    </w:p>
    <w:p w14:paraId="7C31CBDF">
      <w:pPr>
        <w:pStyle w:val="2"/>
        <w:rPr>
          <w:rFonts w:hint="eastAsia" w:ascii="宋体" w:hAnsi="宋体" w:eastAsia="宋体" w:cs="宋体"/>
          <w:kern w:val="2"/>
          <w:sz w:val="24"/>
          <w:szCs w:val="24"/>
        </w:rPr>
      </w:pPr>
    </w:p>
    <w:p w14:paraId="261FF501">
      <w:pPr>
        <w:pStyle w:val="2"/>
        <w:rPr>
          <w:rFonts w:hint="eastAsia" w:ascii="宋体" w:hAnsi="宋体" w:eastAsia="宋体" w:cs="宋体"/>
          <w:kern w:val="2"/>
          <w:sz w:val="24"/>
          <w:szCs w:val="24"/>
        </w:rPr>
      </w:pPr>
    </w:p>
    <w:p w14:paraId="081E29E4">
      <w:pPr>
        <w:pStyle w:val="2"/>
        <w:rPr>
          <w:rFonts w:hint="eastAsia" w:ascii="宋体" w:hAnsi="宋体" w:eastAsia="宋体" w:cs="宋体"/>
          <w:kern w:val="2"/>
          <w:sz w:val="24"/>
          <w:szCs w:val="24"/>
        </w:rPr>
      </w:pPr>
    </w:p>
    <w:p w14:paraId="3B63EF68">
      <w:pPr>
        <w:pStyle w:val="2"/>
        <w:rPr>
          <w:rFonts w:hint="eastAsia" w:ascii="宋体" w:hAnsi="宋体" w:eastAsia="宋体" w:cs="宋体"/>
          <w:kern w:val="2"/>
          <w:sz w:val="24"/>
          <w:szCs w:val="24"/>
        </w:rPr>
      </w:pPr>
    </w:p>
    <w:p w14:paraId="5285DD43">
      <w:pPr>
        <w:pStyle w:val="2"/>
        <w:rPr>
          <w:rFonts w:hint="eastAsia" w:ascii="宋体" w:hAnsi="宋体" w:eastAsia="宋体" w:cs="宋体"/>
          <w:kern w:val="2"/>
          <w:sz w:val="24"/>
          <w:szCs w:val="24"/>
        </w:rPr>
      </w:pPr>
    </w:p>
    <w:p w14:paraId="04ED7DB7">
      <w:pPr>
        <w:pStyle w:val="2"/>
        <w:rPr>
          <w:rFonts w:hint="eastAsia" w:ascii="宋体" w:hAnsi="宋体" w:eastAsia="宋体" w:cs="宋体"/>
          <w:kern w:val="2"/>
          <w:sz w:val="24"/>
          <w:szCs w:val="24"/>
        </w:rPr>
      </w:pPr>
    </w:p>
    <w:p w14:paraId="26A7B0A0">
      <w:pPr>
        <w:pStyle w:val="2"/>
        <w:rPr>
          <w:rFonts w:hint="eastAsia" w:ascii="宋体" w:hAnsi="宋体" w:eastAsia="宋体" w:cs="宋体"/>
          <w:kern w:val="2"/>
          <w:sz w:val="24"/>
          <w:szCs w:val="24"/>
        </w:rPr>
      </w:pPr>
    </w:p>
    <w:p w14:paraId="38FD0BDA">
      <w:pPr>
        <w:pStyle w:val="2"/>
        <w:rPr>
          <w:rFonts w:hint="eastAsia" w:ascii="宋体" w:hAnsi="宋体" w:eastAsia="宋体" w:cs="宋体"/>
          <w:kern w:val="2"/>
          <w:sz w:val="24"/>
          <w:szCs w:val="24"/>
        </w:rPr>
      </w:pPr>
    </w:p>
    <w:p w14:paraId="2F4A258D">
      <w:pPr>
        <w:pStyle w:val="2"/>
        <w:rPr>
          <w:rFonts w:hint="eastAsia" w:ascii="宋体" w:hAnsi="宋体" w:eastAsia="宋体" w:cs="宋体"/>
          <w:kern w:val="2"/>
          <w:sz w:val="24"/>
          <w:szCs w:val="24"/>
        </w:rPr>
      </w:pPr>
    </w:p>
    <w:p w14:paraId="28B84179">
      <w:pPr>
        <w:pStyle w:val="2"/>
        <w:rPr>
          <w:rFonts w:hint="eastAsia" w:ascii="宋体" w:hAnsi="宋体" w:eastAsia="宋体" w:cs="宋体"/>
          <w:kern w:val="2"/>
          <w:sz w:val="24"/>
          <w:szCs w:val="24"/>
        </w:rPr>
      </w:pPr>
    </w:p>
    <w:p w14:paraId="708A12AB">
      <w:pPr>
        <w:pStyle w:val="2"/>
        <w:rPr>
          <w:rFonts w:hint="eastAsia" w:ascii="宋体" w:hAnsi="宋体" w:eastAsia="宋体" w:cs="宋体"/>
          <w:kern w:val="2"/>
          <w:sz w:val="24"/>
          <w:szCs w:val="24"/>
        </w:rPr>
      </w:pPr>
    </w:p>
    <w:p w14:paraId="031E2566">
      <w:pPr>
        <w:pStyle w:val="2"/>
        <w:rPr>
          <w:rFonts w:hint="eastAsia" w:ascii="宋体" w:hAnsi="宋体" w:eastAsia="宋体" w:cs="宋体"/>
          <w:kern w:val="2"/>
          <w:sz w:val="24"/>
          <w:szCs w:val="24"/>
        </w:rPr>
      </w:pPr>
    </w:p>
    <w:p w14:paraId="17326962">
      <w:pPr>
        <w:pStyle w:val="2"/>
        <w:rPr>
          <w:rFonts w:hint="eastAsia" w:ascii="宋体" w:hAnsi="宋体" w:eastAsia="宋体" w:cs="宋体"/>
          <w:kern w:val="2"/>
          <w:sz w:val="24"/>
          <w:szCs w:val="24"/>
        </w:rPr>
      </w:pPr>
    </w:p>
    <w:p w14:paraId="5BEBBF20">
      <w:pPr>
        <w:pStyle w:val="2"/>
        <w:rPr>
          <w:rFonts w:hint="eastAsia" w:ascii="宋体" w:hAnsi="宋体" w:eastAsia="宋体" w:cs="宋体"/>
          <w:kern w:val="2"/>
          <w:sz w:val="24"/>
          <w:szCs w:val="24"/>
        </w:rPr>
      </w:pPr>
    </w:p>
    <w:p w14:paraId="20D6A7E8">
      <w:pPr>
        <w:pStyle w:val="2"/>
        <w:rPr>
          <w:rFonts w:hint="eastAsia" w:ascii="宋体" w:hAnsi="宋体" w:eastAsia="宋体" w:cs="宋体"/>
          <w:kern w:val="2"/>
          <w:sz w:val="24"/>
          <w:szCs w:val="24"/>
        </w:rPr>
      </w:pPr>
    </w:p>
    <w:p w14:paraId="298184D2">
      <w:pPr>
        <w:pStyle w:val="2"/>
        <w:rPr>
          <w:rFonts w:hint="eastAsia" w:ascii="宋体" w:hAnsi="宋体" w:eastAsia="宋体" w:cs="宋体"/>
          <w:kern w:val="2"/>
          <w:sz w:val="24"/>
          <w:szCs w:val="24"/>
        </w:rPr>
      </w:pPr>
    </w:p>
    <w:p w14:paraId="3536A24E">
      <w:pPr>
        <w:pStyle w:val="2"/>
        <w:rPr>
          <w:rFonts w:hint="eastAsia" w:ascii="宋体" w:hAnsi="宋体" w:eastAsia="宋体" w:cs="宋体"/>
          <w:kern w:val="2"/>
          <w:sz w:val="24"/>
          <w:szCs w:val="24"/>
        </w:rPr>
      </w:pPr>
    </w:p>
    <w:p w14:paraId="4AFEA01E">
      <w:pPr>
        <w:pStyle w:val="2"/>
        <w:rPr>
          <w:rFonts w:hint="eastAsia" w:ascii="宋体" w:hAnsi="宋体" w:eastAsia="宋体" w:cs="宋体"/>
          <w:kern w:val="2"/>
          <w:sz w:val="24"/>
          <w:szCs w:val="24"/>
        </w:rPr>
      </w:pPr>
    </w:p>
    <w:p w14:paraId="31EE69F4">
      <w:pPr>
        <w:pStyle w:val="2"/>
        <w:rPr>
          <w:rFonts w:hint="eastAsia" w:ascii="宋体" w:hAnsi="宋体" w:eastAsia="宋体" w:cs="宋体"/>
          <w:kern w:val="2"/>
          <w:sz w:val="24"/>
          <w:szCs w:val="24"/>
        </w:rPr>
      </w:pPr>
    </w:p>
    <w:p w14:paraId="66D92784">
      <w:pPr>
        <w:pStyle w:val="2"/>
        <w:rPr>
          <w:rFonts w:hint="eastAsia" w:ascii="宋体" w:hAnsi="宋体" w:eastAsia="宋体" w:cs="宋体"/>
          <w:kern w:val="2"/>
          <w:sz w:val="24"/>
          <w:szCs w:val="24"/>
        </w:rPr>
      </w:pPr>
    </w:p>
    <w:p w14:paraId="062A320C">
      <w:pPr>
        <w:pStyle w:val="2"/>
        <w:rPr>
          <w:rFonts w:hint="eastAsia" w:ascii="宋体" w:hAnsi="宋体" w:eastAsia="宋体" w:cs="宋体"/>
          <w:kern w:val="2"/>
          <w:sz w:val="24"/>
          <w:szCs w:val="24"/>
        </w:rPr>
      </w:pPr>
    </w:p>
    <w:p w14:paraId="2B56C8BF">
      <w:pPr>
        <w:pStyle w:val="2"/>
        <w:rPr>
          <w:rFonts w:hint="eastAsia" w:ascii="宋体" w:hAnsi="宋体" w:eastAsia="宋体" w:cs="宋体"/>
          <w:kern w:val="2"/>
          <w:sz w:val="24"/>
          <w:szCs w:val="24"/>
        </w:rPr>
      </w:pPr>
    </w:p>
    <w:p w14:paraId="3CB41B5A">
      <w:pPr>
        <w:pStyle w:val="2"/>
        <w:rPr>
          <w:rFonts w:hint="eastAsia" w:ascii="宋体" w:hAnsi="宋体" w:eastAsia="宋体" w:cs="宋体"/>
          <w:kern w:val="2"/>
          <w:sz w:val="24"/>
          <w:szCs w:val="24"/>
        </w:rPr>
      </w:pPr>
    </w:p>
    <w:p w14:paraId="0E70A2CB">
      <w:pPr>
        <w:pStyle w:val="2"/>
        <w:rPr>
          <w:rFonts w:hint="eastAsia" w:ascii="宋体" w:hAnsi="宋体" w:eastAsia="宋体" w:cs="宋体"/>
          <w:kern w:val="2"/>
          <w:sz w:val="24"/>
          <w:szCs w:val="24"/>
        </w:rPr>
      </w:pPr>
    </w:p>
    <w:p w14:paraId="0AA1335B">
      <w:pPr>
        <w:pStyle w:val="2"/>
        <w:rPr>
          <w:rFonts w:hint="eastAsia" w:ascii="宋体" w:hAnsi="宋体" w:eastAsia="宋体" w:cs="宋体"/>
          <w:kern w:val="2"/>
          <w:sz w:val="24"/>
          <w:szCs w:val="24"/>
        </w:rPr>
      </w:pPr>
    </w:p>
    <w:p w14:paraId="2BBB0E64">
      <w:pPr>
        <w:pStyle w:val="2"/>
        <w:rPr>
          <w:rFonts w:hint="eastAsia" w:ascii="宋体" w:hAnsi="宋体" w:eastAsia="宋体" w:cs="宋体"/>
          <w:kern w:val="2"/>
          <w:sz w:val="24"/>
          <w:szCs w:val="24"/>
        </w:rPr>
      </w:pPr>
    </w:p>
    <w:p w14:paraId="041F8A59">
      <w:pPr>
        <w:pStyle w:val="2"/>
        <w:rPr>
          <w:rFonts w:hint="eastAsia" w:ascii="宋体" w:hAnsi="宋体" w:eastAsia="宋体" w:cs="宋体"/>
          <w:kern w:val="2"/>
          <w:sz w:val="24"/>
          <w:szCs w:val="24"/>
        </w:rPr>
      </w:pPr>
    </w:p>
    <w:p w14:paraId="59DAE77C">
      <w:pPr>
        <w:pStyle w:val="2"/>
        <w:rPr>
          <w:rFonts w:hint="eastAsia" w:ascii="宋体" w:hAnsi="宋体" w:eastAsia="宋体" w:cs="宋体"/>
          <w:kern w:val="2"/>
          <w:sz w:val="24"/>
          <w:szCs w:val="24"/>
        </w:rPr>
      </w:pPr>
    </w:p>
    <w:p w14:paraId="59312F49">
      <w:pPr>
        <w:pStyle w:val="2"/>
        <w:rPr>
          <w:rFonts w:hint="eastAsia" w:ascii="宋体" w:hAnsi="宋体" w:eastAsia="宋体" w:cs="宋体"/>
          <w:kern w:val="2"/>
          <w:sz w:val="24"/>
          <w:szCs w:val="24"/>
        </w:rPr>
      </w:pPr>
    </w:p>
    <w:p w14:paraId="0065D825">
      <w:pPr>
        <w:pStyle w:val="2"/>
        <w:rPr>
          <w:rFonts w:hint="eastAsia" w:ascii="宋体" w:hAnsi="宋体" w:eastAsia="宋体" w:cs="宋体"/>
          <w:kern w:val="2"/>
          <w:sz w:val="24"/>
          <w:szCs w:val="24"/>
        </w:rPr>
      </w:pPr>
    </w:p>
    <w:p w14:paraId="27EF028A">
      <w:pPr>
        <w:pStyle w:val="2"/>
        <w:rPr>
          <w:rFonts w:hint="eastAsia" w:ascii="宋体" w:hAnsi="宋体" w:eastAsia="宋体" w:cs="宋体"/>
          <w:kern w:val="2"/>
          <w:sz w:val="24"/>
          <w:szCs w:val="24"/>
        </w:rPr>
      </w:pPr>
    </w:p>
    <w:p w14:paraId="077E55DD">
      <w:pPr>
        <w:pStyle w:val="2"/>
        <w:rPr>
          <w:rFonts w:hint="eastAsia" w:ascii="宋体" w:hAnsi="宋体" w:eastAsia="宋体" w:cs="宋体"/>
          <w:kern w:val="2"/>
          <w:sz w:val="24"/>
          <w:szCs w:val="24"/>
        </w:rPr>
      </w:pPr>
    </w:p>
    <w:p w14:paraId="045CC40D">
      <w:pPr>
        <w:pStyle w:val="2"/>
        <w:rPr>
          <w:rFonts w:hint="eastAsia" w:ascii="宋体" w:hAnsi="宋体" w:eastAsia="宋体" w:cs="宋体"/>
          <w:kern w:val="2"/>
          <w:sz w:val="24"/>
          <w:szCs w:val="24"/>
        </w:rPr>
      </w:pPr>
    </w:p>
    <w:p w14:paraId="1805D3F5">
      <w:pPr>
        <w:pStyle w:val="2"/>
        <w:rPr>
          <w:rFonts w:hint="eastAsia" w:ascii="宋体" w:hAnsi="宋体" w:eastAsia="宋体" w:cs="宋体"/>
          <w:kern w:val="2"/>
          <w:sz w:val="24"/>
          <w:szCs w:val="24"/>
        </w:rPr>
      </w:pPr>
    </w:p>
    <w:p w14:paraId="0AFF1EB4">
      <w:pPr>
        <w:pStyle w:val="2"/>
        <w:rPr>
          <w:rFonts w:hint="eastAsia" w:ascii="宋体" w:hAnsi="宋体" w:eastAsia="宋体" w:cs="宋体"/>
          <w:kern w:val="2"/>
          <w:sz w:val="24"/>
          <w:szCs w:val="24"/>
        </w:rPr>
      </w:pPr>
    </w:p>
    <w:p w14:paraId="7D08E679">
      <w:pPr>
        <w:pStyle w:val="2"/>
        <w:rPr>
          <w:rFonts w:hint="eastAsia" w:ascii="宋体" w:hAnsi="宋体" w:eastAsia="宋体" w:cs="宋体"/>
          <w:kern w:val="2"/>
          <w:sz w:val="24"/>
          <w:szCs w:val="24"/>
        </w:rPr>
      </w:pPr>
    </w:p>
    <w:p w14:paraId="13AFD6F0">
      <w:pPr>
        <w:pStyle w:val="2"/>
        <w:rPr>
          <w:rFonts w:hint="eastAsia" w:ascii="宋体" w:hAnsi="宋体" w:eastAsia="宋体" w:cs="宋体"/>
          <w:kern w:val="2"/>
          <w:sz w:val="24"/>
          <w:szCs w:val="24"/>
        </w:rPr>
      </w:pPr>
    </w:p>
    <w:p w14:paraId="48802F5C">
      <w:pPr>
        <w:pStyle w:val="2"/>
        <w:rPr>
          <w:rFonts w:hint="eastAsia" w:ascii="宋体" w:hAnsi="宋体" w:eastAsia="宋体" w:cs="宋体"/>
          <w:kern w:val="2"/>
          <w:sz w:val="24"/>
          <w:szCs w:val="24"/>
        </w:rPr>
      </w:pPr>
    </w:p>
    <w:p w14:paraId="0ACE316D">
      <w:pPr>
        <w:pStyle w:val="3"/>
        <w:snapToGrid w:val="0"/>
        <w:spacing w:line="440" w:lineRule="exact"/>
        <w:ind w:firstLine="2891" w:firstLineChars="900"/>
        <w:jc w:val="both"/>
        <w:textAlignment w:val="baseline"/>
        <w:rPr>
          <w:rFonts w:hAnsi="宋体"/>
          <w:b/>
          <w:bCs/>
          <w:sz w:val="32"/>
        </w:rPr>
      </w:pPr>
      <w:r>
        <w:rPr>
          <w:rFonts w:hint="eastAsia" w:hAnsi="宋体"/>
          <w:b/>
          <w:bCs/>
          <w:sz w:val="32"/>
        </w:rPr>
        <w:t>第六章　评审办法</w:t>
      </w:r>
      <w:bookmarkEnd w:id="208"/>
    </w:p>
    <w:p w14:paraId="345FADD4">
      <w:pPr>
        <w:pStyle w:val="3"/>
        <w:snapToGrid w:val="0"/>
        <w:spacing w:line="440" w:lineRule="exact"/>
        <w:jc w:val="center"/>
        <w:textAlignment w:val="baseline"/>
        <w:rPr>
          <w:rFonts w:hAnsi="宋体"/>
          <w:b/>
          <w:bCs/>
          <w:sz w:val="32"/>
        </w:rPr>
      </w:pPr>
      <w:bookmarkStart w:id="209" w:name="_Toc17572"/>
      <w:bookmarkStart w:id="210" w:name="_Toc30656"/>
      <w:bookmarkStart w:id="211" w:name="_Toc21871"/>
      <w:r>
        <w:rPr>
          <w:rFonts w:hint="eastAsia" w:hAnsi="宋体"/>
          <w:b/>
          <w:bCs/>
          <w:sz w:val="32"/>
        </w:rPr>
        <w:t>综合评分法（总分100分）</w:t>
      </w:r>
      <w:bookmarkEnd w:id="209"/>
      <w:bookmarkEnd w:id="210"/>
      <w:bookmarkEnd w:id="211"/>
    </w:p>
    <w:tbl>
      <w:tblPr>
        <w:tblStyle w:val="40"/>
        <w:tblpPr w:leftFromText="180" w:rightFromText="180" w:vertAnchor="text" w:horzAnchor="page" w:tblpX="866" w:tblpY="270"/>
        <w:tblOverlap w:val="never"/>
        <w:tblW w:w="10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687"/>
        <w:gridCol w:w="1276"/>
        <w:gridCol w:w="6347"/>
      </w:tblGrid>
      <w:tr w14:paraId="5CA4D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870" w:type="dxa"/>
            <w:vAlign w:val="center"/>
          </w:tcPr>
          <w:p w14:paraId="4FE815B5">
            <w:pPr>
              <w:snapToGrid w:val="0"/>
              <w:jc w:val="center"/>
              <w:textAlignment w:val="baseline"/>
              <w:rPr>
                <w:b/>
                <w:sz w:val="24"/>
                <w:szCs w:val="24"/>
              </w:rPr>
            </w:pPr>
            <w:r>
              <w:rPr>
                <w:rFonts w:hint="eastAsia"/>
                <w:b/>
                <w:sz w:val="24"/>
                <w:szCs w:val="24"/>
              </w:rPr>
              <w:t>序号</w:t>
            </w:r>
          </w:p>
        </w:tc>
        <w:tc>
          <w:tcPr>
            <w:tcW w:w="1687" w:type="dxa"/>
            <w:vAlign w:val="center"/>
          </w:tcPr>
          <w:p w14:paraId="254FDB8E">
            <w:pPr>
              <w:snapToGrid w:val="0"/>
              <w:jc w:val="center"/>
              <w:textAlignment w:val="baseline"/>
              <w:rPr>
                <w:b/>
                <w:sz w:val="24"/>
                <w:szCs w:val="24"/>
              </w:rPr>
            </w:pPr>
            <w:r>
              <w:rPr>
                <w:rFonts w:hint="eastAsia"/>
                <w:b/>
                <w:sz w:val="24"/>
                <w:szCs w:val="24"/>
              </w:rPr>
              <w:t>评标因素</w:t>
            </w:r>
          </w:p>
        </w:tc>
        <w:tc>
          <w:tcPr>
            <w:tcW w:w="1276" w:type="dxa"/>
            <w:vAlign w:val="center"/>
          </w:tcPr>
          <w:p w14:paraId="5EC3D3F5">
            <w:pPr>
              <w:snapToGrid w:val="0"/>
              <w:jc w:val="center"/>
              <w:textAlignment w:val="baseline"/>
              <w:rPr>
                <w:b/>
                <w:sz w:val="24"/>
                <w:szCs w:val="24"/>
              </w:rPr>
            </w:pPr>
            <w:r>
              <w:rPr>
                <w:rFonts w:hint="eastAsia"/>
                <w:b/>
                <w:sz w:val="24"/>
                <w:szCs w:val="24"/>
              </w:rPr>
              <w:t>分值（分）</w:t>
            </w:r>
          </w:p>
        </w:tc>
        <w:tc>
          <w:tcPr>
            <w:tcW w:w="6347" w:type="dxa"/>
            <w:vAlign w:val="center"/>
          </w:tcPr>
          <w:p w14:paraId="05BC1519">
            <w:pPr>
              <w:snapToGrid w:val="0"/>
              <w:jc w:val="center"/>
              <w:textAlignment w:val="baseline"/>
              <w:rPr>
                <w:b/>
                <w:sz w:val="24"/>
                <w:szCs w:val="24"/>
              </w:rPr>
            </w:pPr>
            <w:r>
              <w:rPr>
                <w:rFonts w:hint="eastAsia"/>
                <w:b/>
                <w:sz w:val="24"/>
                <w:szCs w:val="24"/>
              </w:rPr>
              <w:t>评标标准</w:t>
            </w:r>
          </w:p>
        </w:tc>
      </w:tr>
      <w:tr w14:paraId="55B8A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870" w:type="dxa"/>
            <w:vAlign w:val="center"/>
          </w:tcPr>
          <w:p w14:paraId="6818DE14">
            <w:pPr>
              <w:snapToGrid w:val="0"/>
              <w:jc w:val="center"/>
              <w:textAlignment w:val="baseline"/>
              <w:rPr>
                <w:b/>
                <w:sz w:val="24"/>
                <w:szCs w:val="24"/>
              </w:rPr>
            </w:pPr>
            <w:r>
              <w:rPr>
                <w:rFonts w:hint="eastAsia"/>
                <w:b/>
                <w:sz w:val="24"/>
                <w:szCs w:val="24"/>
              </w:rPr>
              <w:t>1</w:t>
            </w:r>
          </w:p>
        </w:tc>
        <w:tc>
          <w:tcPr>
            <w:tcW w:w="1687" w:type="dxa"/>
            <w:vAlign w:val="center"/>
          </w:tcPr>
          <w:p w14:paraId="21B2D388">
            <w:pPr>
              <w:snapToGrid w:val="0"/>
              <w:jc w:val="center"/>
              <w:textAlignment w:val="baseline"/>
              <w:rPr>
                <w:b/>
                <w:sz w:val="24"/>
                <w:szCs w:val="24"/>
              </w:rPr>
            </w:pPr>
            <w:r>
              <w:rPr>
                <w:rFonts w:hint="eastAsia"/>
                <w:b/>
                <w:sz w:val="24"/>
                <w:szCs w:val="24"/>
              </w:rPr>
              <w:t>价格分值</w:t>
            </w:r>
          </w:p>
        </w:tc>
        <w:tc>
          <w:tcPr>
            <w:tcW w:w="1276" w:type="dxa"/>
            <w:vAlign w:val="center"/>
          </w:tcPr>
          <w:p w14:paraId="684B17F7">
            <w:pPr>
              <w:snapToGrid w:val="0"/>
              <w:jc w:val="center"/>
              <w:textAlignment w:val="baseline"/>
              <w:rPr>
                <w:rFonts w:hint="default" w:eastAsia="宋体"/>
                <w:b/>
                <w:color w:val="auto"/>
                <w:sz w:val="24"/>
                <w:szCs w:val="24"/>
                <w:highlight w:val="none"/>
                <w:lang w:val="en-US" w:eastAsia="zh-CN"/>
              </w:rPr>
            </w:pPr>
            <w:r>
              <w:rPr>
                <w:rFonts w:hint="eastAsia"/>
                <w:b/>
                <w:color w:val="000000" w:themeColor="text1"/>
                <w:sz w:val="24"/>
                <w:szCs w:val="24"/>
                <w:highlight w:val="none"/>
                <w:lang w:val="en-US" w:eastAsia="zh-CN"/>
                <w14:textFill>
                  <w14:solidFill>
                    <w14:schemeClr w14:val="tx1"/>
                  </w14:solidFill>
                </w14:textFill>
              </w:rPr>
              <w:t>20</w:t>
            </w:r>
          </w:p>
        </w:tc>
        <w:tc>
          <w:tcPr>
            <w:tcW w:w="6347" w:type="dxa"/>
            <w:vAlign w:val="center"/>
          </w:tcPr>
          <w:p w14:paraId="533172EE">
            <w:pPr>
              <w:pStyle w:val="149"/>
              <w:numPr>
                <w:ilvl w:val="0"/>
                <w:numId w:val="0"/>
              </w:numPr>
              <w:snapToGrid w:val="0"/>
              <w:spacing w:before="2" w:line="440" w:lineRule="exact"/>
              <w:ind w:right="166" w:rightChars="0" w:firstLine="480" w:firstLineChars="200"/>
              <w:jc w:val="left"/>
              <w:textAlignment w:val="baseline"/>
              <w:rPr>
                <w:rFonts w:hint="eastAsia"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1、跟踪审计费用（含一审）基本费用</w:t>
            </w:r>
            <w:r>
              <w:rPr>
                <w:rFonts w:hint="eastAsia" w:hAnsi="宋体" w:cs="宋体"/>
                <w:color w:val="auto"/>
                <w:sz w:val="24"/>
                <w:szCs w:val="24"/>
                <w:highlight w:val="none"/>
                <w:lang w:val="en-US" w:eastAsia="zh-CN"/>
              </w:rPr>
              <w:t>暂</w:t>
            </w:r>
            <w:r>
              <w:rPr>
                <w:rFonts w:hint="eastAsia" w:ascii="宋体" w:hAnsi="宋体" w:eastAsia="宋体" w:cs="宋体"/>
                <w:color w:val="auto"/>
                <w:sz w:val="24"/>
                <w:szCs w:val="24"/>
                <w:highlight w:val="none"/>
                <w:lang w:val="en-US" w:eastAsia="zh-CN"/>
              </w:rPr>
              <w:t>按合同造价总额的2.8‰计取（其中一审基本收费按结</w:t>
            </w:r>
            <w:r>
              <w:rPr>
                <w:rFonts w:hint="eastAsia" w:hAnsi="宋体" w:cs="宋体"/>
                <w:color w:val="auto"/>
                <w:sz w:val="24"/>
                <w:szCs w:val="24"/>
                <w:highlight w:val="none"/>
                <w:lang w:val="en-US" w:eastAsia="zh-CN"/>
              </w:rPr>
              <w:t>算送审造价的1.2‰计取，跟踪审计费按施工合同价款的1.6‰计取，中标后按相应比例分别计取），各投标报价不得超过本数。</w:t>
            </w:r>
            <w:r>
              <w:rPr>
                <w:rFonts w:hint="eastAsia" w:hAnsi="宋体" w:cs="宋体"/>
                <w:color w:val="auto"/>
                <w:sz w:val="24"/>
                <w:szCs w:val="24"/>
                <w:highlight w:val="none"/>
                <w:lang w:eastAsia="zh-CN"/>
              </w:rPr>
              <w:t>本项最高得</w:t>
            </w:r>
            <w:r>
              <w:rPr>
                <w:rFonts w:hint="eastAsia" w:hAnsi="宋体" w:cs="宋体"/>
                <w:color w:val="auto"/>
                <w:sz w:val="24"/>
                <w:szCs w:val="24"/>
                <w:highlight w:val="none"/>
                <w:lang w:val="en-US" w:eastAsia="zh-CN"/>
              </w:rPr>
              <w:t>10</w:t>
            </w:r>
            <w:r>
              <w:rPr>
                <w:rFonts w:hint="eastAsia" w:hAnsi="宋体" w:cs="宋体"/>
                <w:color w:val="auto"/>
                <w:sz w:val="24"/>
                <w:szCs w:val="24"/>
                <w:highlight w:val="none"/>
              </w:rPr>
              <w:t>分</w:t>
            </w:r>
            <w:r>
              <w:rPr>
                <w:rFonts w:hint="eastAsia" w:hAnsi="宋体" w:cs="宋体"/>
                <w:color w:val="auto"/>
                <w:sz w:val="24"/>
                <w:szCs w:val="24"/>
                <w:highlight w:val="none"/>
                <w:lang w:val="en-US" w:eastAsia="zh-CN"/>
              </w:rPr>
              <w:t>。</w:t>
            </w:r>
          </w:p>
          <w:p w14:paraId="345DC24B">
            <w:pPr>
              <w:pStyle w:val="149"/>
              <w:numPr>
                <w:ilvl w:val="0"/>
                <w:numId w:val="0"/>
              </w:numPr>
              <w:snapToGrid w:val="0"/>
              <w:spacing w:before="2" w:line="440" w:lineRule="exact"/>
              <w:ind w:right="166" w:rightChars="0" w:firstLine="480" w:firstLineChars="200"/>
              <w:jc w:val="left"/>
              <w:textAlignment w:val="baseline"/>
              <w:rPr>
                <w:rFonts w:hAnsi="宋体" w:cs="宋体"/>
                <w:color w:val="auto"/>
                <w:sz w:val="24"/>
                <w:szCs w:val="24"/>
                <w:highlight w:val="none"/>
              </w:rPr>
            </w:pPr>
            <w:r>
              <w:rPr>
                <w:rFonts w:hint="eastAsia" w:hAnsi="宋体" w:cs="宋体"/>
                <w:color w:val="auto"/>
                <w:sz w:val="24"/>
                <w:szCs w:val="24"/>
                <w:highlight w:val="none"/>
              </w:rPr>
              <w:t>价格分采用低价优先法计算，即满足招标文件要求且最后报价最低的投标报价为评标基准价，其价格分为满分。其他</w:t>
            </w:r>
            <w:r>
              <w:rPr>
                <w:rFonts w:hint="eastAsia" w:hAnsi="宋体" w:cs="宋体"/>
                <w:color w:val="auto"/>
                <w:sz w:val="24"/>
                <w:szCs w:val="24"/>
                <w:highlight w:val="none"/>
                <w:lang w:val="en-US" w:eastAsia="zh-CN"/>
              </w:rPr>
              <w:t>投标人</w:t>
            </w:r>
            <w:r>
              <w:rPr>
                <w:rFonts w:hint="eastAsia" w:hAnsi="宋体" w:cs="宋体"/>
                <w:color w:val="auto"/>
                <w:sz w:val="24"/>
                <w:szCs w:val="24"/>
                <w:highlight w:val="none"/>
              </w:rPr>
              <w:t>的价格分统一按下列公式计算：</w:t>
            </w:r>
          </w:p>
          <w:p w14:paraId="283201F4">
            <w:pPr>
              <w:pStyle w:val="149"/>
              <w:snapToGrid w:val="0"/>
              <w:spacing w:before="2" w:line="440" w:lineRule="exact"/>
              <w:ind w:left="107" w:right="166"/>
              <w:jc w:val="left"/>
              <w:textAlignment w:val="baseline"/>
              <w:rPr>
                <w:rFonts w:hAnsi="宋体" w:cs="宋体"/>
                <w:b/>
                <w:color w:val="auto"/>
                <w:sz w:val="24"/>
                <w:szCs w:val="24"/>
                <w:highlight w:val="none"/>
              </w:rPr>
            </w:pPr>
            <w:r>
              <w:rPr>
                <w:rFonts w:hint="eastAsia" w:hAnsi="宋体" w:cs="宋体"/>
                <w:b/>
                <w:color w:val="auto"/>
                <w:sz w:val="24"/>
                <w:szCs w:val="24"/>
                <w:highlight w:val="none"/>
              </w:rPr>
              <w:t>报价得分=（评标基准价/投标报价）*</w:t>
            </w:r>
            <w:r>
              <w:rPr>
                <w:rFonts w:hint="eastAsia" w:hAnsi="宋体" w:cs="宋体"/>
                <w:b/>
                <w:color w:val="auto"/>
                <w:sz w:val="24"/>
                <w:szCs w:val="24"/>
                <w:highlight w:val="none"/>
                <w:lang w:val="en-US" w:eastAsia="zh-CN"/>
              </w:rPr>
              <w:t>10</w:t>
            </w:r>
            <w:r>
              <w:rPr>
                <w:rFonts w:hint="eastAsia" w:hAnsi="宋体" w:cs="宋体"/>
                <w:b/>
                <w:color w:val="auto"/>
                <w:sz w:val="24"/>
                <w:szCs w:val="24"/>
                <w:highlight w:val="none"/>
              </w:rPr>
              <w:t>分</w:t>
            </w:r>
          </w:p>
          <w:p w14:paraId="4B3F867C">
            <w:pPr>
              <w:pStyle w:val="149"/>
              <w:snapToGrid w:val="0"/>
              <w:spacing w:before="2" w:line="440" w:lineRule="exact"/>
              <w:ind w:left="107" w:right="166"/>
              <w:jc w:val="left"/>
              <w:textAlignment w:val="baseline"/>
              <w:rPr>
                <w:rFonts w:hint="eastAsia" w:hAnsi="宋体" w:cs="宋体"/>
                <w:b/>
                <w:color w:val="auto"/>
                <w:sz w:val="24"/>
                <w:szCs w:val="24"/>
                <w:highlight w:val="none"/>
                <w:lang w:eastAsia="zh-CN"/>
              </w:rPr>
            </w:pPr>
            <w:r>
              <w:rPr>
                <w:rFonts w:hint="eastAsia" w:hAnsi="宋体" w:cs="宋体"/>
                <w:b/>
                <w:color w:val="auto"/>
                <w:sz w:val="24"/>
                <w:szCs w:val="24"/>
                <w:highlight w:val="none"/>
              </w:rPr>
              <w:t>备注：</w:t>
            </w:r>
            <w:r>
              <w:rPr>
                <w:rFonts w:hint="eastAsia" w:hAnsi="宋体" w:cs="宋体"/>
                <w:b/>
                <w:color w:val="auto"/>
                <w:sz w:val="24"/>
                <w:szCs w:val="24"/>
                <w:highlight w:val="none"/>
                <w:lang w:val="en-US" w:eastAsia="zh-CN"/>
              </w:rPr>
              <w:t>投标人</w:t>
            </w:r>
            <w:r>
              <w:rPr>
                <w:rFonts w:hint="eastAsia" w:hAnsi="宋体" w:cs="宋体"/>
                <w:b/>
                <w:color w:val="auto"/>
                <w:sz w:val="24"/>
                <w:szCs w:val="24"/>
                <w:highlight w:val="none"/>
                <w:lang w:eastAsia="zh-CN"/>
              </w:rPr>
              <w:t>的报价明显低于其他通过符合性审查</w:t>
            </w:r>
            <w:r>
              <w:rPr>
                <w:rFonts w:hint="eastAsia" w:hAnsi="宋体" w:cs="宋体"/>
                <w:b/>
                <w:color w:val="auto"/>
                <w:sz w:val="24"/>
                <w:szCs w:val="24"/>
                <w:highlight w:val="none"/>
                <w:lang w:val="en-US" w:eastAsia="zh-CN"/>
              </w:rPr>
              <w:t>投标人</w:t>
            </w:r>
            <w:r>
              <w:rPr>
                <w:rFonts w:hint="eastAsia" w:hAnsi="宋体" w:cs="宋体"/>
                <w:b/>
                <w:color w:val="auto"/>
                <w:sz w:val="24"/>
                <w:szCs w:val="24"/>
                <w:highlight w:val="none"/>
                <w:lang w:eastAsia="zh-CN"/>
              </w:rPr>
              <w:t>的报价，有可能影响产品质量或者不能诚信履约的，评标委员会应当要求其在评标现场合理的时间内提供书面说明，必要时提交相关证明材料（包括设备费用、管理费用、人工工资构成、税收等所有成本和利润）；</w:t>
            </w:r>
            <w:r>
              <w:rPr>
                <w:rFonts w:hint="eastAsia" w:hAnsi="宋体" w:cs="宋体"/>
                <w:b/>
                <w:color w:val="auto"/>
                <w:sz w:val="24"/>
                <w:szCs w:val="24"/>
                <w:highlight w:val="none"/>
                <w:lang w:val="en-US" w:eastAsia="zh-CN"/>
              </w:rPr>
              <w:t>投标人</w:t>
            </w:r>
            <w:r>
              <w:rPr>
                <w:rFonts w:hint="eastAsia" w:hAnsi="宋体" w:cs="宋体"/>
                <w:b/>
                <w:color w:val="auto"/>
                <w:sz w:val="24"/>
                <w:szCs w:val="24"/>
                <w:highlight w:val="none"/>
                <w:lang w:eastAsia="zh-CN"/>
              </w:rPr>
              <w:t>不能证明其报价合理性的，评标委员会应当将其作为无效响应处理。</w:t>
            </w:r>
          </w:p>
          <w:p w14:paraId="10FF028D">
            <w:pPr>
              <w:pStyle w:val="149"/>
              <w:numPr>
                <w:ilvl w:val="0"/>
                <w:numId w:val="0"/>
              </w:numPr>
              <w:snapToGrid w:val="0"/>
              <w:spacing w:before="2" w:line="440" w:lineRule="exact"/>
              <w:ind w:right="166" w:rightChars="0" w:firstLine="480" w:firstLineChars="200"/>
              <w:jc w:val="left"/>
              <w:textAlignment w:val="baseline"/>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2、一审核减收</w:t>
            </w:r>
            <w:r>
              <w:rPr>
                <w:rFonts w:hint="eastAsia" w:ascii="宋体" w:hAnsi="宋体" w:eastAsia="宋体" w:cs="宋体"/>
                <w:color w:val="auto"/>
                <w:sz w:val="24"/>
                <w:szCs w:val="24"/>
                <w:highlight w:val="none"/>
                <w:lang w:val="en-US" w:eastAsia="zh-CN"/>
              </w:rPr>
              <w:t>费按核减工程款5%计取，各投标报价不得超过本数。本项最高得1</w:t>
            </w:r>
            <w:r>
              <w:rPr>
                <w:rFonts w:hint="eastAsia"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分。</w:t>
            </w:r>
          </w:p>
          <w:p w14:paraId="11423086">
            <w:pPr>
              <w:pStyle w:val="149"/>
              <w:numPr>
                <w:ilvl w:val="0"/>
                <w:numId w:val="0"/>
              </w:numPr>
              <w:snapToGrid w:val="0"/>
              <w:spacing w:before="2" w:line="440" w:lineRule="exact"/>
              <w:ind w:right="166" w:rightChars="0" w:firstLine="480" w:firstLineChars="200"/>
              <w:jc w:val="left"/>
              <w:textAlignment w:val="baseline"/>
              <w:rPr>
                <w:rFonts w:hAnsi="宋体" w:cs="宋体"/>
                <w:color w:val="auto"/>
                <w:sz w:val="24"/>
                <w:szCs w:val="24"/>
                <w:highlight w:val="none"/>
              </w:rPr>
            </w:pPr>
            <w:r>
              <w:rPr>
                <w:rFonts w:hint="eastAsia" w:hAnsi="宋体" w:cs="宋体"/>
                <w:color w:val="auto"/>
                <w:sz w:val="24"/>
                <w:szCs w:val="24"/>
                <w:highlight w:val="none"/>
              </w:rPr>
              <w:t>价格分采用低价优先法计算，即满足招标文件要求且最后报价最低的投标报价为评标基准价，其价格分为满分。其他</w:t>
            </w:r>
            <w:r>
              <w:rPr>
                <w:rFonts w:hint="eastAsia" w:hAnsi="宋体" w:cs="宋体"/>
                <w:color w:val="auto"/>
                <w:sz w:val="24"/>
                <w:szCs w:val="24"/>
                <w:highlight w:val="none"/>
                <w:lang w:val="en-US" w:eastAsia="zh-CN"/>
              </w:rPr>
              <w:t>投标人</w:t>
            </w:r>
            <w:r>
              <w:rPr>
                <w:rFonts w:hint="eastAsia" w:hAnsi="宋体" w:cs="宋体"/>
                <w:color w:val="auto"/>
                <w:sz w:val="24"/>
                <w:szCs w:val="24"/>
                <w:highlight w:val="none"/>
              </w:rPr>
              <w:t>的价格分统一按下列公式计算：</w:t>
            </w:r>
          </w:p>
          <w:p w14:paraId="72C9FD0A">
            <w:pPr>
              <w:pStyle w:val="149"/>
              <w:snapToGrid w:val="0"/>
              <w:spacing w:before="2" w:line="440" w:lineRule="exact"/>
              <w:ind w:left="107" w:right="166"/>
              <w:jc w:val="left"/>
              <w:textAlignment w:val="baseline"/>
              <w:rPr>
                <w:rFonts w:hAnsi="宋体" w:cs="宋体"/>
                <w:b/>
                <w:color w:val="auto"/>
                <w:sz w:val="24"/>
                <w:szCs w:val="24"/>
                <w:highlight w:val="none"/>
              </w:rPr>
            </w:pPr>
            <w:r>
              <w:rPr>
                <w:rFonts w:hint="eastAsia" w:hAnsi="宋体" w:cs="宋体"/>
                <w:b/>
                <w:color w:val="auto"/>
                <w:sz w:val="24"/>
                <w:szCs w:val="24"/>
                <w:highlight w:val="none"/>
              </w:rPr>
              <w:t>报价得分=（评标基准价/投标报价）*</w:t>
            </w:r>
            <w:r>
              <w:rPr>
                <w:rFonts w:hint="eastAsia" w:hAnsi="宋体" w:cs="宋体"/>
                <w:b/>
                <w:color w:val="auto"/>
                <w:sz w:val="24"/>
                <w:szCs w:val="24"/>
                <w:highlight w:val="none"/>
                <w:lang w:val="en-US" w:eastAsia="zh-CN"/>
              </w:rPr>
              <w:t>10</w:t>
            </w:r>
            <w:r>
              <w:rPr>
                <w:rFonts w:hint="eastAsia" w:hAnsi="宋体" w:cs="宋体"/>
                <w:b/>
                <w:color w:val="auto"/>
                <w:sz w:val="24"/>
                <w:szCs w:val="24"/>
                <w:highlight w:val="none"/>
              </w:rPr>
              <w:t>分</w:t>
            </w:r>
          </w:p>
          <w:p w14:paraId="41234F88">
            <w:pPr>
              <w:pStyle w:val="149"/>
              <w:snapToGrid w:val="0"/>
              <w:spacing w:before="2" w:line="440" w:lineRule="exact"/>
              <w:ind w:left="107" w:right="166"/>
              <w:jc w:val="left"/>
              <w:textAlignment w:val="baseline"/>
              <w:rPr>
                <w:rFonts w:hint="default" w:hAnsi="宋体" w:cs="宋体"/>
                <w:b/>
                <w:color w:val="auto"/>
                <w:sz w:val="24"/>
                <w:szCs w:val="24"/>
                <w:highlight w:val="none"/>
                <w:lang w:val="en-US" w:eastAsia="zh-CN"/>
              </w:rPr>
            </w:pPr>
            <w:r>
              <w:rPr>
                <w:rFonts w:hint="eastAsia" w:hAnsi="宋体" w:cs="宋体"/>
                <w:b/>
                <w:color w:val="auto"/>
                <w:sz w:val="24"/>
                <w:szCs w:val="24"/>
                <w:highlight w:val="none"/>
              </w:rPr>
              <w:t>备注：</w:t>
            </w:r>
            <w:r>
              <w:rPr>
                <w:rFonts w:hint="eastAsia" w:hAnsi="宋体" w:cs="宋体"/>
                <w:b/>
                <w:color w:val="auto"/>
                <w:sz w:val="24"/>
                <w:szCs w:val="24"/>
                <w:highlight w:val="none"/>
                <w:lang w:val="en-US" w:eastAsia="zh-CN"/>
              </w:rPr>
              <w:t>投标人</w:t>
            </w:r>
            <w:r>
              <w:rPr>
                <w:rFonts w:hint="eastAsia" w:hAnsi="宋体" w:cs="宋体"/>
                <w:b/>
                <w:color w:val="auto"/>
                <w:sz w:val="24"/>
                <w:szCs w:val="24"/>
                <w:highlight w:val="none"/>
                <w:lang w:eastAsia="zh-CN"/>
              </w:rPr>
              <w:t>的报价明显低于其他通过符合性审查</w:t>
            </w:r>
            <w:r>
              <w:rPr>
                <w:rFonts w:hint="eastAsia" w:hAnsi="宋体" w:cs="宋体"/>
                <w:b/>
                <w:color w:val="auto"/>
                <w:sz w:val="24"/>
                <w:szCs w:val="24"/>
                <w:highlight w:val="none"/>
                <w:lang w:val="en-US" w:eastAsia="zh-CN"/>
              </w:rPr>
              <w:t>投标人</w:t>
            </w:r>
            <w:r>
              <w:rPr>
                <w:rFonts w:hint="eastAsia" w:hAnsi="宋体" w:cs="宋体"/>
                <w:b/>
                <w:color w:val="auto"/>
                <w:sz w:val="24"/>
                <w:szCs w:val="24"/>
                <w:highlight w:val="none"/>
                <w:lang w:eastAsia="zh-CN"/>
              </w:rPr>
              <w:t>的报价，有可能影响产品质量或者不能诚信履约的，评标委员会应当要求其在评标现场合理的时间内提供书面说明，必要时提交相关证明材料（包括设备费用、管理费用、人工工资构成、税收等所有成本和利润）；</w:t>
            </w:r>
            <w:r>
              <w:rPr>
                <w:rFonts w:hint="eastAsia" w:hAnsi="宋体" w:cs="宋体"/>
                <w:b/>
                <w:color w:val="auto"/>
                <w:sz w:val="24"/>
                <w:szCs w:val="24"/>
                <w:highlight w:val="none"/>
                <w:lang w:val="en-US" w:eastAsia="zh-CN"/>
              </w:rPr>
              <w:t>投标人</w:t>
            </w:r>
            <w:r>
              <w:rPr>
                <w:rFonts w:hint="eastAsia" w:hAnsi="宋体" w:cs="宋体"/>
                <w:b/>
                <w:color w:val="auto"/>
                <w:sz w:val="24"/>
                <w:szCs w:val="24"/>
                <w:highlight w:val="none"/>
                <w:lang w:eastAsia="zh-CN"/>
              </w:rPr>
              <w:t>不能证明其报价合理性的，评标委员会应当将其作为无效响应处理。</w:t>
            </w:r>
          </w:p>
        </w:tc>
      </w:tr>
      <w:tr w14:paraId="1C408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180" w:type="dxa"/>
            <w:gridSpan w:val="4"/>
            <w:vAlign w:val="center"/>
          </w:tcPr>
          <w:p w14:paraId="767CDF71">
            <w:pPr>
              <w:pStyle w:val="149"/>
              <w:snapToGrid w:val="0"/>
              <w:spacing w:before="2"/>
              <w:ind w:left="107" w:right="166"/>
              <w:jc w:val="center"/>
              <w:textAlignment w:val="baseline"/>
              <w:rPr>
                <w:rFonts w:hAnsi="宋体" w:cs="宋体"/>
                <w:color w:val="auto"/>
                <w:sz w:val="24"/>
                <w:szCs w:val="24"/>
              </w:rPr>
            </w:pPr>
            <w:r>
              <w:rPr>
                <w:rFonts w:hint="eastAsia" w:hAnsi="宋体" w:cs="宋体"/>
                <w:b/>
                <w:color w:val="auto"/>
                <w:sz w:val="24"/>
                <w:szCs w:val="24"/>
              </w:rPr>
              <w:t>技术部分（</w:t>
            </w:r>
            <w:r>
              <w:rPr>
                <w:rFonts w:hint="eastAsia" w:hAnsi="宋体" w:cs="宋体"/>
                <w:b/>
                <w:color w:val="auto"/>
                <w:sz w:val="24"/>
                <w:szCs w:val="24"/>
                <w:lang w:val="en-US" w:eastAsia="zh-CN"/>
              </w:rPr>
              <w:t>55</w:t>
            </w:r>
            <w:r>
              <w:rPr>
                <w:rFonts w:hint="eastAsia" w:hAnsi="宋体" w:cs="宋体"/>
                <w:b/>
                <w:color w:val="auto"/>
                <w:sz w:val="24"/>
                <w:szCs w:val="24"/>
              </w:rPr>
              <w:t>分）</w:t>
            </w:r>
          </w:p>
        </w:tc>
      </w:tr>
      <w:tr w14:paraId="3F9F9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870" w:type="dxa"/>
            <w:vAlign w:val="center"/>
          </w:tcPr>
          <w:p w14:paraId="669D2F82">
            <w:pPr>
              <w:snapToGrid w:val="0"/>
              <w:spacing w:line="400" w:lineRule="exact"/>
              <w:jc w:val="center"/>
              <w:textAlignment w:val="baseline"/>
              <w:rPr>
                <w:b/>
                <w:sz w:val="24"/>
                <w:szCs w:val="24"/>
              </w:rPr>
            </w:pPr>
            <w:r>
              <w:rPr>
                <w:rFonts w:hint="eastAsia"/>
                <w:b/>
                <w:sz w:val="24"/>
                <w:szCs w:val="24"/>
              </w:rPr>
              <w:t>1</w:t>
            </w:r>
          </w:p>
        </w:tc>
        <w:tc>
          <w:tcPr>
            <w:tcW w:w="1687" w:type="dxa"/>
            <w:vAlign w:val="center"/>
          </w:tcPr>
          <w:p w14:paraId="3AAA155A">
            <w:pPr>
              <w:snapToGrid w:val="0"/>
              <w:spacing w:line="400" w:lineRule="exact"/>
              <w:jc w:val="center"/>
              <w:textAlignment w:val="baseline"/>
              <w:rPr>
                <w:b/>
                <w:sz w:val="24"/>
                <w:szCs w:val="24"/>
              </w:rPr>
            </w:pPr>
            <w:r>
              <w:rPr>
                <w:rFonts w:hint="eastAsia"/>
                <w:b/>
                <w:sz w:val="24"/>
                <w:szCs w:val="24"/>
              </w:rPr>
              <w:t>技术条款</w:t>
            </w:r>
          </w:p>
          <w:p w14:paraId="7309438E">
            <w:pPr>
              <w:snapToGrid w:val="0"/>
              <w:spacing w:line="400" w:lineRule="exact"/>
              <w:jc w:val="center"/>
              <w:textAlignment w:val="baseline"/>
              <w:rPr>
                <w:b/>
                <w:sz w:val="24"/>
                <w:szCs w:val="24"/>
              </w:rPr>
            </w:pPr>
            <w:r>
              <w:rPr>
                <w:rFonts w:hint="eastAsia"/>
                <w:b/>
                <w:sz w:val="24"/>
                <w:szCs w:val="24"/>
              </w:rPr>
              <w:t>响应</w:t>
            </w:r>
          </w:p>
        </w:tc>
        <w:tc>
          <w:tcPr>
            <w:tcW w:w="1276" w:type="dxa"/>
            <w:vAlign w:val="center"/>
          </w:tcPr>
          <w:p w14:paraId="082B5257">
            <w:pPr>
              <w:snapToGrid w:val="0"/>
              <w:spacing w:line="400" w:lineRule="exact"/>
              <w:jc w:val="center"/>
              <w:textAlignment w:val="baseline"/>
              <w:rPr>
                <w:rFonts w:hint="default" w:eastAsia="宋体"/>
                <w:b/>
                <w:color w:val="auto"/>
                <w:sz w:val="24"/>
                <w:szCs w:val="24"/>
                <w:highlight w:val="none"/>
                <w:lang w:val="en-US" w:eastAsia="zh-CN"/>
              </w:rPr>
            </w:pPr>
            <w:r>
              <w:rPr>
                <w:rFonts w:hint="eastAsia"/>
                <w:b/>
                <w:color w:val="auto"/>
                <w:sz w:val="24"/>
                <w:szCs w:val="24"/>
                <w:highlight w:val="none"/>
                <w:lang w:val="en-US" w:eastAsia="zh-CN"/>
              </w:rPr>
              <w:t>10</w:t>
            </w:r>
          </w:p>
        </w:tc>
        <w:tc>
          <w:tcPr>
            <w:tcW w:w="6347" w:type="dxa"/>
            <w:vAlign w:val="center"/>
          </w:tcPr>
          <w:p w14:paraId="2145CB9F">
            <w:pPr>
              <w:pStyle w:val="149"/>
              <w:snapToGrid w:val="0"/>
              <w:spacing w:before="2" w:line="440" w:lineRule="exact"/>
              <w:ind w:right="166"/>
              <w:jc w:val="left"/>
              <w:textAlignment w:val="baseline"/>
              <w:rPr>
                <w:rFonts w:hAnsi="宋体" w:cs="宋体"/>
                <w:color w:val="auto"/>
                <w:sz w:val="24"/>
                <w:szCs w:val="24"/>
                <w:highlight w:val="none"/>
              </w:rPr>
            </w:pPr>
            <w:r>
              <w:rPr>
                <w:rFonts w:hint="eastAsia" w:hAnsi="宋体" w:cs="宋体"/>
                <w:color w:val="auto"/>
                <w:sz w:val="24"/>
                <w:szCs w:val="24"/>
                <w:highlight w:val="none"/>
                <w:lang w:val="en-US" w:eastAsia="zh-CN"/>
              </w:rPr>
              <w:t>投标人</w:t>
            </w:r>
            <w:r>
              <w:rPr>
                <w:rFonts w:hint="eastAsia" w:hAnsi="宋体" w:cs="宋体"/>
                <w:color w:val="auto"/>
                <w:sz w:val="24"/>
                <w:szCs w:val="24"/>
                <w:highlight w:val="none"/>
              </w:rPr>
              <w:t>完全响应招标文件技术条款要求的得</w:t>
            </w:r>
            <w:r>
              <w:rPr>
                <w:rFonts w:hint="eastAsia" w:hAnsi="宋体" w:cs="宋体"/>
                <w:color w:val="auto"/>
                <w:sz w:val="24"/>
                <w:szCs w:val="24"/>
                <w:highlight w:val="none"/>
                <w:lang w:val="en-US" w:eastAsia="zh-CN"/>
              </w:rPr>
              <w:t>10</w:t>
            </w:r>
            <w:r>
              <w:rPr>
                <w:rFonts w:hint="eastAsia" w:hAnsi="宋体" w:cs="宋体"/>
                <w:color w:val="auto"/>
                <w:sz w:val="24"/>
                <w:szCs w:val="24"/>
                <w:highlight w:val="none"/>
              </w:rPr>
              <w:t>分，否则作无效投标处理。</w:t>
            </w:r>
          </w:p>
          <w:p w14:paraId="527672D6">
            <w:pPr>
              <w:pStyle w:val="149"/>
              <w:snapToGrid w:val="0"/>
              <w:spacing w:before="2" w:line="440" w:lineRule="exact"/>
              <w:ind w:left="107" w:right="166"/>
              <w:jc w:val="left"/>
              <w:textAlignment w:val="baseline"/>
              <w:rPr>
                <w:rFonts w:hAnsi="宋体" w:cs="宋体"/>
                <w:color w:val="auto"/>
                <w:sz w:val="24"/>
                <w:szCs w:val="24"/>
                <w:highlight w:val="none"/>
              </w:rPr>
            </w:pPr>
            <w:r>
              <w:rPr>
                <w:rFonts w:hint="eastAsia" w:hAnsi="宋体" w:cs="宋体"/>
                <w:b/>
                <w:bCs/>
                <w:color w:val="auto"/>
                <w:sz w:val="24"/>
                <w:szCs w:val="24"/>
                <w:highlight w:val="none"/>
              </w:rPr>
              <w:t>评审依据：技术条款响应/偏离表。</w:t>
            </w:r>
          </w:p>
        </w:tc>
      </w:tr>
      <w:tr w14:paraId="7DFB1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70" w:type="dxa"/>
            <w:vAlign w:val="center"/>
          </w:tcPr>
          <w:p w14:paraId="246B0068">
            <w:pPr>
              <w:snapToGrid w:val="0"/>
              <w:spacing w:line="400" w:lineRule="exact"/>
              <w:jc w:val="center"/>
              <w:textAlignment w:val="baseline"/>
              <w:rPr>
                <w:b/>
                <w:sz w:val="24"/>
                <w:szCs w:val="24"/>
              </w:rPr>
            </w:pPr>
            <w:r>
              <w:rPr>
                <w:rFonts w:hint="eastAsia"/>
                <w:b/>
                <w:sz w:val="24"/>
                <w:szCs w:val="24"/>
              </w:rPr>
              <w:t>2</w:t>
            </w:r>
          </w:p>
        </w:tc>
        <w:tc>
          <w:tcPr>
            <w:tcW w:w="1687" w:type="dxa"/>
            <w:vAlign w:val="center"/>
          </w:tcPr>
          <w:p w14:paraId="79FB462A">
            <w:pPr>
              <w:snapToGrid w:val="0"/>
              <w:spacing w:line="400" w:lineRule="exact"/>
              <w:jc w:val="center"/>
              <w:textAlignment w:val="baseline"/>
              <w:rPr>
                <w:rFonts w:hint="eastAsia" w:ascii="宋体" w:hAnsi="Times New Roman" w:eastAsia="宋体" w:cs="Times New Roman"/>
                <w:b/>
                <w:sz w:val="24"/>
                <w:szCs w:val="24"/>
                <w:highlight w:val="none"/>
                <w:lang w:val="en-US" w:eastAsia="zh-CN" w:bidi="ar-SA"/>
              </w:rPr>
            </w:pPr>
            <w:r>
              <w:rPr>
                <w:rFonts w:hint="eastAsia"/>
                <w:b/>
                <w:sz w:val="24"/>
                <w:szCs w:val="24"/>
                <w:highlight w:val="none"/>
              </w:rPr>
              <w:t>服务方案</w:t>
            </w:r>
          </w:p>
        </w:tc>
        <w:tc>
          <w:tcPr>
            <w:tcW w:w="1276" w:type="dxa"/>
            <w:vAlign w:val="center"/>
          </w:tcPr>
          <w:p w14:paraId="759E1EA1">
            <w:pPr>
              <w:pStyle w:val="149"/>
              <w:snapToGrid w:val="0"/>
              <w:spacing w:before="2" w:line="440" w:lineRule="exact"/>
              <w:ind w:right="166"/>
              <w:jc w:val="center"/>
              <w:textAlignment w:val="baseline"/>
              <w:rPr>
                <w:rFonts w:hint="default" w:ascii="宋体" w:hAnsi="宋体" w:eastAsia="宋体" w:cs="宋体"/>
                <w:color w:val="auto"/>
                <w:sz w:val="24"/>
                <w:szCs w:val="24"/>
                <w:highlight w:val="none"/>
                <w:lang w:val="en-US" w:eastAsia="zh-CN"/>
              </w:rPr>
            </w:pPr>
            <w:r>
              <w:rPr>
                <w:rFonts w:hint="eastAsia" w:ascii="宋体" w:hAnsi="Times New Roman" w:eastAsia="宋体" w:cs="Times New Roman"/>
                <w:b/>
                <w:color w:val="auto"/>
                <w:sz w:val="24"/>
                <w:szCs w:val="24"/>
                <w:highlight w:val="none"/>
                <w:lang w:val="en-US" w:eastAsia="zh-CN" w:bidi="ar-SA"/>
              </w:rPr>
              <w:t>30</w:t>
            </w:r>
          </w:p>
        </w:tc>
        <w:tc>
          <w:tcPr>
            <w:tcW w:w="6347" w:type="dxa"/>
            <w:vAlign w:val="center"/>
          </w:tcPr>
          <w:p w14:paraId="5240843B">
            <w:pPr>
              <w:pStyle w:val="149"/>
              <w:numPr>
                <w:ilvl w:val="0"/>
                <w:numId w:val="6"/>
              </w:numPr>
              <w:snapToGrid w:val="0"/>
              <w:spacing w:before="2" w:line="440" w:lineRule="exact"/>
              <w:ind w:right="166"/>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跟踪审计管理制度</w:t>
            </w:r>
            <w:r>
              <w:rPr>
                <w:rFonts w:hint="eastAsia" w:ascii="宋体" w:hAnsi="宋体" w:eastAsia="宋体" w:cs="宋体"/>
                <w:color w:val="auto"/>
                <w:sz w:val="24"/>
                <w:szCs w:val="24"/>
                <w:highlight w:val="none"/>
                <w:lang w:eastAsia="zh-CN"/>
              </w:rPr>
              <w:t>方案：</w:t>
            </w:r>
            <w:r>
              <w:rPr>
                <w:rFonts w:hint="eastAsia" w:ascii="宋体" w:hAnsi="宋体" w:eastAsia="宋体" w:cs="宋体"/>
                <w:color w:val="auto"/>
                <w:sz w:val="24"/>
                <w:szCs w:val="24"/>
                <w:highlight w:val="none"/>
              </w:rPr>
              <w:t>方案包含（可含文字、表格、流程图等）：</w:t>
            </w:r>
            <w:r>
              <w:rPr>
                <w:rFonts w:hint="eastAsia" w:ascii="宋体" w:hAnsi="宋体" w:eastAsia="宋体" w:cs="宋体"/>
                <w:color w:val="auto"/>
                <w:sz w:val="24"/>
                <w:szCs w:val="24"/>
                <w:highlight w:val="none"/>
                <w:lang w:eastAsia="zh-CN"/>
              </w:rPr>
              <w:t>①</w:t>
            </w:r>
            <w:r>
              <w:rPr>
                <w:rFonts w:hint="eastAsia" w:ascii="宋体" w:hAnsi="宋体" w:eastAsia="宋体" w:cs="宋体"/>
                <w:color w:val="auto"/>
                <w:sz w:val="24"/>
                <w:szCs w:val="24"/>
                <w:highlight w:val="none"/>
              </w:rPr>
              <w:t>工作流程；</w:t>
            </w:r>
            <w:r>
              <w:rPr>
                <w:rFonts w:hint="eastAsia" w:ascii="宋体" w:hAnsi="宋体" w:eastAsia="宋体" w:cs="宋体"/>
                <w:color w:val="auto"/>
                <w:sz w:val="24"/>
                <w:szCs w:val="24"/>
                <w:highlight w:val="none"/>
                <w:lang w:eastAsia="zh-CN"/>
              </w:rPr>
              <w:t>②</w:t>
            </w:r>
            <w:r>
              <w:rPr>
                <w:rFonts w:hint="eastAsia" w:ascii="宋体" w:hAnsi="宋体" w:eastAsia="宋体" w:cs="宋体"/>
                <w:color w:val="auto"/>
                <w:sz w:val="24"/>
                <w:szCs w:val="24"/>
                <w:highlight w:val="none"/>
              </w:rPr>
              <w:t>管理制度；</w:t>
            </w:r>
            <w:r>
              <w:rPr>
                <w:rFonts w:hint="eastAsia" w:ascii="宋体" w:hAnsi="宋体" w:eastAsia="宋体" w:cs="宋体"/>
                <w:color w:val="auto"/>
                <w:sz w:val="24"/>
                <w:szCs w:val="24"/>
                <w:highlight w:val="none"/>
                <w:lang w:eastAsia="zh-CN"/>
              </w:rPr>
              <w:t>③</w:t>
            </w:r>
            <w:r>
              <w:rPr>
                <w:rFonts w:hint="eastAsia" w:ascii="宋体" w:hAnsi="宋体" w:eastAsia="宋体" w:cs="宋体"/>
                <w:color w:val="auto"/>
                <w:sz w:val="24"/>
                <w:szCs w:val="24"/>
                <w:highlight w:val="none"/>
              </w:rPr>
              <w:t>内部控制和风险防范方案；</w:t>
            </w:r>
            <w:r>
              <w:rPr>
                <w:rFonts w:hint="eastAsia" w:ascii="宋体" w:hAnsi="宋体" w:eastAsia="宋体" w:cs="宋体"/>
                <w:color w:val="auto"/>
                <w:sz w:val="24"/>
                <w:szCs w:val="24"/>
                <w:highlight w:val="none"/>
                <w:lang w:eastAsia="zh-CN"/>
              </w:rPr>
              <w:t>④</w:t>
            </w:r>
            <w:r>
              <w:rPr>
                <w:rFonts w:hint="eastAsia" w:ascii="宋体" w:hAnsi="宋体" w:eastAsia="宋体" w:cs="宋体"/>
                <w:color w:val="auto"/>
                <w:sz w:val="24"/>
                <w:szCs w:val="24"/>
                <w:highlight w:val="none"/>
              </w:rPr>
              <w:t>团队安排方案；</w:t>
            </w:r>
            <w:r>
              <w:rPr>
                <w:rFonts w:hint="eastAsia" w:ascii="宋体" w:hAnsi="宋体" w:eastAsia="宋体" w:cs="宋体"/>
                <w:color w:val="auto"/>
                <w:sz w:val="24"/>
                <w:szCs w:val="24"/>
                <w:highlight w:val="none"/>
                <w:lang w:eastAsia="zh-CN"/>
              </w:rPr>
              <w:t>⑤</w:t>
            </w:r>
            <w:r>
              <w:rPr>
                <w:rFonts w:hint="eastAsia" w:ascii="宋体" w:hAnsi="宋体" w:eastAsia="宋体" w:cs="宋体"/>
                <w:color w:val="auto"/>
                <w:sz w:val="24"/>
                <w:szCs w:val="24"/>
                <w:highlight w:val="none"/>
              </w:rPr>
              <w:t>程序流转和流程审批的样表的制定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每提供</w:t>
            </w:r>
            <w:r>
              <w:rPr>
                <w:rFonts w:hint="eastAsia" w:ascii="宋体" w:hAnsi="宋体" w:eastAsia="宋体" w:cs="宋体"/>
                <w:color w:val="auto"/>
                <w:sz w:val="24"/>
                <w:szCs w:val="24"/>
                <w:highlight w:val="none"/>
                <w:lang w:eastAsia="zh-CN"/>
              </w:rPr>
              <w:t>一项得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本项最高得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分。 </w:t>
            </w:r>
          </w:p>
          <w:p w14:paraId="3EDCFBD5">
            <w:pPr>
              <w:pStyle w:val="149"/>
              <w:snapToGrid w:val="0"/>
              <w:spacing w:before="2" w:line="440" w:lineRule="exact"/>
              <w:ind w:right="166"/>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评审依据：</w:t>
            </w:r>
            <w:r>
              <w:rPr>
                <w:rFonts w:hint="eastAsia" w:ascii="宋体" w:hAnsi="宋体" w:eastAsia="宋体" w:cs="宋体"/>
                <w:b/>
                <w:bCs/>
                <w:color w:val="auto"/>
                <w:sz w:val="24"/>
                <w:szCs w:val="24"/>
                <w:highlight w:val="none"/>
                <w:lang w:val="en-US" w:eastAsia="zh-CN"/>
              </w:rPr>
              <w:t>投标人</w:t>
            </w:r>
            <w:r>
              <w:rPr>
                <w:rFonts w:hint="eastAsia" w:ascii="宋体" w:hAnsi="宋体" w:eastAsia="宋体" w:cs="宋体"/>
                <w:b/>
                <w:bCs/>
                <w:color w:val="auto"/>
                <w:sz w:val="24"/>
                <w:szCs w:val="24"/>
                <w:highlight w:val="none"/>
              </w:rPr>
              <w:t>提供的审计跟踪管理制度</w:t>
            </w:r>
            <w:r>
              <w:rPr>
                <w:rFonts w:hint="eastAsia" w:ascii="宋体" w:hAnsi="宋体" w:eastAsia="宋体" w:cs="宋体"/>
                <w:b/>
                <w:bCs/>
                <w:color w:val="auto"/>
                <w:sz w:val="24"/>
                <w:szCs w:val="24"/>
                <w:highlight w:val="none"/>
                <w:lang w:eastAsia="zh-CN"/>
              </w:rPr>
              <w:t>方案并加盖公章</w:t>
            </w:r>
            <w:r>
              <w:rPr>
                <w:rFonts w:hint="eastAsia" w:ascii="宋体" w:hAnsi="宋体" w:eastAsia="宋体" w:cs="宋体"/>
                <w:b/>
                <w:bCs/>
                <w:color w:val="auto"/>
                <w:sz w:val="24"/>
                <w:szCs w:val="24"/>
                <w:highlight w:val="none"/>
              </w:rPr>
              <w:t>。</w:t>
            </w:r>
          </w:p>
          <w:p w14:paraId="366B761D">
            <w:pPr>
              <w:pStyle w:val="149"/>
              <w:numPr>
                <w:ilvl w:val="0"/>
                <w:numId w:val="6"/>
              </w:numPr>
              <w:snapToGrid w:val="0"/>
              <w:spacing w:before="2" w:line="440" w:lineRule="exact"/>
              <w:ind w:left="0" w:leftChars="0" w:right="166" w:firstLine="0" w:firstLineChars="0"/>
              <w:jc w:val="lef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跟踪审计过程实施方案</w:t>
            </w:r>
            <w:r>
              <w:rPr>
                <w:rFonts w:hint="eastAsia" w:ascii="宋体" w:hAnsi="宋体" w:eastAsia="宋体" w:cs="宋体"/>
                <w:color w:val="auto"/>
                <w:sz w:val="24"/>
                <w:szCs w:val="24"/>
                <w:highlight w:val="none"/>
                <w:lang w:eastAsia="zh-CN"/>
              </w:rPr>
              <w:t>：方案包含但不限于①隐蔽工程和隐蔽签证；②签证变更审计方案及流程；③询价程序及审计方案；④驻点审计人员现场踏勘和旁站跟踪的管理要求；⑤跟踪审计工作日志和资料整理的管理要求。</w:t>
            </w:r>
            <w:r>
              <w:rPr>
                <w:rFonts w:hint="eastAsia" w:ascii="宋体" w:hAnsi="宋体" w:eastAsia="宋体" w:cs="宋体"/>
                <w:color w:val="auto"/>
                <w:sz w:val="24"/>
                <w:szCs w:val="24"/>
                <w:highlight w:val="none"/>
              </w:rPr>
              <w:t>每提供</w:t>
            </w:r>
            <w:r>
              <w:rPr>
                <w:rFonts w:hint="eastAsia" w:ascii="宋体" w:hAnsi="宋体" w:eastAsia="宋体" w:cs="宋体"/>
                <w:color w:val="auto"/>
                <w:sz w:val="24"/>
                <w:szCs w:val="24"/>
                <w:highlight w:val="none"/>
                <w:lang w:eastAsia="zh-CN"/>
              </w:rPr>
              <w:t>一项得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本项最高得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14:paraId="5B0D16BC">
            <w:pPr>
              <w:pStyle w:val="149"/>
              <w:numPr>
                <w:ilvl w:val="0"/>
                <w:numId w:val="0"/>
              </w:numPr>
              <w:snapToGrid w:val="0"/>
              <w:spacing w:before="2" w:line="440" w:lineRule="exact"/>
              <w:ind w:leftChars="0" w:right="166" w:rightChars="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评审依据：</w:t>
            </w:r>
            <w:r>
              <w:rPr>
                <w:rFonts w:hint="eastAsia" w:hAnsi="宋体" w:cs="宋体"/>
                <w:b/>
                <w:bCs/>
                <w:color w:val="auto"/>
                <w:sz w:val="24"/>
                <w:szCs w:val="24"/>
                <w:highlight w:val="none"/>
                <w:lang w:val="en-US" w:eastAsia="zh-CN"/>
              </w:rPr>
              <w:t>投标人</w:t>
            </w:r>
            <w:r>
              <w:rPr>
                <w:rFonts w:hint="eastAsia" w:ascii="宋体" w:hAnsi="宋体" w:eastAsia="宋体" w:cs="宋体"/>
                <w:b/>
                <w:bCs/>
                <w:color w:val="auto"/>
                <w:sz w:val="24"/>
                <w:szCs w:val="24"/>
                <w:highlight w:val="none"/>
              </w:rPr>
              <w:t>提供的跟踪审计过程实施方案</w:t>
            </w:r>
            <w:r>
              <w:rPr>
                <w:rFonts w:hint="eastAsia" w:ascii="宋体" w:hAnsi="宋体" w:eastAsia="宋体" w:cs="宋体"/>
                <w:b/>
                <w:bCs/>
                <w:color w:val="auto"/>
                <w:sz w:val="24"/>
                <w:szCs w:val="24"/>
                <w:highlight w:val="none"/>
                <w:lang w:eastAsia="zh-CN"/>
              </w:rPr>
              <w:t>并加盖公章</w:t>
            </w:r>
            <w:r>
              <w:rPr>
                <w:rFonts w:hint="eastAsia" w:ascii="宋体" w:hAnsi="宋体" w:eastAsia="宋体" w:cs="宋体"/>
                <w:b/>
                <w:bCs/>
                <w:color w:val="auto"/>
                <w:sz w:val="24"/>
                <w:szCs w:val="24"/>
                <w:highlight w:val="none"/>
              </w:rPr>
              <w:t>。</w:t>
            </w:r>
          </w:p>
          <w:p w14:paraId="236F0A56">
            <w:pPr>
              <w:pStyle w:val="149"/>
              <w:numPr>
                <w:ilvl w:val="0"/>
                <w:numId w:val="0"/>
              </w:numPr>
              <w:snapToGrid w:val="0"/>
              <w:spacing w:before="2" w:line="440" w:lineRule="exact"/>
              <w:ind w:right="166" w:rightChars="0"/>
              <w:jc w:val="lef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3.结算审计工作方案</w:t>
            </w:r>
            <w:r>
              <w:rPr>
                <w:rFonts w:hint="eastAsia" w:ascii="宋体" w:hAnsi="宋体" w:eastAsia="宋体" w:cs="宋体"/>
                <w:color w:val="auto"/>
                <w:sz w:val="24"/>
                <w:szCs w:val="24"/>
                <w:highlight w:val="none"/>
                <w:lang w:eastAsia="zh-CN"/>
              </w:rPr>
              <w:t>：方案包含结算审计工作具体方案制定，包括</w:t>
            </w: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lang w:eastAsia="zh-CN"/>
              </w:rPr>
              <w:t>结算资料接收程序；②人员安排；③时限安排；④风险防范措施；⑤结算过程中廉政风险防范方案。</w:t>
            </w:r>
            <w:r>
              <w:rPr>
                <w:rFonts w:hint="eastAsia" w:ascii="宋体" w:hAnsi="宋体" w:eastAsia="宋体" w:cs="宋体"/>
                <w:color w:val="auto"/>
                <w:sz w:val="24"/>
                <w:szCs w:val="24"/>
                <w:highlight w:val="none"/>
              </w:rPr>
              <w:t>每提供</w:t>
            </w:r>
            <w:r>
              <w:rPr>
                <w:rFonts w:hint="eastAsia" w:ascii="宋体" w:hAnsi="宋体" w:eastAsia="宋体" w:cs="宋体"/>
                <w:color w:val="auto"/>
                <w:sz w:val="24"/>
                <w:szCs w:val="24"/>
                <w:highlight w:val="none"/>
                <w:lang w:eastAsia="zh-CN"/>
              </w:rPr>
              <w:t>一项得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本项最高得</w:t>
            </w:r>
            <w:r>
              <w:rPr>
                <w:rFonts w:hint="eastAsia" w:ascii="宋体" w:hAnsi="宋体" w:eastAsia="宋体" w:cs="宋体"/>
                <w:color w:val="auto"/>
                <w:sz w:val="24"/>
                <w:szCs w:val="24"/>
                <w:highlight w:val="none"/>
                <w:lang w:val="en-US" w:eastAsia="zh-CN"/>
              </w:rPr>
              <w:t>10分</w:t>
            </w:r>
            <w:r>
              <w:rPr>
                <w:rFonts w:hint="eastAsia" w:ascii="宋体" w:hAnsi="宋体" w:eastAsia="宋体" w:cs="宋体"/>
                <w:color w:val="auto"/>
                <w:sz w:val="24"/>
                <w:szCs w:val="24"/>
                <w:highlight w:val="none"/>
              </w:rPr>
              <w:t>。</w:t>
            </w:r>
          </w:p>
          <w:p w14:paraId="2BA4453A">
            <w:pPr>
              <w:pStyle w:val="149"/>
              <w:snapToGrid w:val="0"/>
              <w:spacing w:before="2" w:line="440" w:lineRule="exact"/>
              <w:ind w:right="166"/>
              <w:jc w:val="left"/>
              <w:textAlignment w:val="baseline"/>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评审依据：</w:t>
            </w:r>
            <w:r>
              <w:rPr>
                <w:rFonts w:hint="eastAsia" w:hAnsi="宋体" w:cs="宋体"/>
                <w:b/>
                <w:bCs/>
                <w:color w:val="auto"/>
                <w:sz w:val="24"/>
                <w:szCs w:val="24"/>
                <w:highlight w:val="none"/>
                <w:lang w:val="en-US" w:eastAsia="zh-CN"/>
              </w:rPr>
              <w:t>投标人</w:t>
            </w:r>
            <w:r>
              <w:rPr>
                <w:rFonts w:hint="eastAsia" w:ascii="宋体" w:hAnsi="宋体" w:eastAsia="宋体" w:cs="宋体"/>
                <w:b/>
                <w:bCs/>
                <w:color w:val="auto"/>
                <w:sz w:val="24"/>
                <w:szCs w:val="24"/>
                <w:highlight w:val="none"/>
              </w:rPr>
              <w:t>提供的结算审计工作方案</w:t>
            </w:r>
            <w:r>
              <w:rPr>
                <w:rFonts w:hint="eastAsia" w:ascii="宋体" w:hAnsi="宋体" w:eastAsia="宋体" w:cs="宋体"/>
                <w:b/>
                <w:bCs/>
                <w:color w:val="auto"/>
                <w:sz w:val="24"/>
                <w:szCs w:val="24"/>
                <w:highlight w:val="none"/>
                <w:lang w:eastAsia="zh-CN"/>
              </w:rPr>
              <w:t>并加盖公章</w:t>
            </w:r>
            <w:r>
              <w:rPr>
                <w:rFonts w:hint="eastAsia" w:ascii="宋体" w:hAnsi="宋体" w:eastAsia="宋体" w:cs="宋体"/>
                <w:b/>
                <w:bCs/>
                <w:color w:val="auto"/>
                <w:sz w:val="24"/>
                <w:szCs w:val="24"/>
                <w:highlight w:val="none"/>
              </w:rPr>
              <w:t>。</w:t>
            </w:r>
          </w:p>
        </w:tc>
      </w:tr>
      <w:tr w14:paraId="01179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70" w:type="dxa"/>
            <w:vAlign w:val="center"/>
          </w:tcPr>
          <w:p w14:paraId="1B2ACBDD">
            <w:pPr>
              <w:snapToGrid w:val="0"/>
              <w:spacing w:line="400" w:lineRule="exact"/>
              <w:jc w:val="center"/>
              <w:textAlignment w:val="baseline"/>
              <w:rPr>
                <w:rFonts w:hint="eastAsia" w:eastAsia="宋体"/>
                <w:b/>
                <w:sz w:val="24"/>
                <w:szCs w:val="24"/>
                <w:lang w:val="en-US" w:eastAsia="zh-CN"/>
              </w:rPr>
            </w:pPr>
            <w:r>
              <w:rPr>
                <w:rFonts w:hint="eastAsia"/>
                <w:b/>
                <w:sz w:val="24"/>
                <w:szCs w:val="24"/>
                <w:lang w:val="en-US" w:eastAsia="zh-CN"/>
              </w:rPr>
              <w:t>3</w:t>
            </w:r>
          </w:p>
        </w:tc>
        <w:tc>
          <w:tcPr>
            <w:tcW w:w="1687" w:type="dxa"/>
            <w:vAlign w:val="center"/>
          </w:tcPr>
          <w:p w14:paraId="2EC4F25A">
            <w:pPr>
              <w:snapToGrid w:val="0"/>
              <w:spacing w:line="400" w:lineRule="exact"/>
              <w:jc w:val="center"/>
              <w:textAlignment w:val="baseline"/>
              <w:rPr>
                <w:rFonts w:hint="eastAsia" w:eastAsia="宋体"/>
                <w:b/>
                <w:sz w:val="24"/>
                <w:szCs w:val="24"/>
                <w:highlight w:val="none"/>
                <w:lang w:eastAsia="zh-CN"/>
              </w:rPr>
            </w:pPr>
            <w:r>
              <w:rPr>
                <w:rFonts w:hint="eastAsia"/>
                <w:b/>
                <w:sz w:val="24"/>
                <w:szCs w:val="24"/>
                <w:highlight w:val="none"/>
                <w:lang w:eastAsia="zh-CN"/>
              </w:rPr>
              <w:t>人员配备</w:t>
            </w:r>
          </w:p>
        </w:tc>
        <w:tc>
          <w:tcPr>
            <w:tcW w:w="1276" w:type="dxa"/>
            <w:vAlign w:val="center"/>
          </w:tcPr>
          <w:p w14:paraId="07F69EEC">
            <w:pPr>
              <w:snapToGrid w:val="0"/>
              <w:spacing w:line="400" w:lineRule="exact"/>
              <w:jc w:val="center"/>
              <w:textAlignment w:val="baseline"/>
              <w:rPr>
                <w:rFonts w:hint="default"/>
                <w:b/>
                <w:color w:val="auto"/>
                <w:sz w:val="24"/>
                <w:szCs w:val="24"/>
                <w:highlight w:val="none"/>
                <w:lang w:val="en-US" w:eastAsia="zh-CN"/>
              </w:rPr>
            </w:pPr>
            <w:r>
              <w:rPr>
                <w:rFonts w:hint="eastAsia"/>
                <w:b/>
                <w:color w:val="auto"/>
                <w:sz w:val="24"/>
                <w:szCs w:val="24"/>
                <w:highlight w:val="none"/>
                <w:lang w:val="en-US" w:eastAsia="zh-CN"/>
              </w:rPr>
              <w:t>15</w:t>
            </w:r>
          </w:p>
        </w:tc>
        <w:tc>
          <w:tcPr>
            <w:tcW w:w="6347" w:type="dxa"/>
            <w:vAlign w:val="center"/>
          </w:tcPr>
          <w:p w14:paraId="7111E36C">
            <w:pPr>
              <w:pStyle w:val="149"/>
              <w:numPr>
                <w:ilvl w:val="0"/>
                <w:numId w:val="0"/>
              </w:numPr>
              <w:snapToGrid w:val="0"/>
              <w:spacing w:before="2" w:line="440" w:lineRule="exact"/>
              <w:ind w:right="166" w:rightChars="0"/>
              <w:jc w:val="left"/>
              <w:textAlignment w:val="baseline"/>
              <w:rPr>
                <w:rFonts w:hint="eastAsia" w:ascii="宋体" w:hAnsi="宋体" w:eastAsia="宋体" w:cs="宋体"/>
                <w:color w:val="auto"/>
                <w:sz w:val="24"/>
                <w:szCs w:val="24"/>
                <w:highlight w:val="none"/>
                <w:lang w:eastAsia="zh-CN"/>
              </w:rPr>
            </w:pPr>
            <w:r>
              <w:rPr>
                <w:rFonts w:hint="eastAsia" w:hAnsi="宋体" w:cs="宋体"/>
                <w:color w:val="FF0000"/>
                <w:sz w:val="24"/>
                <w:szCs w:val="24"/>
                <w:highlight w:val="none"/>
                <w:lang w:val="en-US" w:eastAsia="zh-CN"/>
              </w:rPr>
              <w:t>1、</w:t>
            </w:r>
            <w:r>
              <w:rPr>
                <w:rFonts w:hint="eastAsia" w:ascii="宋体" w:hAnsi="宋体" w:eastAsia="宋体" w:cs="宋体"/>
                <w:color w:val="auto"/>
                <w:sz w:val="24"/>
                <w:szCs w:val="24"/>
                <w:highlight w:val="none"/>
                <w:lang w:eastAsia="zh-CN"/>
              </w:rPr>
              <w:t>在满足采购文件</w:t>
            </w:r>
            <w:r>
              <w:rPr>
                <w:rFonts w:hint="eastAsia" w:ascii="宋体" w:hAnsi="宋体" w:eastAsia="宋体" w:cs="宋体"/>
                <w:color w:val="auto"/>
                <w:sz w:val="24"/>
                <w:szCs w:val="24"/>
                <w:highlight w:val="none"/>
                <w:lang w:val="zh-CN" w:eastAsia="zh-CN"/>
              </w:rPr>
              <w:t>“第五</w:t>
            </w:r>
            <w:r>
              <w:rPr>
                <w:rFonts w:hint="eastAsia" w:ascii="宋体" w:hAnsi="宋体" w:eastAsia="宋体" w:cs="宋体"/>
                <w:color w:val="auto"/>
                <w:sz w:val="24"/>
                <w:szCs w:val="24"/>
                <w:highlight w:val="none"/>
                <w:lang w:eastAsia="zh-CN"/>
              </w:rPr>
              <w:t>章采购要求”中</w:t>
            </w:r>
            <w:r>
              <w:rPr>
                <w:rFonts w:hint="eastAsia" w:ascii="宋体" w:hAnsi="宋体" w:eastAsia="宋体" w:cs="宋体"/>
                <w:color w:val="auto"/>
                <w:sz w:val="24"/>
                <w:szCs w:val="24"/>
                <w:highlight w:val="none"/>
                <w:lang w:val="zh-CN" w:eastAsia="zh-CN"/>
              </w:rPr>
              <w:t>“拟派人员要求</w:t>
            </w:r>
            <w:r>
              <w:rPr>
                <w:rFonts w:hint="eastAsia" w:ascii="宋体" w:hAnsi="宋体" w:eastAsia="宋体" w:cs="宋体"/>
                <w:color w:val="auto"/>
                <w:sz w:val="24"/>
                <w:szCs w:val="24"/>
                <w:highlight w:val="none"/>
                <w:lang w:eastAsia="zh-CN"/>
              </w:rPr>
              <w:t>”的基础上：</w:t>
            </w:r>
            <w:r>
              <w:rPr>
                <w:rFonts w:hint="eastAsia" w:hAnsi="宋体" w:cs="宋体"/>
                <w:color w:val="auto"/>
                <w:sz w:val="24"/>
                <w:szCs w:val="24"/>
                <w:highlight w:val="none"/>
                <w:lang w:eastAsia="zh-CN"/>
              </w:rPr>
              <w:t>每增加一名</w:t>
            </w:r>
            <w:r>
              <w:rPr>
                <w:rFonts w:hint="eastAsia" w:hAnsi="Times New Roman" w:cs="Times New Roman"/>
                <w:color w:val="auto"/>
                <w:sz w:val="24"/>
                <w:szCs w:val="24"/>
                <w:highlight w:val="none"/>
                <w:lang w:val="en-US"/>
              </w:rPr>
              <w:t>一级</w:t>
            </w:r>
            <w:r>
              <w:rPr>
                <w:rFonts w:hint="eastAsia" w:hAnsi="Times New Roman" w:cs="Times New Roman"/>
                <w:color w:val="auto"/>
                <w:sz w:val="24"/>
                <w:szCs w:val="24"/>
                <w:highlight w:val="none"/>
                <w:lang w:val="en-US" w:eastAsia="zh-CN"/>
              </w:rPr>
              <w:t>注册</w:t>
            </w:r>
            <w:r>
              <w:rPr>
                <w:rFonts w:hint="eastAsia" w:hAnsi="Times New Roman" w:cs="Times New Roman"/>
                <w:color w:val="auto"/>
                <w:sz w:val="24"/>
                <w:szCs w:val="24"/>
                <w:highlight w:val="none"/>
                <w:lang w:val="en-US"/>
              </w:rPr>
              <w:t>造价工程师</w:t>
            </w:r>
            <w:r>
              <w:rPr>
                <w:rFonts w:hint="eastAsia" w:ascii="宋体" w:hAnsi="宋体" w:eastAsia="宋体" w:cs="宋体"/>
                <w:color w:val="auto"/>
                <w:sz w:val="24"/>
                <w:szCs w:val="24"/>
                <w:highlight w:val="none"/>
                <w:lang w:eastAsia="zh-CN"/>
              </w:rPr>
              <w:t>（土建或安装专业）</w:t>
            </w:r>
            <w:r>
              <w:rPr>
                <w:rFonts w:hint="eastAsia" w:hAnsi="Times New Roman" w:cs="Times New Roman"/>
                <w:color w:val="auto"/>
                <w:sz w:val="24"/>
                <w:szCs w:val="24"/>
                <w:highlight w:val="none"/>
                <w:lang w:val="en-US" w:eastAsia="zh-CN"/>
              </w:rPr>
              <w:t>且职称为工程造价相关专业的高级工程师</w:t>
            </w:r>
            <w:r>
              <w:rPr>
                <w:rFonts w:hint="eastAsia" w:cs="Times New Roman"/>
                <w:color w:val="auto"/>
                <w:sz w:val="24"/>
                <w:szCs w:val="24"/>
                <w:highlight w:val="none"/>
                <w:lang w:val="en-US" w:eastAsia="zh-CN"/>
              </w:rPr>
              <w:t>的加3分，本项最高得9分。</w:t>
            </w:r>
          </w:p>
          <w:p w14:paraId="69F7C479">
            <w:pPr>
              <w:pStyle w:val="149"/>
              <w:numPr>
                <w:ilvl w:val="0"/>
                <w:numId w:val="0"/>
              </w:numPr>
              <w:snapToGrid w:val="0"/>
              <w:spacing w:before="2" w:line="440" w:lineRule="exact"/>
              <w:ind w:leftChars="0" w:right="166" w:rightChars="0"/>
              <w:jc w:val="left"/>
              <w:textAlignment w:val="baseline"/>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“第五</w:t>
            </w:r>
            <w:r>
              <w:rPr>
                <w:rFonts w:hint="eastAsia" w:ascii="宋体" w:hAnsi="宋体" w:eastAsia="宋体" w:cs="宋体"/>
                <w:color w:val="auto"/>
                <w:sz w:val="24"/>
                <w:szCs w:val="24"/>
                <w:highlight w:val="none"/>
                <w:lang w:eastAsia="zh-CN"/>
              </w:rPr>
              <w:t>章采购要求”的</w:t>
            </w:r>
            <w:r>
              <w:rPr>
                <w:rFonts w:hint="eastAsia" w:ascii="宋体" w:hAnsi="宋体" w:eastAsia="宋体" w:cs="宋体"/>
                <w:color w:val="auto"/>
                <w:sz w:val="24"/>
                <w:szCs w:val="24"/>
                <w:highlight w:val="none"/>
                <w:lang w:val="en-US" w:eastAsia="zh-CN"/>
              </w:rPr>
              <w:t>驻场人员中</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每提供1名</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lang w:val="en-US" w:eastAsia="zh-CN"/>
              </w:rPr>
              <w:t>级注册造价工程师</w:t>
            </w:r>
            <w:r>
              <w:rPr>
                <w:rFonts w:hint="eastAsia" w:ascii="宋体" w:hAnsi="宋体" w:eastAsia="宋体" w:cs="宋体"/>
                <w:color w:val="auto"/>
                <w:sz w:val="24"/>
                <w:szCs w:val="24"/>
                <w:highlight w:val="none"/>
                <w:lang w:eastAsia="zh-CN"/>
              </w:rPr>
              <w:t>（土建或安装</w:t>
            </w:r>
            <w:r>
              <w:rPr>
                <w:rFonts w:hint="eastAsia" w:hAnsi="宋体" w:cs="宋体"/>
                <w:color w:val="auto"/>
                <w:sz w:val="24"/>
                <w:szCs w:val="24"/>
                <w:highlight w:val="none"/>
                <w:lang w:eastAsia="zh-CN"/>
              </w:rPr>
              <w:t>专业</w:t>
            </w:r>
            <w:r>
              <w:rPr>
                <w:rFonts w:hint="eastAsia" w:ascii="宋体" w:hAnsi="宋体" w:eastAsia="宋体" w:cs="宋体"/>
                <w:color w:val="auto"/>
                <w:sz w:val="24"/>
                <w:szCs w:val="24"/>
                <w:highlight w:val="none"/>
                <w:lang w:eastAsia="zh-CN"/>
              </w:rPr>
              <w:t>）的加</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分，本项最高得</w:t>
            </w:r>
            <w:r>
              <w:rPr>
                <w:rFonts w:hint="eastAsia" w:ascii="宋体" w:hAnsi="宋体" w:eastAsia="宋体" w:cs="宋体"/>
                <w:color w:val="auto"/>
                <w:sz w:val="24"/>
                <w:szCs w:val="24"/>
                <w:highlight w:val="none"/>
                <w:lang w:val="en-US" w:eastAsia="zh-CN"/>
              </w:rPr>
              <w:t>6分</w:t>
            </w:r>
            <w:r>
              <w:rPr>
                <w:rFonts w:hint="eastAsia" w:ascii="宋体" w:hAnsi="宋体" w:eastAsia="宋体" w:cs="宋体"/>
                <w:color w:val="auto"/>
                <w:sz w:val="24"/>
                <w:szCs w:val="24"/>
                <w:highlight w:val="none"/>
                <w:lang w:eastAsia="zh-CN"/>
              </w:rPr>
              <w:t>。</w:t>
            </w:r>
          </w:p>
          <w:p w14:paraId="49FB9350">
            <w:pPr>
              <w:pStyle w:val="149"/>
              <w:numPr>
                <w:ilvl w:val="0"/>
                <w:numId w:val="0"/>
              </w:numPr>
              <w:snapToGrid w:val="0"/>
              <w:spacing w:before="2" w:line="440" w:lineRule="exact"/>
              <w:ind w:leftChars="0" w:right="166" w:rightChars="0"/>
              <w:jc w:val="left"/>
              <w:textAlignment w:val="baseline"/>
              <w:rPr>
                <w:rFonts w:hint="eastAsia" w:hAnsi="宋体" w:cs="宋体"/>
                <w:b/>
                <w:bCs/>
                <w:color w:val="auto"/>
                <w:sz w:val="24"/>
                <w:szCs w:val="24"/>
                <w:highlight w:val="none"/>
              </w:rPr>
            </w:pPr>
            <w:r>
              <w:rPr>
                <w:rFonts w:hint="eastAsia" w:ascii="宋体" w:hAnsi="宋体" w:eastAsia="宋体" w:cs="宋体"/>
                <w:b/>
                <w:bCs/>
                <w:color w:val="auto"/>
                <w:sz w:val="24"/>
                <w:szCs w:val="24"/>
                <w:highlight w:val="none"/>
              </w:rPr>
              <w:t>评审依据</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提供相关证书和有效的劳动合同及开标前</w:t>
            </w:r>
            <w:r>
              <w:rPr>
                <w:rFonts w:hint="eastAsia" w:hAnsi="宋体" w:cs="宋体"/>
                <w:b/>
                <w:bCs/>
                <w:color w:val="auto"/>
                <w:sz w:val="24"/>
                <w:szCs w:val="24"/>
                <w:highlight w:val="none"/>
                <w:lang w:val="en-US" w:eastAsia="zh-CN"/>
              </w:rPr>
              <w:t>连续</w:t>
            </w:r>
            <w:r>
              <w:rPr>
                <w:rFonts w:hint="eastAsia" w:ascii="宋体" w:hAnsi="宋体" w:eastAsia="宋体" w:cs="宋体"/>
                <w:b/>
                <w:bCs/>
                <w:color w:val="auto"/>
                <w:sz w:val="24"/>
                <w:szCs w:val="24"/>
                <w:highlight w:val="none"/>
                <w:lang w:val="en-US" w:eastAsia="zh-CN"/>
              </w:rPr>
              <w:t>6个月（</w:t>
            </w:r>
            <w:r>
              <w:rPr>
                <w:rFonts w:hint="eastAsia" w:hAnsi="宋体" w:cs="宋体"/>
                <w:b/>
                <w:bCs/>
                <w:color w:val="auto"/>
                <w:sz w:val="24"/>
                <w:szCs w:val="24"/>
                <w:highlight w:val="none"/>
                <w:lang w:val="en-US" w:eastAsia="zh-CN"/>
              </w:rPr>
              <w:t>不</w:t>
            </w:r>
            <w:r>
              <w:rPr>
                <w:rFonts w:hint="eastAsia" w:ascii="宋体" w:hAnsi="宋体" w:eastAsia="宋体" w:cs="宋体"/>
                <w:b/>
                <w:bCs/>
                <w:color w:val="auto"/>
                <w:sz w:val="24"/>
                <w:szCs w:val="24"/>
                <w:highlight w:val="none"/>
                <w:lang w:val="en-US" w:eastAsia="zh-CN"/>
              </w:rPr>
              <w:t>含开标当月）在本企业参加基本养老保险并正常缴费的证明材料、复印件加盖公章，退休人员提供聘用合同和退休证明；并提供“全国工程造价咨询管理系统”查询结果截图及网址链接加盖公章。</w:t>
            </w:r>
          </w:p>
        </w:tc>
      </w:tr>
      <w:tr w14:paraId="730C0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180" w:type="dxa"/>
            <w:gridSpan w:val="4"/>
            <w:vAlign w:val="center"/>
          </w:tcPr>
          <w:p w14:paraId="6B4DFBAD">
            <w:pPr>
              <w:pStyle w:val="149"/>
              <w:snapToGrid w:val="0"/>
              <w:spacing w:before="2" w:line="400" w:lineRule="exact"/>
              <w:ind w:right="166"/>
              <w:jc w:val="center"/>
              <w:textAlignment w:val="baseline"/>
              <w:rPr>
                <w:rFonts w:hAnsi="宋体" w:cs="宋体"/>
                <w:color w:val="auto"/>
                <w:sz w:val="24"/>
                <w:szCs w:val="24"/>
                <w:highlight w:val="none"/>
              </w:rPr>
            </w:pPr>
            <w:r>
              <w:rPr>
                <w:rFonts w:hint="eastAsia" w:hAnsi="宋体" w:cs="宋体"/>
                <w:b/>
                <w:color w:val="auto"/>
                <w:sz w:val="24"/>
                <w:szCs w:val="24"/>
                <w:highlight w:val="none"/>
              </w:rPr>
              <w:t>商务部分（</w:t>
            </w:r>
            <w:r>
              <w:rPr>
                <w:rFonts w:hint="eastAsia" w:hAnsi="宋体" w:cs="宋体"/>
                <w:b/>
                <w:color w:val="auto"/>
                <w:sz w:val="24"/>
                <w:szCs w:val="24"/>
                <w:highlight w:val="none"/>
                <w:lang w:val="en-US" w:eastAsia="zh-CN"/>
              </w:rPr>
              <w:t>25</w:t>
            </w:r>
            <w:r>
              <w:rPr>
                <w:rFonts w:hint="eastAsia" w:hAnsi="宋体" w:cs="宋体"/>
                <w:b/>
                <w:color w:val="auto"/>
                <w:sz w:val="24"/>
                <w:szCs w:val="24"/>
                <w:highlight w:val="none"/>
              </w:rPr>
              <w:t>分）</w:t>
            </w:r>
          </w:p>
        </w:tc>
      </w:tr>
      <w:tr w14:paraId="784DD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870" w:type="dxa"/>
            <w:vAlign w:val="center"/>
          </w:tcPr>
          <w:p w14:paraId="4F4E7EC7">
            <w:pPr>
              <w:snapToGrid w:val="0"/>
              <w:spacing w:line="400" w:lineRule="exact"/>
              <w:jc w:val="center"/>
              <w:textAlignment w:val="baseline"/>
              <w:rPr>
                <w:b/>
                <w:sz w:val="24"/>
                <w:szCs w:val="24"/>
                <w:highlight w:val="none"/>
              </w:rPr>
            </w:pPr>
            <w:r>
              <w:rPr>
                <w:rFonts w:hint="eastAsia"/>
                <w:b/>
                <w:sz w:val="24"/>
                <w:szCs w:val="24"/>
                <w:highlight w:val="none"/>
              </w:rPr>
              <w:t>1</w:t>
            </w:r>
          </w:p>
        </w:tc>
        <w:tc>
          <w:tcPr>
            <w:tcW w:w="1687" w:type="dxa"/>
            <w:vAlign w:val="center"/>
          </w:tcPr>
          <w:p w14:paraId="4ECFE6CE">
            <w:pPr>
              <w:snapToGrid w:val="0"/>
              <w:spacing w:line="400" w:lineRule="exact"/>
              <w:jc w:val="center"/>
              <w:textAlignment w:val="baseline"/>
              <w:rPr>
                <w:b/>
                <w:sz w:val="24"/>
                <w:szCs w:val="24"/>
                <w:highlight w:val="none"/>
              </w:rPr>
            </w:pPr>
            <w:r>
              <w:rPr>
                <w:rFonts w:hint="eastAsia"/>
                <w:b/>
                <w:sz w:val="24"/>
                <w:szCs w:val="24"/>
                <w:highlight w:val="none"/>
              </w:rPr>
              <w:t>商务条款</w:t>
            </w:r>
          </w:p>
          <w:p w14:paraId="4B667005">
            <w:pPr>
              <w:snapToGrid w:val="0"/>
              <w:spacing w:line="400" w:lineRule="exact"/>
              <w:jc w:val="center"/>
              <w:textAlignment w:val="baseline"/>
              <w:rPr>
                <w:b/>
                <w:sz w:val="24"/>
                <w:szCs w:val="24"/>
                <w:highlight w:val="none"/>
              </w:rPr>
            </w:pPr>
            <w:r>
              <w:rPr>
                <w:rFonts w:hint="eastAsia"/>
                <w:b/>
                <w:sz w:val="24"/>
                <w:szCs w:val="24"/>
                <w:highlight w:val="none"/>
              </w:rPr>
              <w:t>响应</w:t>
            </w:r>
          </w:p>
        </w:tc>
        <w:tc>
          <w:tcPr>
            <w:tcW w:w="1276" w:type="dxa"/>
            <w:vAlign w:val="center"/>
          </w:tcPr>
          <w:p w14:paraId="7CB9ED93">
            <w:pPr>
              <w:snapToGrid w:val="0"/>
              <w:spacing w:line="400" w:lineRule="exact"/>
              <w:jc w:val="center"/>
              <w:textAlignment w:val="baseline"/>
              <w:rPr>
                <w:rFonts w:hint="default" w:eastAsia="宋体"/>
                <w:b/>
                <w:color w:val="auto"/>
                <w:sz w:val="24"/>
                <w:szCs w:val="24"/>
                <w:highlight w:val="none"/>
                <w:lang w:val="en-US" w:eastAsia="zh-CN"/>
              </w:rPr>
            </w:pPr>
            <w:r>
              <w:rPr>
                <w:rFonts w:hint="eastAsia"/>
                <w:b/>
                <w:color w:val="auto"/>
                <w:sz w:val="24"/>
                <w:szCs w:val="24"/>
                <w:highlight w:val="none"/>
                <w:lang w:val="en-US" w:eastAsia="zh-CN"/>
              </w:rPr>
              <w:t>10</w:t>
            </w:r>
          </w:p>
        </w:tc>
        <w:tc>
          <w:tcPr>
            <w:tcW w:w="6347" w:type="dxa"/>
            <w:vAlign w:val="center"/>
          </w:tcPr>
          <w:p w14:paraId="58897444">
            <w:pPr>
              <w:pStyle w:val="149"/>
              <w:snapToGrid w:val="0"/>
              <w:spacing w:before="2" w:line="440" w:lineRule="exact"/>
              <w:ind w:left="107" w:right="166"/>
              <w:jc w:val="left"/>
              <w:textAlignment w:val="baseline"/>
              <w:rPr>
                <w:rFonts w:hAnsi="宋体" w:cs="宋体"/>
                <w:color w:val="auto"/>
                <w:sz w:val="24"/>
                <w:szCs w:val="24"/>
                <w:highlight w:val="none"/>
              </w:rPr>
            </w:pPr>
            <w:r>
              <w:rPr>
                <w:rFonts w:hint="eastAsia" w:hAnsi="宋体" w:cs="宋体"/>
                <w:color w:val="auto"/>
                <w:sz w:val="24"/>
                <w:szCs w:val="24"/>
                <w:highlight w:val="none"/>
                <w:lang w:val="en-US" w:eastAsia="zh-CN"/>
              </w:rPr>
              <w:t>投标人</w:t>
            </w:r>
            <w:r>
              <w:rPr>
                <w:rFonts w:hint="eastAsia" w:hAnsi="宋体" w:cs="宋体"/>
                <w:color w:val="auto"/>
                <w:sz w:val="24"/>
                <w:szCs w:val="24"/>
                <w:highlight w:val="none"/>
              </w:rPr>
              <w:t>完全响应招标文件技术条款要求的得</w:t>
            </w:r>
            <w:r>
              <w:rPr>
                <w:rFonts w:hint="eastAsia" w:hAnsi="宋体" w:cs="宋体"/>
                <w:color w:val="auto"/>
                <w:sz w:val="24"/>
                <w:szCs w:val="24"/>
                <w:highlight w:val="none"/>
                <w:lang w:val="en-US" w:eastAsia="zh-CN"/>
              </w:rPr>
              <w:t>10</w:t>
            </w:r>
            <w:r>
              <w:rPr>
                <w:rFonts w:hint="eastAsia" w:hAnsi="宋体" w:cs="宋体"/>
                <w:color w:val="auto"/>
                <w:sz w:val="24"/>
                <w:szCs w:val="24"/>
                <w:highlight w:val="none"/>
              </w:rPr>
              <w:t>分，否则作无效投标处理。</w:t>
            </w:r>
          </w:p>
          <w:p w14:paraId="069C7F61">
            <w:pPr>
              <w:pStyle w:val="149"/>
              <w:snapToGrid w:val="0"/>
              <w:spacing w:before="2" w:line="440" w:lineRule="exact"/>
              <w:ind w:left="107" w:right="166"/>
              <w:jc w:val="left"/>
              <w:textAlignment w:val="baseline"/>
              <w:rPr>
                <w:rFonts w:hAnsi="宋体" w:cs="宋体"/>
                <w:color w:val="auto"/>
                <w:sz w:val="24"/>
                <w:szCs w:val="24"/>
                <w:highlight w:val="none"/>
              </w:rPr>
            </w:pPr>
            <w:r>
              <w:rPr>
                <w:rFonts w:hint="eastAsia" w:hAnsi="宋体" w:cs="宋体"/>
                <w:b/>
                <w:bCs/>
                <w:color w:val="auto"/>
                <w:sz w:val="24"/>
                <w:szCs w:val="24"/>
                <w:highlight w:val="none"/>
              </w:rPr>
              <w:t>评审依据：商务条款响应/偏离表。</w:t>
            </w:r>
          </w:p>
        </w:tc>
      </w:tr>
      <w:tr w14:paraId="57215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870" w:type="dxa"/>
            <w:vAlign w:val="center"/>
          </w:tcPr>
          <w:p w14:paraId="5A52813F">
            <w:pPr>
              <w:snapToGrid w:val="0"/>
              <w:spacing w:line="400" w:lineRule="exact"/>
              <w:jc w:val="center"/>
              <w:textAlignment w:val="baseline"/>
              <w:rPr>
                <w:b/>
                <w:sz w:val="24"/>
                <w:szCs w:val="24"/>
                <w:highlight w:val="none"/>
              </w:rPr>
            </w:pPr>
            <w:r>
              <w:rPr>
                <w:rFonts w:hint="eastAsia"/>
                <w:b/>
                <w:sz w:val="24"/>
                <w:szCs w:val="24"/>
                <w:highlight w:val="none"/>
              </w:rPr>
              <w:t>2</w:t>
            </w:r>
          </w:p>
        </w:tc>
        <w:tc>
          <w:tcPr>
            <w:tcW w:w="1687" w:type="dxa"/>
            <w:vAlign w:val="center"/>
          </w:tcPr>
          <w:p w14:paraId="036DF34C">
            <w:pPr>
              <w:snapToGrid w:val="0"/>
              <w:spacing w:line="400" w:lineRule="exact"/>
              <w:jc w:val="center"/>
              <w:textAlignment w:val="baseline"/>
              <w:rPr>
                <w:rFonts w:hint="eastAsia" w:eastAsia="宋体"/>
                <w:b/>
                <w:sz w:val="24"/>
                <w:szCs w:val="24"/>
                <w:highlight w:val="none"/>
                <w:lang w:eastAsia="zh-CN"/>
              </w:rPr>
            </w:pPr>
            <w:r>
              <w:rPr>
                <w:rFonts w:hint="eastAsia"/>
                <w:b/>
                <w:sz w:val="24"/>
                <w:szCs w:val="24"/>
                <w:highlight w:val="none"/>
                <w:lang w:eastAsia="zh-CN"/>
              </w:rPr>
              <w:t>商务实力</w:t>
            </w:r>
          </w:p>
        </w:tc>
        <w:tc>
          <w:tcPr>
            <w:tcW w:w="1276" w:type="dxa"/>
            <w:vAlign w:val="center"/>
          </w:tcPr>
          <w:p w14:paraId="29CB5298">
            <w:pPr>
              <w:snapToGrid w:val="0"/>
              <w:spacing w:line="400" w:lineRule="exact"/>
              <w:jc w:val="center"/>
              <w:textAlignment w:val="baseline"/>
              <w:rPr>
                <w:rFonts w:hint="default" w:eastAsia="宋体"/>
                <w:b/>
                <w:color w:val="auto"/>
                <w:sz w:val="24"/>
                <w:szCs w:val="24"/>
                <w:highlight w:val="none"/>
                <w:lang w:val="en-US" w:eastAsia="zh-CN"/>
              </w:rPr>
            </w:pPr>
            <w:r>
              <w:rPr>
                <w:rFonts w:hint="eastAsia"/>
                <w:b/>
                <w:color w:val="auto"/>
                <w:sz w:val="24"/>
                <w:szCs w:val="24"/>
                <w:highlight w:val="none"/>
                <w:lang w:val="en-US" w:eastAsia="zh-CN"/>
              </w:rPr>
              <w:t>15</w:t>
            </w:r>
          </w:p>
        </w:tc>
        <w:tc>
          <w:tcPr>
            <w:tcW w:w="6347" w:type="dxa"/>
            <w:vAlign w:val="center"/>
          </w:tcPr>
          <w:p w14:paraId="08F1C764">
            <w:pPr>
              <w:pStyle w:val="221"/>
              <w:numPr>
                <w:ilvl w:val="0"/>
                <w:numId w:val="0"/>
              </w:numPr>
              <w:spacing w:before="38" w:line="335" w:lineRule="auto"/>
              <w:ind w:left="14" w:leftChars="0" w:right="53" w:rightChars="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1.投标人完成过类似市政道路工程跟踪审计（含一审）业绩：</w:t>
            </w:r>
          </w:p>
          <w:p w14:paraId="56873E88">
            <w:pPr>
              <w:pStyle w:val="221"/>
              <w:spacing w:before="38" w:line="335" w:lineRule="auto"/>
              <w:ind w:left="12" w:right="53" w:firstLine="2"/>
              <w:rPr>
                <w:color w:val="auto"/>
                <w:spacing w:val="-1"/>
                <w:sz w:val="22"/>
                <w:szCs w:val="22"/>
                <w:highlight w:val="none"/>
                <w:lang w:eastAsia="zh-CN"/>
              </w:rPr>
            </w:pPr>
            <w:r>
              <w:rPr>
                <w:rFonts w:hint="eastAsia" w:hAnsi="宋体" w:cs="宋体"/>
                <w:color w:val="auto"/>
                <w:sz w:val="24"/>
                <w:szCs w:val="24"/>
                <w:highlight w:val="none"/>
                <w:lang w:val="en-US" w:eastAsia="zh-CN"/>
              </w:rPr>
              <w:t>①单个合同</w:t>
            </w:r>
            <w:r>
              <w:rPr>
                <w:rFonts w:hint="eastAsia" w:hAnsi="宋体" w:cs="宋体"/>
                <w:color w:val="auto"/>
                <w:sz w:val="24"/>
                <w:szCs w:val="24"/>
                <w:highlight w:val="none"/>
              </w:rPr>
              <w:t>金额</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本项目投资额80%的市政道路工程跟踪审计（含一审）业</w:t>
            </w:r>
            <w:r>
              <w:rPr>
                <w:rFonts w:hint="eastAsia" w:ascii="宋体" w:hAnsi="宋体" w:eastAsia="宋体" w:cs="宋体"/>
                <w:color w:val="auto"/>
                <w:sz w:val="24"/>
                <w:szCs w:val="24"/>
                <w:highlight w:val="none"/>
                <w:lang w:val="en-US" w:eastAsia="zh-CN"/>
              </w:rPr>
              <w:t>绩，每提供一个合同得</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p>
          <w:p w14:paraId="59108CA7">
            <w:pPr>
              <w:pStyle w:val="221"/>
              <w:spacing w:before="38" w:line="335" w:lineRule="auto"/>
              <w:ind w:left="12" w:right="53" w:firstLine="2"/>
              <w:rPr>
                <w:rFonts w:hint="eastAsia"/>
                <w:color w:val="auto"/>
                <w:spacing w:val="-1"/>
                <w:sz w:val="22"/>
                <w:szCs w:val="22"/>
                <w:highlight w:val="none"/>
                <w:lang w:eastAsia="zh-CN"/>
              </w:rPr>
            </w:pPr>
            <w:r>
              <w:rPr>
                <w:rFonts w:hint="eastAsia" w:hAnsi="宋体" w:cs="宋体"/>
                <w:color w:val="auto"/>
                <w:sz w:val="24"/>
                <w:szCs w:val="24"/>
                <w:highlight w:val="none"/>
                <w:lang w:val="en-US" w:eastAsia="zh-CN"/>
              </w:rPr>
              <w:t>②单个合同</w:t>
            </w:r>
            <w:r>
              <w:rPr>
                <w:rFonts w:hint="eastAsia" w:hAnsi="宋体" w:cs="宋体"/>
                <w:color w:val="auto"/>
                <w:sz w:val="24"/>
                <w:szCs w:val="24"/>
                <w:highlight w:val="none"/>
              </w:rPr>
              <w:t>金额</w:t>
            </w:r>
            <w:r>
              <w:rPr>
                <w:rFonts w:hint="eastAsia" w:hAnsi="宋体" w:cs="宋体"/>
                <w:color w:val="auto"/>
                <w:sz w:val="24"/>
                <w:szCs w:val="24"/>
                <w:highlight w:val="none"/>
                <w:lang w:val="en-US" w:eastAsia="zh-CN"/>
              </w:rPr>
              <w:t>达到本项目投资额的60%-80%（不含本数）之间的市政道路工程跟踪审计（含一审）</w:t>
            </w:r>
            <w:r>
              <w:rPr>
                <w:rFonts w:hint="eastAsia" w:ascii="宋体" w:hAnsi="宋体" w:eastAsia="宋体" w:cs="宋体"/>
                <w:color w:val="auto"/>
                <w:sz w:val="24"/>
                <w:szCs w:val="24"/>
                <w:highlight w:val="none"/>
                <w:lang w:val="en-US" w:eastAsia="zh-CN"/>
              </w:rPr>
              <w:t>业绩，每提供一个合同得1分</w:t>
            </w:r>
            <w:r>
              <w:rPr>
                <w:rFonts w:hint="eastAsia" w:hAnsi="宋体" w:cs="宋体"/>
                <w:color w:val="auto"/>
                <w:sz w:val="24"/>
                <w:szCs w:val="24"/>
                <w:highlight w:val="none"/>
                <w:lang w:val="en-US" w:eastAsia="zh-CN"/>
              </w:rPr>
              <w:t>。</w:t>
            </w:r>
          </w:p>
          <w:p w14:paraId="77117AAF">
            <w:pPr>
              <w:pStyle w:val="221"/>
              <w:spacing w:before="38" w:line="335" w:lineRule="auto"/>
              <w:ind w:left="12" w:right="53" w:firstLine="2"/>
              <w:rPr>
                <w:rFonts w:hint="eastAsia"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注：最多按5个项目业绩计分，同一业绩按最高分计取，不重复计分。本项最高得1</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p w14:paraId="2DDCDAB8">
            <w:pPr>
              <w:pStyle w:val="149"/>
              <w:snapToGrid w:val="0"/>
              <w:spacing w:before="2" w:line="440" w:lineRule="exact"/>
              <w:ind w:right="166"/>
              <w:jc w:val="left"/>
              <w:textAlignment w:val="baseline"/>
              <w:rPr>
                <w:rFonts w:hint="eastAsia" w:hAnsi="宋体" w:cs="宋体"/>
                <w:b/>
                <w:bCs/>
                <w:color w:val="auto"/>
                <w:sz w:val="24"/>
                <w:szCs w:val="24"/>
                <w:highlight w:val="none"/>
              </w:rPr>
            </w:pPr>
            <w:r>
              <w:rPr>
                <w:rFonts w:hint="eastAsia" w:hAnsi="宋体" w:cs="宋体"/>
                <w:b/>
                <w:bCs/>
                <w:color w:val="auto"/>
                <w:sz w:val="24"/>
                <w:szCs w:val="24"/>
                <w:highlight w:val="none"/>
              </w:rPr>
              <w:t>评审依据：提供中标通知书、委托合同、中标公示网上截图</w:t>
            </w:r>
            <w:r>
              <w:rPr>
                <w:rFonts w:hint="eastAsia" w:hAnsi="宋体" w:cs="宋体"/>
                <w:b/>
                <w:bCs/>
                <w:color w:val="auto"/>
                <w:sz w:val="24"/>
                <w:szCs w:val="24"/>
                <w:highlight w:val="none"/>
                <w:lang w:eastAsia="zh-CN"/>
              </w:rPr>
              <w:t>及链接</w:t>
            </w:r>
            <w:r>
              <w:rPr>
                <w:rFonts w:hint="eastAsia" w:hAnsi="宋体" w:cs="宋体"/>
                <w:b/>
                <w:bCs/>
                <w:color w:val="auto"/>
                <w:sz w:val="24"/>
                <w:szCs w:val="24"/>
                <w:highlight w:val="none"/>
              </w:rPr>
              <w:t>复印件加盖公章，未提供、</w:t>
            </w:r>
            <w:r>
              <w:rPr>
                <w:rFonts w:hint="eastAsia" w:hAnsi="宋体" w:cs="宋体"/>
                <w:b/>
                <w:bCs/>
                <w:color w:val="auto"/>
                <w:sz w:val="24"/>
                <w:szCs w:val="24"/>
                <w:highlight w:val="none"/>
                <w:lang w:eastAsia="zh-CN"/>
              </w:rPr>
              <w:t>少提供</w:t>
            </w:r>
            <w:r>
              <w:rPr>
                <w:rFonts w:hint="eastAsia" w:hAnsi="宋体" w:cs="宋体"/>
                <w:b/>
                <w:bCs/>
                <w:color w:val="auto"/>
                <w:sz w:val="24"/>
                <w:szCs w:val="24"/>
                <w:highlight w:val="none"/>
              </w:rPr>
              <w:t>或不清晰无法辨认的不得分。原件开标现场</w:t>
            </w:r>
            <w:r>
              <w:rPr>
                <w:rFonts w:hint="eastAsia" w:hAnsi="宋体" w:cs="宋体"/>
                <w:b/>
                <w:bCs/>
                <w:color w:val="auto"/>
                <w:sz w:val="24"/>
                <w:szCs w:val="24"/>
                <w:highlight w:val="none"/>
                <w:lang w:eastAsia="zh-CN"/>
              </w:rPr>
              <w:t>备</w:t>
            </w:r>
            <w:r>
              <w:rPr>
                <w:rFonts w:hint="eastAsia" w:hAnsi="宋体" w:cs="宋体"/>
                <w:b/>
                <w:bCs/>
                <w:color w:val="auto"/>
                <w:sz w:val="24"/>
                <w:szCs w:val="24"/>
                <w:highlight w:val="none"/>
              </w:rPr>
              <w:t>查。</w:t>
            </w:r>
          </w:p>
          <w:p w14:paraId="5586D738">
            <w:pPr>
              <w:pStyle w:val="221"/>
              <w:numPr>
                <w:ilvl w:val="0"/>
                <w:numId w:val="0"/>
              </w:numPr>
              <w:spacing w:before="38" w:line="335" w:lineRule="auto"/>
              <w:ind w:right="53" w:rightChars="0"/>
              <w:rPr>
                <w:rFonts w:hint="default" w:hAnsi="宋体" w:cs="宋体"/>
                <w:color w:val="auto"/>
                <w:sz w:val="24"/>
                <w:szCs w:val="24"/>
                <w:highlight w:val="none"/>
                <w:lang w:val="en-US" w:eastAsia="zh-CN"/>
              </w:rPr>
            </w:pPr>
          </w:p>
        </w:tc>
      </w:tr>
    </w:tbl>
    <w:p w14:paraId="62547181">
      <w:pPr>
        <w:snapToGrid w:val="0"/>
        <w:textAlignment w:val="baseline"/>
        <w:rPr>
          <w:sz w:val="20"/>
          <w:highlight w:val="none"/>
        </w:rPr>
      </w:pPr>
    </w:p>
    <w:p w14:paraId="08150A2C">
      <w:pPr>
        <w:snapToGrid w:val="0"/>
        <w:spacing w:line="460" w:lineRule="exact"/>
        <w:textAlignment w:val="baseline"/>
        <w:rPr>
          <w:rFonts w:hAnsi="宋体"/>
          <w:sz w:val="24"/>
          <w:szCs w:val="24"/>
          <w:highlight w:val="none"/>
        </w:rPr>
      </w:pPr>
      <w:r>
        <w:rPr>
          <w:rFonts w:hint="eastAsia" w:hAnsi="宋体"/>
          <w:sz w:val="24"/>
          <w:szCs w:val="24"/>
          <w:highlight w:val="none"/>
        </w:rPr>
        <w:t xml:space="preserve">注：1.本标段采用“综合评分法”进行评标，总分为100分。总分＝价格分+技术分＋商务分，以综合得分最高者中标。得分相同的，按投标报价由低到高排列，且得分或投标报价相同的，按技术指标优劣顺序排列，专家将依据主要因数从价格、技术、财务状况、信誉、业绩、服务和对标书的响应程度及响应的比重或者权值等。               </w:t>
      </w:r>
    </w:p>
    <w:p w14:paraId="7059F2C0">
      <w:pPr>
        <w:snapToGrid w:val="0"/>
        <w:spacing w:line="460" w:lineRule="exact"/>
        <w:textAlignment w:val="baseline"/>
      </w:pPr>
      <w:r>
        <w:rPr>
          <w:rFonts w:hint="eastAsia" w:hAnsi="宋体"/>
          <w:sz w:val="24"/>
          <w:szCs w:val="24"/>
          <w:highlight w:val="none"/>
        </w:rPr>
        <w:t>2.评标专家组根据招标文件对各投标人的投标文件中技术参数要求响应评比、商务与服务响应等情况进行评审和综合评估并打分；评标专家组成员打分时不得协商，应独立完成。未满足招标文件要求的投标文件不予打分。招标代理机构按照确定的评分细则计算价格得分，评标专家组复核后给予确认。根据评标专家组的综合打分结果，得出预中标人排序。</w:t>
      </w:r>
    </w:p>
    <w:sectPr>
      <w:headerReference r:id="rId8" w:type="default"/>
      <w:footerReference r:id="rId9" w:type="default"/>
      <w:pgSz w:w="11849" w:h="16781"/>
      <w:pgMar w:top="680" w:right="1077" w:bottom="907" w:left="1417" w:header="567" w:footer="510" w:gutter="17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ont-weight : 400">
    <w:altName w:val="Courier New"/>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6078F">
    <w:pPr>
      <w:pStyle w:val="2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999CB31">
                          <w:pPr>
                            <w:pStyle w:val="2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999CB31">
                    <w:pPr>
                      <w:pStyle w:val="2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93909">
    <w:pPr>
      <w:pStyle w:val="2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4CAF8B">
                          <w:pPr>
                            <w:pStyle w:val="23"/>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ohXI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DohXI5AgAAcQQAAA4AAAAAAAAAAQAgAAAAHwEAAGRycy9lMm9Eb2Mu&#10;eG1sUEsFBgAAAAAGAAYAWQEAAMoFAAAAAA==&#10;">
              <v:fill on="f" focussize="0,0"/>
              <v:stroke on="f" weight="0.5pt"/>
              <v:imagedata o:title=""/>
              <o:lock v:ext="edit" aspectratio="f"/>
              <v:textbox inset="0mm,0mm,0mm,0mm" style="mso-fit-shape-to-text:t;">
                <w:txbxContent>
                  <w:p w14:paraId="024CAF8B">
                    <w:pPr>
                      <w:pStyle w:val="2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9323B">
    <w:pPr>
      <w:pStyle w:val="23"/>
      <w:ind w:right="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A125F0A">
                          <w:pPr>
                            <w:pStyle w:val="23"/>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v:fill on="f" focussize="0,0"/>
              <v:stroke on="f" weight="0.5pt"/>
              <v:imagedata o:title=""/>
              <o:lock v:ext="edit" aspectratio="f"/>
              <v:textbox inset="0mm,0mm,0mm,0mm" style="mso-fit-shape-to-text:t;">
                <w:txbxContent>
                  <w:p w14:paraId="5A125F0A">
                    <w:pPr>
                      <w:pStyle w:val="23"/>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DFF65">
    <w:pPr>
      <w:pStyle w:val="23"/>
      <w:framePr w:wrap="around" w:vAnchor="text" w:hAnchor="margin" w:xAlign="center" w:y="1"/>
      <w:rPr>
        <w:rStyle w:val="44"/>
      </w:rPr>
    </w:pPr>
    <w:r>
      <w:fldChar w:fldCharType="begin"/>
    </w:r>
    <w:r>
      <w:rPr>
        <w:rStyle w:val="44"/>
      </w:rPr>
      <w:instrText xml:space="preserve">PAGE  </w:instrText>
    </w:r>
    <w:r>
      <w:fldChar w:fldCharType="end"/>
    </w:r>
  </w:p>
  <w:p w14:paraId="35A9A0BF">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85D55">
    <w:pPr>
      <w:pStyle w:val="23"/>
      <w:ind w:right="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7CCBD6">
                          <w:pPr>
                            <w:pStyle w:val="2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ijic5AgAAcQ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OGijic5AgAAcQQAAA4AAAAAAAAAAQAgAAAAHwEAAGRycy9lMm9Eb2Mu&#10;eG1sUEsFBgAAAAAGAAYAWQEAAMoFAAAAAA==&#10;">
              <v:fill on="f" focussize="0,0"/>
              <v:stroke on="f" weight="0.5pt"/>
              <v:imagedata o:title=""/>
              <o:lock v:ext="edit" aspectratio="f"/>
              <v:textbox inset="0mm,0mm,0mm,0mm" style="mso-fit-shape-to-text:t;">
                <w:txbxContent>
                  <w:p w14:paraId="047CCBD6">
                    <w:pPr>
                      <w:pStyle w:val="23"/>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6E10F">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4D4FB">
    <w:pPr>
      <w:pStyle w:val="24"/>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1663AB"/>
    <w:multiLevelType w:val="singleLevel"/>
    <w:tmpl w:val="9B1663AB"/>
    <w:lvl w:ilvl="0" w:tentative="0">
      <w:start w:val="1"/>
      <w:numFmt w:val="decimal"/>
      <w:lvlText w:val="%1."/>
      <w:lvlJc w:val="left"/>
      <w:pPr>
        <w:tabs>
          <w:tab w:val="left" w:pos="312"/>
        </w:tabs>
      </w:pPr>
    </w:lvl>
  </w:abstractNum>
  <w:abstractNum w:abstractNumId="1">
    <w:nsid w:val="C281406A"/>
    <w:multiLevelType w:val="singleLevel"/>
    <w:tmpl w:val="C281406A"/>
    <w:lvl w:ilvl="0" w:tentative="0">
      <w:start w:val="1"/>
      <w:numFmt w:val="chineseCounting"/>
      <w:suff w:val="nothing"/>
      <w:lvlText w:val="%1、"/>
      <w:lvlJc w:val="left"/>
      <w:rPr>
        <w:rFonts w:hint="eastAsia"/>
      </w:rPr>
    </w:lvl>
  </w:abstractNum>
  <w:abstractNum w:abstractNumId="2">
    <w:nsid w:val="00000004"/>
    <w:multiLevelType w:val="multilevel"/>
    <w:tmpl w:val="00000004"/>
    <w:lvl w:ilvl="0" w:tentative="0">
      <w:start w:val="1"/>
      <w:numFmt w:val="japaneseCounting"/>
      <w:lvlText w:val="第%1章"/>
      <w:lvlJc w:val="left"/>
      <w:pPr>
        <w:tabs>
          <w:tab w:val="left" w:pos="1380"/>
        </w:tabs>
        <w:ind w:left="900" w:hanging="840"/>
      </w:pPr>
      <w:rPr>
        <w:rFonts w:hint="eastAsia"/>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3">
    <w:nsid w:val="0E648F2C"/>
    <w:multiLevelType w:val="singleLevel"/>
    <w:tmpl w:val="0E648F2C"/>
    <w:lvl w:ilvl="0" w:tentative="0">
      <w:start w:val="8"/>
      <w:numFmt w:val="chineseCounting"/>
      <w:suff w:val="nothing"/>
      <w:lvlText w:val="%1、"/>
      <w:lvlJc w:val="left"/>
      <w:rPr>
        <w:rFonts w:hint="eastAsia"/>
      </w:rPr>
    </w:lvl>
  </w:abstractNum>
  <w:abstractNum w:abstractNumId="4">
    <w:nsid w:val="70FB894C"/>
    <w:multiLevelType w:val="singleLevel"/>
    <w:tmpl w:val="70FB894C"/>
    <w:lvl w:ilvl="0" w:tentative="0">
      <w:start w:val="2"/>
      <w:numFmt w:val="chineseCounting"/>
      <w:suff w:val="nothing"/>
      <w:lvlText w:val="第%1章　"/>
      <w:lvlJc w:val="left"/>
      <w:rPr>
        <w:rFonts w:hint="eastAsia"/>
      </w:rPr>
    </w:lvl>
  </w:abstractNum>
  <w:abstractNum w:abstractNumId="5">
    <w:nsid w:val="7F866B15"/>
    <w:multiLevelType w:val="singleLevel"/>
    <w:tmpl w:val="7F866B15"/>
    <w:lvl w:ilvl="0" w:tentative="0">
      <w:start w:val="1"/>
      <w:numFmt w:val="chineseCounting"/>
      <w:suff w:val="nothing"/>
      <w:lvlText w:val="%1、"/>
      <w:lvlJc w:val="left"/>
      <w:rPr>
        <w:rFonts w:hint="eastAsia"/>
      </w:r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hideSpellingErrors/>
  <w:documentProtection w:enforcement="0"/>
  <w:defaultTabStop w:val="425"/>
  <w:drawingGridHorizontalSpacing w:val="17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4NDlmMDhjNjE5NThkMzI5YzUwOTM0OTg3YzQ1ZDEifQ=="/>
    <w:docVar w:name="KSO_WPS_MARK_KEY" w:val="088a7b50-a0fd-4a87-b8b2-353a3bf94ae4"/>
  </w:docVars>
  <w:rsids>
    <w:rsidRoot w:val="00172A27"/>
    <w:rsid w:val="000001A8"/>
    <w:rsid w:val="00000FF4"/>
    <w:rsid w:val="000022DF"/>
    <w:rsid w:val="00002FCA"/>
    <w:rsid w:val="00003225"/>
    <w:rsid w:val="0000380B"/>
    <w:rsid w:val="00003BB8"/>
    <w:rsid w:val="000055CD"/>
    <w:rsid w:val="00005685"/>
    <w:rsid w:val="000107ED"/>
    <w:rsid w:val="00010894"/>
    <w:rsid w:val="000133BE"/>
    <w:rsid w:val="0001420A"/>
    <w:rsid w:val="00014BEC"/>
    <w:rsid w:val="0001569A"/>
    <w:rsid w:val="00020D53"/>
    <w:rsid w:val="000242C0"/>
    <w:rsid w:val="000242F9"/>
    <w:rsid w:val="00024966"/>
    <w:rsid w:val="00024983"/>
    <w:rsid w:val="00024E96"/>
    <w:rsid w:val="00025E95"/>
    <w:rsid w:val="00026B24"/>
    <w:rsid w:val="00027833"/>
    <w:rsid w:val="0003004C"/>
    <w:rsid w:val="00031E47"/>
    <w:rsid w:val="00032608"/>
    <w:rsid w:val="00032F5E"/>
    <w:rsid w:val="000342D3"/>
    <w:rsid w:val="00035122"/>
    <w:rsid w:val="00036A16"/>
    <w:rsid w:val="0004075D"/>
    <w:rsid w:val="00040E26"/>
    <w:rsid w:val="00042395"/>
    <w:rsid w:val="00042536"/>
    <w:rsid w:val="0004318D"/>
    <w:rsid w:val="000432B1"/>
    <w:rsid w:val="00044647"/>
    <w:rsid w:val="00044C21"/>
    <w:rsid w:val="00044E81"/>
    <w:rsid w:val="00045024"/>
    <w:rsid w:val="0004511C"/>
    <w:rsid w:val="0005313B"/>
    <w:rsid w:val="000548E5"/>
    <w:rsid w:val="00054ACF"/>
    <w:rsid w:val="000552EF"/>
    <w:rsid w:val="0005715E"/>
    <w:rsid w:val="00057E05"/>
    <w:rsid w:val="000600DB"/>
    <w:rsid w:val="00060811"/>
    <w:rsid w:val="00061C4F"/>
    <w:rsid w:val="0006482A"/>
    <w:rsid w:val="00064EA6"/>
    <w:rsid w:val="000651AB"/>
    <w:rsid w:val="000657D7"/>
    <w:rsid w:val="00065814"/>
    <w:rsid w:val="00065A75"/>
    <w:rsid w:val="000674EA"/>
    <w:rsid w:val="00070543"/>
    <w:rsid w:val="000707F1"/>
    <w:rsid w:val="000707F8"/>
    <w:rsid w:val="00071ED9"/>
    <w:rsid w:val="00073EF9"/>
    <w:rsid w:val="000762CE"/>
    <w:rsid w:val="00081141"/>
    <w:rsid w:val="000818D1"/>
    <w:rsid w:val="00082F82"/>
    <w:rsid w:val="00083214"/>
    <w:rsid w:val="000832E7"/>
    <w:rsid w:val="000835E7"/>
    <w:rsid w:val="000835F1"/>
    <w:rsid w:val="000836AC"/>
    <w:rsid w:val="00083F7B"/>
    <w:rsid w:val="00087487"/>
    <w:rsid w:val="000879BE"/>
    <w:rsid w:val="000903AC"/>
    <w:rsid w:val="0009075B"/>
    <w:rsid w:val="0009107B"/>
    <w:rsid w:val="000918A3"/>
    <w:rsid w:val="00092128"/>
    <w:rsid w:val="0009247D"/>
    <w:rsid w:val="00092A8C"/>
    <w:rsid w:val="00093949"/>
    <w:rsid w:val="00095F7F"/>
    <w:rsid w:val="0009601B"/>
    <w:rsid w:val="00097137"/>
    <w:rsid w:val="00097827"/>
    <w:rsid w:val="000A0597"/>
    <w:rsid w:val="000A159A"/>
    <w:rsid w:val="000A1783"/>
    <w:rsid w:val="000A1A6C"/>
    <w:rsid w:val="000A213F"/>
    <w:rsid w:val="000A473D"/>
    <w:rsid w:val="000A596F"/>
    <w:rsid w:val="000A6D84"/>
    <w:rsid w:val="000A7002"/>
    <w:rsid w:val="000A7015"/>
    <w:rsid w:val="000A7218"/>
    <w:rsid w:val="000A72F6"/>
    <w:rsid w:val="000B0D41"/>
    <w:rsid w:val="000B10A3"/>
    <w:rsid w:val="000B1EA2"/>
    <w:rsid w:val="000B2613"/>
    <w:rsid w:val="000B2F8F"/>
    <w:rsid w:val="000B4C9A"/>
    <w:rsid w:val="000B5DAC"/>
    <w:rsid w:val="000B6575"/>
    <w:rsid w:val="000B6EB2"/>
    <w:rsid w:val="000B7357"/>
    <w:rsid w:val="000B780E"/>
    <w:rsid w:val="000B7AD8"/>
    <w:rsid w:val="000C1084"/>
    <w:rsid w:val="000C1794"/>
    <w:rsid w:val="000C1C1E"/>
    <w:rsid w:val="000C22C2"/>
    <w:rsid w:val="000C4576"/>
    <w:rsid w:val="000C4839"/>
    <w:rsid w:val="000C6506"/>
    <w:rsid w:val="000C6BE4"/>
    <w:rsid w:val="000D1412"/>
    <w:rsid w:val="000D1F47"/>
    <w:rsid w:val="000D523B"/>
    <w:rsid w:val="000D5514"/>
    <w:rsid w:val="000D590C"/>
    <w:rsid w:val="000D5BB2"/>
    <w:rsid w:val="000D62E5"/>
    <w:rsid w:val="000D7408"/>
    <w:rsid w:val="000D786B"/>
    <w:rsid w:val="000E00B6"/>
    <w:rsid w:val="000E0492"/>
    <w:rsid w:val="000E0D70"/>
    <w:rsid w:val="000E0D77"/>
    <w:rsid w:val="000E19B5"/>
    <w:rsid w:val="000E5974"/>
    <w:rsid w:val="000E5D71"/>
    <w:rsid w:val="000E6262"/>
    <w:rsid w:val="000E63A8"/>
    <w:rsid w:val="000F177F"/>
    <w:rsid w:val="000F1F03"/>
    <w:rsid w:val="000F3A79"/>
    <w:rsid w:val="000F4E84"/>
    <w:rsid w:val="000F558F"/>
    <w:rsid w:val="000F648E"/>
    <w:rsid w:val="000F7209"/>
    <w:rsid w:val="000F75D9"/>
    <w:rsid w:val="0010072C"/>
    <w:rsid w:val="00101D43"/>
    <w:rsid w:val="0010204E"/>
    <w:rsid w:val="0010270C"/>
    <w:rsid w:val="00103436"/>
    <w:rsid w:val="00105116"/>
    <w:rsid w:val="0010701B"/>
    <w:rsid w:val="00107238"/>
    <w:rsid w:val="00107257"/>
    <w:rsid w:val="00111658"/>
    <w:rsid w:val="00112493"/>
    <w:rsid w:val="001137D1"/>
    <w:rsid w:val="001138C9"/>
    <w:rsid w:val="00113E9E"/>
    <w:rsid w:val="0011424D"/>
    <w:rsid w:val="0011499A"/>
    <w:rsid w:val="0011760C"/>
    <w:rsid w:val="0011778E"/>
    <w:rsid w:val="00117DDE"/>
    <w:rsid w:val="001202F4"/>
    <w:rsid w:val="00121E64"/>
    <w:rsid w:val="00122C0E"/>
    <w:rsid w:val="00122EED"/>
    <w:rsid w:val="001232CA"/>
    <w:rsid w:val="00124030"/>
    <w:rsid w:val="0012624E"/>
    <w:rsid w:val="001310BE"/>
    <w:rsid w:val="00131313"/>
    <w:rsid w:val="00132479"/>
    <w:rsid w:val="001324F4"/>
    <w:rsid w:val="00133853"/>
    <w:rsid w:val="00134B26"/>
    <w:rsid w:val="00135287"/>
    <w:rsid w:val="00137DF4"/>
    <w:rsid w:val="001403F3"/>
    <w:rsid w:val="00140D34"/>
    <w:rsid w:val="00143A18"/>
    <w:rsid w:val="00143C54"/>
    <w:rsid w:val="00144D65"/>
    <w:rsid w:val="0015081B"/>
    <w:rsid w:val="0015130B"/>
    <w:rsid w:val="00151C35"/>
    <w:rsid w:val="00152AB9"/>
    <w:rsid w:val="00153A00"/>
    <w:rsid w:val="00154B2E"/>
    <w:rsid w:val="0015525F"/>
    <w:rsid w:val="00155747"/>
    <w:rsid w:val="001567B3"/>
    <w:rsid w:val="00157805"/>
    <w:rsid w:val="00161E95"/>
    <w:rsid w:val="00163F80"/>
    <w:rsid w:val="001647DB"/>
    <w:rsid w:val="0016486C"/>
    <w:rsid w:val="00165A05"/>
    <w:rsid w:val="00165C6B"/>
    <w:rsid w:val="00165D36"/>
    <w:rsid w:val="0016608F"/>
    <w:rsid w:val="00166A4B"/>
    <w:rsid w:val="00170F50"/>
    <w:rsid w:val="001727C3"/>
    <w:rsid w:val="00172A27"/>
    <w:rsid w:val="00172F2A"/>
    <w:rsid w:val="00173CAB"/>
    <w:rsid w:val="00173E0A"/>
    <w:rsid w:val="00174412"/>
    <w:rsid w:val="001754A7"/>
    <w:rsid w:val="0017555A"/>
    <w:rsid w:val="001766CF"/>
    <w:rsid w:val="00176AB0"/>
    <w:rsid w:val="0018047A"/>
    <w:rsid w:val="00180FC7"/>
    <w:rsid w:val="00182A31"/>
    <w:rsid w:val="00182BB1"/>
    <w:rsid w:val="00182F4C"/>
    <w:rsid w:val="00184378"/>
    <w:rsid w:val="001854E2"/>
    <w:rsid w:val="00186705"/>
    <w:rsid w:val="00187D10"/>
    <w:rsid w:val="001915FE"/>
    <w:rsid w:val="00191891"/>
    <w:rsid w:val="00191EBB"/>
    <w:rsid w:val="00192198"/>
    <w:rsid w:val="001928D3"/>
    <w:rsid w:val="00193AE1"/>
    <w:rsid w:val="001940AA"/>
    <w:rsid w:val="00194B9C"/>
    <w:rsid w:val="00194BB5"/>
    <w:rsid w:val="00194F63"/>
    <w:rsid w:val="0019665B"/>
    <w:rsid w:val="001A0BB5"/>
    <w:rsid w:val="001A0CE0"/>
    <w:rsid w:val="001A0E16"/>
    <w:rsid w:val="001A1072"/>
    <w:rsid w:val="001A131C"/>
    <w:rsid w:val="001A294C"/>
    <w:rsid w:val="001A2B2E"/>
    <w:rsid w:val="001A2C16"/>
    <w:rsid w:val="001A2E84"/>
    <w:rsid w:val="001A33DF"/>
    <w:rsid w:val="001A4AED"/>
    <w:rsid w:val="001A6D19"/>
    <w:rsid w:val="001A6FF5"/>
    <w:rsid w:val="001A748E"/>
    <w:rsid w:val="001A7AF5"/>
    <w:rsid w:val="001B0774"/>
    <w:rsid w:val="001B0AB9"/>
    <w:rsid w:val="001B1466"/>
    <w:rsid w:val="001B1DAF"/>
    <w:rsid w:val="001B210E"/>
    <w:rsid w:val="001B3EDB"/>
    <w:rsid w:val="001B3FCB"/>
    <w:rsid w:val="001B4876"/>
    <w:rsid w:val="001B4D0A"/>
    <w:rsid w:val="001B5479"/>
    <w:rsid w:val="001B5B5B"/>
    <w:rsid w:val="001B5BDD"/>
    <w:rsid w:val="001B6A0E"/>
    <w:rsid w:val="001B7502"/>
    <w:rsid w:val="001B7639"/>
    <w:rsid w:val="001B7AB3"/>
    <w:rsid w:val="001B7DEA"/>
    <w:rsid w:val="001B7FF4"/>
    <w:rsid w:val="001C07F4"/>
    <w:rsid w:val="001C0A63"/>
    <w:rsid w:val="001C19AA"/>
    <w:rsid w:val="001C1B96"/>
    <w:rsid w:val="001C2773"/>
    <w:rsid w:val="001C350F"/>
    <w:rsid w:val="001C3A9D"/>
    <w:rsid w:val="001C3EAD"/>
    <w:rsid w:val="001C49EC"/>
    <w:rsid w:val="001C4AF9"/>
    <w:rsid w:val="001C5D2E"/>
    <w:rsid w:val="001C7598"/>
    <w:rsid w:val="001D0090"/>
    <w:rsid w:val="001D0AB2"/>
    <w:rsid w:val="001D0DE4"/>
    <w:rsid w:val="001D1C15"/>
    <w:rsid w:val="001D2333"/>
    <w:rsid w:val="001D2395"/>
    <w:rsid w:val="001D2E2B"/>
    <w:rsid w:val="001D39BB"/>
    <w:rsid w:val="001D4CE0"/>
    <w:rsid w:val="001D6355"/>
    <w:rsid w:val="001D6881"/>
    <w:rsid w:val="001E05E1"/>
    <w:rsid w:val="001E1035"/>
    <w:rsid w:val="001E1286"/>
    <w:rsid w:val="001E1499"/>
    <w:rsid w:val="001E2417"/>
    <w:rsid w:val="001E29B1"/>
    <w:rsid w:val="001E3C8D"/>
    <w:rsid w:val="001E61BA"/>
    <w:rsid w:val="001E671D"/>
    <w:rsid w:val="001E774D"/>
    <w:rsid w:val="001F1599"/>
    <w:rsid w:val="001F2A15"/>
    <w:rsid w:val="001F2C89"/>
    <w:rsid w:val="001F30C5"/>
    <w:rsid w:val="001F3776"/>
    <w:rsid w:val="001F39EF"/>
    <w:rsid w:val="001F4033"/>
    <w:rsid w:val="001F521B"/>
    <w:rsid w:val="001F5532"/>
    <w:rsid w:val="001F5734"/>
    <w:rsid w:val="001F59D9"/>
    <w:rsid w:val="001F631C"/>
    <w:rsid w:val="001F6361"/>
    <w:rsid w:val="001F6419"/>
    <w:rsid w:val="001F7E55"/>
    <w:rsid w:val="00200F93"/>
    <w:rsid w:val="002013D8"/>
    <w:rsid w:val="00202805"/>
    <w:rsid w:val="00204901"/>
    <w:rsid w:val="00206B85"/>
    <w:rsid w:val="002074F5"/>
    <w:rsid w:val="002109E6"/>
    <w:rsid w:val="00210D58"/>
    <w:rsid w:val="002114E2"/>
    <w:rsid w:val="002115B2"/>
    <w:rsid w:val="002134AC"/>
    <w:rsid w:val="00213EDB"/>
    <w:rsid w:val="00214FCC"/>
    <w:rsid w:val="002152FB"/>
    <w:rsid w:val="00216324"/>
    <w:rsid w:val="002172B5"/>
    <w:rsid w:val="00217929"/>
    <w:rsid w:val="00224340"/>
    <w:rsid w:val="0022434E"/>
    <w:rsid w:val="0022698E"/>
    <w:rsid w:val="0023069C"/>
    <w:rsid w:val="00233E76"/>
    <w:rsid w:val="00233F04"/>
    <w:rsid w:val="00234D1C"/>
    <w:rsid w:val="00234EDD"/>
    <w:rsid w:val="002371BC"/>
    <w:rsid w:val="00237324"/>
    <w:rsid w:val="00237D74"/>
    <w:rsid w:val="00240559"/>
    <w:rsid w:val="00240633"/>
    <w:rsid w:val="002431A0"/>
    <w:rsid w:val="00245A42"/>
    <w:rsid w:val="00245B00"/>
    <w:rsid w:val="00246AC3"/>
    <w:rsid w:val="00246C82"/>
    <w:rsid w:val="00247148"/>
    <w:rsid w:val="002477F5"/>
    <w:rsid w:val="002509D8"/>
    <w:rsid w:val="00251168"/>
    <w:rsid w:val="0025432F"/>
    <w:rsid w:val="002554BA"/>
    <w:rsid w:val="00257A9C"/>
    <w:rsid w:val="00260678"/>
    <w:rsid w:val="00260D60"/>
    <w:rsid w:val="00260DCC"/>
    <w:rsid w:val="00262262"/>
    <w:rsid w:val="00262694"/>
    <w:rsid w:val="00262A69"/>
    <w:rsid w:val="0026337D"/>
    <w:rsid w:val="00263AF1"/>
    <w:rsid w:val="002657E4"/>
    <w:rsid w:val="00265CEF"/>
    <w:rsid w:val="00265DC4"/>
    <w:rsid w:val="00266041"/>
    <w:rsid w:val="00266787"/>
    <w:rsid w:val="00266887"/>
    <w:rsid w:val="002672BE"/>
    <w:rsid w:val="00267E0F"/>
    <w:rsid w:val="002701EA"/>
    <w:rsid w:val="002704DD"/>
    <w:rsid w:val="00270DB5"/>
    <w:rsid w:val="00272473"/>
    <w:rsid w:val="00272563"/>
    <w:rsid w:val="00273874"/>
    <w:rsid w:val="00273CF2"/>
    <w:rsid w:val="00274B9D"/>
    <w:rsid w:val="00274DE9"/>
    <w:rsid w:val="00275B35"/>
    <w:rsid w:val="00275D0D"/>
    <w:rsid w:val="00275F88"/>
    <w:rsid w:val="00280F5A"/>
    <w:rsid w:val="002870C3"/>
    <w:rsid w:val="00287A8C"/>
    <w:rsid w:val="00290CBA"/>
    <w:rsid w:val="002916CF"/>
    <w:rsid w:val="0029170E"/>
    <w:rsid w:val="00291ECE"/>
    <w:rsid w:val="002928B4"/>
    <w:rsid w:val="00292FF7"/>
    <w:rsid w:val="002936F4"/>
    <w:rsid w:val="0029527A"/>
    <w:rsid w:val="0029589D"/>
    <w:rsid w:val="00295BBF"/>
    <w:rsid w:val="00295F3F"/>
    <w:rsid w:val="002969D8"/>
    <w:rsid w:val="00296F9E"/>
    <w:rsid w:val="002A336C"/>
    <w:rsid w:val="002A33F4"/>
    <w:rsid w:val="002A3ED9"/>
    <w:rsid w:val="002A4AD5"/>
    <w:rsid w:val="002A5D2A"/>
    <w:rsid w:val="002A6202"/>
    <w:rsid w:val="002B034B"/>
    <w:rsid w:val="002B0D7F"/>
    <w:rsid w:val="002B321E"/>
    <w:rsid w:val="002B3708"/>
    <w:rsid w:val="002B3AC5"/>
    <w:rsid w:val="002B3EE1"/>
    <w:rsid w:val="002B44D9"/>
    <w:rsid w:val="002B6455"/>
    <w:rsid w:val="002B67B5"/>
    <w:rsid w:val="002C195A"/>
    <w:rsid w:val="002C1DC7"/>
    <w:rsid w:val="002C6319"/>
    <w:rsid w:val="002D01F5"/>
    <w:rsid w:val="002D258E"/>
    <w:rsid w:val="002D2A6F"/>
    <w:rsid w:val="002D3A54"/>
    <w:rsid w:val="002D4126"/>
    <w:rsid w:val="002D4F2A"/>
    <w:rsid w:val="002D5BFF"/>
    <w:rsid w:val="002D5CE1"/>
    <w:rsid w:val="002D6472"/>
    <w:rsid w:val="002D6515"/>
    <w:rsid w:val="002D6C58"/>
    <w:rsid w:val="002D70DE"/>
    <w:rsid w:val="002D7298"/>
    <w:rsid w:val="002E000F"/>
    <w:rsid w:val="002E0CE3"/>
    <w:rsid w:val="002E1BD6"/>
    <w:rsid w:val="002E2E6D"/>
    <w:rsid w:val="002E47F3"/>
    <w:rsid w:val="002E4B18"/>
    <w:rsid w:val="002E7144"/>
    <w:rsid w:val="002E79F4"/>
    <w:rsid w:val="002F0EB5"/>
    <w:rsid w:val="002F1944"/>
    <w:rsid w:val="002F2253"/>
    <w:rsid w:val="002F2BBB"/>
    <w:rsid w:val="002F491C"/>
    <w:rsid w:val="002F57D7"/>
    <w:rsid w:val="002F5909"/>
    <w:rsid w:val="002F5EAB"/>
    <w:rsid w:val="002F6D08"/>
    <w:rsid w:val="00300A83"/>
    <w:rsid w:val="003012E0"/>
    <w:rsid w:val="003026AF"/>
    <w:rsid w:val="003040AB"/>
    <w:rsid w:val="00304576"/>
    <w:rsid w:val="00304AB1"/>
    <w:rsid w:val="00304C5E"/>
    <w:rsid w:val="00306830"/>
    <w:rsid w:val="00307993"/>
    <w:rsid w:val="003100EF"/>
    <w:rsid w:val="00310404"/>
    <w:rsid w:val="0031127E"/>
    <w:rsid w:val="00313280"/>
    <w:rsid w:val="00314B2C"/>
    <w:rsid w:val="00315B6D"/>
    <w:rsid w:val="0031673F"/>
    <w:rsid w:val="00316F44"/>
    <w:rsid w:val="0031708A"/>
    <w:rsid w:val="0031738E"/>
    <w:rsid w:val="00317477"/>
    <w:rsid w:val="00320C6A"/>
    <w:rsid w:val="0032329D"/>
    <w:rsid w:val="00326327"/>
    <w:rsid w:val="003301C7"/>
    <w:rsid w:val="003307FA"/>
    <w:rsid w:val="0033238F"/>
    <w:rsid w:val="003326E6"/>
    <w:rsid w:val="003333B1"/>
    <w:rsid w:val="003333DB"/>
    <w:rsid w:val="00333842"/>
    <w:rsid w:val="00333CE4"/>
    <w:rsid w:val="003344FB"/>
    <w:rsid w:val="00335332"/>
    <w:rsid w:val="0033597F"/>
    <w:rsid w:val="00336F96"/>
    <w:rsid w:val="003374D4"/>
    <w:rsid w:val="00337F77"/>
    <w:rsid w:val="00340EC4"/>
    <w:rsid w:val="0034132B"/>
    <w:rsid w:val="00342CC9"/>
    <w:rsid w:val="00343747"/>
    <w:rsid w:val="00344231"/>
    <w:rsid w:val="00345C86"/>
    <w:rsid w:val="00345CFD"/>
    <w:rsid w:val="00346036"/>
    <w:rsid w:val="00346A16"/>
    <w:rsid w:val="003471BF"/>
    <w:rsid w:val="00347B42"/>
    <w:rsid w:val="00350670"/>
    <w:rsid w:val="00351A84"/>
    <w:rsid w:val="00351B66"/>
    <w:rsid w:val="00353218"/>
    <w:rsid w:val="003540BD"/>
    <w:rsid w:val="003543C1"/>
    <w:rsid w:val="0035489A"/>
    <w:rsid w:val="003564BF"/>
    <w:rsid w:val="00357B01"/>
    <w:rsid w:val="00357BF7"/>
    <w:rsid w:val="00360835"/>
    <w:rsid w:val="003615DB"/>
    <w:rsid w:val="00362CDC"/>
    <w:rsid w:val="00362E55"/>
    <w:rsid w:val="00363C0F"/>
    <w:rsid w:val="003640BD"/>
    <w:rsid w:val="0036415F"/>
    <w:rsid w:val="003647B5"/>
    <w:rsid w:val="00366F1D"/>
    <w:rsid w:val="003670A1"/>
    <w:rsid w:val="00367A75"/>
    <w:rsid w:val="00367BF1"/>
    <w:rsid w:val="0037025F"/>
    <w:rsid w:val="003704F7"/>
    <w:rsid w:val="00371E03"/>
    <w:rsid w:val="003722B5"/>
    <w:rsid w:val="003731B4"/>
    <w:rsid w:val="00373404"/>
    <w:rsid w:val="00374354"/>
    <w:rsid w:val="00374B03"/>
    <w:rsid w:val="003750A1"/>
    <w:rsid w:val="0037693F"/>
    <w:rsid w:val="00377352"/>
    <w:rsid w:val="003806F8"/>
    <w:rsid w:val="0038096F"/>
    <w:rsid w:val="003809B7"/>
    <w:rsid w:val="003814AB"/>
    <w:rsid w:val="0038193A"/>
    <w:rsid w:val="0038201E"/>
    <w:rsid w:val="00382360"/>
    <w:rsid w:val="00382703"/>
    <w:rsid w:val="00383E21"/>
    <w:rsid w:val="00384C82"/>
    <w:rsid w:val="0038538D"/>
    <w:rsid w:val="00386260"/>
    <w:rsid w:val="00387321"/>
    <w:rsid w:val="00387B00"/>
    <w:rsid w:val="00387E2E"/>
    <w:rsid w:val="00387F46"/>
    <w:rsid w:val="003912B4"/>
    <w:rsid w:val="003945CE"/>
    <w:rsid w:val="00394ECE"/>
    <w:rsid w:val="00395767"/>
    <w:rsid w:val="0039791F"/>
    <w:rsid w:val="003A0E14"/>
    <w:rsid w:val="003A3814"/>
    <w:rsid w:val="003A397B"/>
    <w:rsid w:val="003A3E7C"/>
    <w:rsid w:val="003A4191"/>
    <w:rsid w:val="003A5269"/>
    <w:rsid w:val="003A56A0"/>
    <w:rsid w:val="003A59BA"/>
    <w:rsid w:val="003A5D61"/>
    <w:rsid w:val="003B0FD1"/>
    <w:rsid w:val="003B16B5"/>
    <w:rsid w:val="003B1F74"/>
    <w:rsid w:val="003B22FC"/>
    <w:rsid w:val="003B40F8"/>
    <w:rsid w:val="003B4132"/>
    <w:rsid w:val="003B4A64"/>
    <w:rsid w:val="003B5376"/>
    <w:rsid w:val="003B5502"/>
    <w:rsid w:val="003B557C"/>
    <w:rsid w:val="003B573B"/>
    <w:rsid w:val="003B7D7E"/>
    <w:rsid w:val="003C2314"/>
    <w:rsid w:val="003C24BA"/>
    <w:rsid w:val="003C3121"/>
    <w:rsid w:val="003C3C43"/>
    <w:rsid w:val="003C46CD"/>
    <w:rsid w:val="003C6EBD"/>
    <w:rsid w:val="003D2CB0"/>
    <w:rsid w:val="003D488D"/>
    <w:rsid w:val="003D5E16"/>
    <w:rsid w:val="003D67BE"/>
    <w:rsid w:val="003D68E4"/>
    <w:rsid w:val="003E1293"/>
    <w:rsid w:val="003E313D"/>
    <w:rsid w:val="003E47E4"/>
    <w:rsid w:val="003E58B5"/>
    <w:rsid w:val="003E5D3B"/>
    <w:rsid w:val="003F02C4"/>
    <w:rsid w:val="003F035E"/>
    <w:rsid w:val="003F048A"/>
    <w:rsid w:val="003F514E"/>
    <w:rsid w:val="003F5BCB"/>
    <w:rsid w:val="003F78B1"/>
    <w:rsid w:val="004006E7"/>
    <w:rsid w:val="0040095F"/>
    <w:rsid w:val="004009D9"/>
    <w:rsid w:val="00400F68"/>
    <w:rsid w:val="00401652"/>
    <w:rsid w:val="00401909"/>
    <w:rsid w:val="0040243F"/>
    <w:rsid w:val="004038EA"/>
    <w:rsid w:val="00403D9D"/>
    <w:rsid w:val="0040599A"/>
    <w:rsid w:val="004065F3"/>
    <w:rsid w:val="004119AA"/>
    <w:rsid w:val="00411ECC"/>
    <w:rsid w:val="004122D0"/>
    <w:rsid w:val="00412BA1"/>
    <w:rsid w:val="004143ED"/>
    <w:rsid w:val="00414ABF"/>
    <w:rsid w:val="0041574F"/>
    <w:rsid w:val="00415AEF"/>
    <w:rsid w:val="0041622D"/>
    <w:rsid w:val="00416D7A"/>
    <w:rsid w:val="004173FE"/>
    <w:rsid w:val="00417793"/>
    <w:rsid w:val="00417924"/>
    <w:rsid w:val="00417F4B"/>
    <w:rsid w:val="004211BC"/>
    <w:rsid w:val="004216BB"/>
    <w:rsid w:val="00422416"/>
    <w:rsid w:val="00422C66"/>
    <w:rsid w:val="00423372"/>
    <w:rsid w:val="00423CEC"/>
    <w:rsid w:val="00423E81"/>
    <w:rsid w:val="004249D9"/>
    <w:rsid w:val="00424C26"/>
    <w:rsid w:val="0042671B"/>
    <w:rsid w:val="004279DB"/>
    <w:rsid w:val="0043028B"/>
    <w:rsid w:val="00430896"/>
    <w:rsid w:val="00430CB1"/>
    <w:rsid w:val="00431237"/>
    <w:rsid w:val="0043186C"/>
    <w:rsid w:val="00431FC0"/>
    <w:rsid w:val="004328CB"/>
    <w:rsid w:val="004330CA"/>
    <w:rsid w:val="004331A4"/>
    <w:rsid w:val="004340DB"/>
    <w:rsid w:val="0043781D"/>
    <w:rsid w:val="0044067B"/>
    <w:rsid w:val="00440980"/>
    <w:rsid w:val="00440D40"/>
    <w:rsid w:val="00441224"/>
    <w:rsid w:val="00441AD9"/>
    <w:rsid w:val="00441C89"/>
    <w:rsid w:val="00441F6F"/>
    <w:rsid w:val="004425C2"/>
    <w:rsid w:val="00442ED1"/>
    <w:rsid w:val="00443F8B"/>
    <w:rsid w:val="0044442F"/>
    <w:rsid w:val="00445DCD"/>
    <w:rsid w:val="00446A04"/>
    <w:rsid w:val="00450269"/>
    <w:rsid w:val="00451E05"/>
    <w:rsid w:val="00452854"/>
    <w:rsid w:val="0045334C"/>
    <w:rsid w:val="0045424E"/>
    <w:rsid w:val="00456A87"/>
    <w:rsid w:val="00456C7F"/>
    <w:rsid w:val="004572F9"/>
    <w:rsid w:val="0046005B"/>
    <w:rsid w:val="00460505"/>
    <w:rsid w:val="00460B9E"/>
    <w:rsid w:val="0046103D"/>
    <w:rsid w:val="0046114F"/>
    <w:rsid w:val="00461F19"/>
    <w:rsid w:val="00461FEF"/>
    <w:rsid w:val="00462053"/>
    <w:rsid w:val="00464412"/>
    <w:rsid w:val="00465286"/>
    <w:rsid w:val="00465D7D"/>
    <w:rsid w:val="00466175"/>
    <w:rsid w:val="004665F4"/>
    <w:rsid w:val="004668CA"/>
    <w:rsid w:val="00466C8E"/>
    <w:rsid w:val="00466E5E"/>
    <w:rsid w:val="00467EB0"/>
    <w:rsid w:val="00475141"/>
    <w:rsid w:val="00475306"/>
    <w:rsid w:val="004778F8"/>
    <w:rsid w:val="004813D8"/>
    <w:rsid w:val="004922A1"/>
    <w:rsid w:val="0049255E"/>
    <w:rsid w:val="00492A8A"/>
    <w:rsid w:val="00494088"/>
    <w:rsid w:val="00494279"/>
    <w:rsid w:val="00496006"/>
    <w:rsid w:val="00496504"/>
    <w:rsid w:val="004969DE"/>
    <w:rsid w:val="00496A56"/>
    <w:rsid w:val="00497101"/>
    <w:rsid w:val="00497FB8"/>
    <w:rsid w:val="004A079C"/>
    <w:rsid w:val="004A1DB2"/>
    <w:rsid w:val="004A2ED6"/>
    <w:rsid w:val="004A4F9D"/>
    <w:rsid w:val="004A54C6"/>
    <w:rsid w:val="004A5CBB"/>
    <w:rsid w:val="004B00A9"/>
    <w:rsid w:val="004B14EE"/>
    <w:rsid w:val="004B2905"/>
    <w:rsid w:val="004B2F1C"/>
    <w:rsid w:val="004B4173"/>
    <w:rsid w:val="004B522B"/>
    <w:rsid w:val="004B555F"/>
    <w:rsid w:val="004B57F7"/>
    <w:rsid w:val="004B6DC2"/>
    <w:rsid w:val="004B7200"/>
    <w:rsid w:val="004B74C2"/>
    <w:rsid w:val="004B783A"/>
    <w:rsid w:val="004C1019"/>
    <w:rsid w:val="004C172A"/>
    <w:rsid w:val="004C226C"/>
    <w:rsid w:val="004C3B45"/>
    <w:rsid w:val="004C44B3"/>
    <w:rsid w:val="004C5726"/>
    <w:rsid w:val="004C5E9D"/>
    <w:rsid w:val="004C6787"/>
    <w:rsid w:val="004C67E2"/>
    <w:rsid w:val="004C7617"/>
    <w:rsid w:val="004C788A"/>
    <w:rsid w:val="004C789A"/>
    <w:rsid w:val="004C7D47"/>
    <w:rsid w:val="004D10EB"/>
    <w:rsid w:val="004D5FA5"/>
    <w:rsid w:val="004D6359"/>
    <w:rsid w:val="004D7FC3"/>
    <w:rsid w:val="004E0A71"/>
    <w:rsid w:val="004E13EF"/>
    <w:rsid w:val="004E17BC"/>
    <w:rsid w:val="004E2EB1"/>
    <w:rsid w:val="004E3C59"/>
    <w:rsid w:val="004E3D41"/>
    <w:rsid w:val="004E43F6"/>
    <w:rsid w:val="004E578B"/>
    <w:rsid w:val="004E5A9B"/>
    <w:rsid w:val="004E6D7E"/>
    <w:rsid w:val="004E6E0F"/>
    <w:rsid w:val="004E76A0"/>
    <w:rsid w:val="004E796C"/>
    <w:rsid w:val="004E7B49"/>
    <w:rsid w:val="004F03E0"/>
    <w:rsid w:val="004F1401"/>
    <w:rsid w:val="004F2B45"/>
    <w:rsid w:val="004F4225"/>
    <w:rsid w:val="004F57DA"/>
    <w:rsid w:val="004F6839"/>
    <w:rsid w:val="00502717"/>
    <w:rsid w:val="00504AB6"/>
    <w:rsid w:val="00504FCF"/>
    <w:rsid w:val="0050635E"/>
    <w:rsid w:val="0050670D"/>
    <w:rsid w:val="005077AD"/>
    <w:rsid w:val="005114F2"/>
    <w:rsid w:val="00511A14"/>
    <w:rsid w:val="005120CE"/>
    <w:rsid w:val="00512C03"/>
    <w:rsid w:val="00513E69"/>
    <w:rsid w:val="00514ED9"/>
    <w:rsid w:val="005164BC"/>
    <w:rsid w:val="00517BB6"/>
    <w:rsid w:val="00521046"/>
    <w:rsid w:val="005224C7"/>
    <w:rsid w:val="005233BD"/>
    <w:rsid w:val="005253FB"/>
    <w:rsid w:val="00526FE0"/>
    <w:rsid w:val="00527233"/>
    <w:rsid w:val="0052751A"/>
    <w:rsid w:val="00527D3D"/>
    <w:rsid w:val="00531BFB"/>
    <w:rsid w:val="00533894"/>
    <w:rsid w:val="00533FA8"/>
    <w:rsid w:val="005346E0"/>
    <w:rsid w:val="00535AD3"/>
    <w:rsid w:val="00537785"/>
    <w:rsid w:val="00541245"/>
    <w:rsid w:val="005412FC"/>
    <w:rsid w:val="00542074"/>
    <w:rsid w:val="005429E3"/>
    <w:rsid w:val="005432D3"/>
    <w:rsid w:val="00543495"/>
    <w:rsid w:val="0054457C"/>
    <w:rsid w:val="005446B5"/>
    <w:rsid w:val="00544E25"/>
    <w:rsid w:val="005455D2"/>
    <w:rsid w:val="0054752A"/>
    <w:rsid w:val="00550E47"/>
    <w:rsid w:val="00552790"/>
    <w:rsid w:val="0055293D"/>
    <w:rsid w:val="005534C2"/>
    <w:rsid w:val="00554439"/>
    <w:rsid w:val="005551CF"/>
    <w:rsid w:val="005566B7"/>
    <w:rsid w:val="00560138"/>
    <w:rsid w:val="00560B05"/>
    <w:rsid w:val="00560CEE"/>
    <w:rsid w:val="00561C44"/>
    <w:rsid w:val="00562448"/>
    <w:rsid w:val="00563739"/>
    <w:rsid w:val="00564948"/>
    <w:rsid w:val="005652BB"/>
    <w:rsid w:val="00565C3E"/>
    <w:rsid w:val="00565C80"/>
    <w:rsid w:val="00566715"/>
    <w:rsid w:val="005713D2"/>
    <w:rsid w:val="005729AB"/>
    <w:rsid w:val="00572EC6"/>
    <w:rsid w:val="00573E9A"/>
    <w:rsid w:val="0057407F"/>
    <w:rsid w:val="00574459"/>
    <w:rsid w:val="005745C6"/>
    <w:rsid w:val="005747B0"/>
    <w:rsid w:val="00574AD4"/>
    <w:rsid w:val="005754E0"/>
    <w:rsid w:val="0057578B"/>
    <w:rsid w:val="00577365"/>
    <w:rsid w:val="00577CE6"/>
    <w:rsid w:val="005827C4"/>
    <w:rsid w:val="00582F64"/>
    <w:rsid w:val="005844BC"/>
    <w:rsid w:val="00586951"/>
    <w:rsid w:val="0058720D"/>
    <w:rsid w:val="00587AB4"/>
    <w:rsid w:val="00587B79"/>
    <w:rsid w:val="00587B84"/>
    <w:rsid w:val="00590377"/>
    <w:rsid w:val="00590B53"/>
    <w:rsid w:val="00591840"/>
    <w:rsid w:val="005919AD"/>
    <w:rsid w:val="0059716B"/>
    <w:rsid w:val="005972E2"/>
    <w:rsid w:val="005A022F"/>
    <w:rsid w:val="005A3BFD"/>
    <w:rsid w:val="005A4587"/>
    <w:rsid w:val="005A639D"/>
    <w:rsid w:val="005B022B"/>
    <w:rsid w:val="005B0A87"/>
    <w:rsid w:val="005B0CFE"/>
    <w:rsid w:val="005B4C22"/>
    <w:rsid w:val="005B576F"/>
    <w:rsid w:val="005B5791"/>
    <w:rsid w:val="005B7596"/>
    <w:rsid w:val="005B7E59"/>
    <w:rsid w:val="005B7F18"/>
    <w:rsid w:val="005C0309"/>
    <w:rsid w:val="005C045A"/>
    <w:rsid w:val="005C074C"/>
    <w:rsid w:val="005C1A44"/>
    <w:rsid w:val="005C29FA"/>
    <w:rsid w:val="005C4635"/>
    <w:rsid w:val="005C5E2C"/>
    <w:rsid w:val="005D0CFC"/>
    <w:rsid w:val="005D2291"/>
    <w:rsid w:val="005D2519"/>
    <w:rsid w:val="005D274A"/>
    <w:rsid w:val="005D2F5E"/>
    <w:rsid w:val="005D3A05"/>
    <w:rsid w:val="005D4016"/>
    <w:rsid w:val="005D58CB"/>
    <w:rsid w:val="005D7824"/>
    <w:rsid w:val="005E0ADA"/>
    <w:rsid w:val="005E16CF"/>
    <w:rsid w:val="005E1BED"/>
    <w:rsid w:val="005E1DEE"/>
    <w:rsid w:val="005E22EB"/>
    <w:rsid w:val="005E231C"/>
    <w:rsid w:val="005E457B"/>
    <w:rsid w:val="005E4680"/>
    <w:rsid w:val="005E5054"/>
    <w:rsid w:val="005E531F"/>
    <w:rsid w:val="005E545F"/>
    <w:rsid w:val="005E66F4"/>
    <w:rsid w:val="005E6EDF"/>
    <w:rsid w:val="005F008B"/>
    <w:rsid w:val="005F077B"/>
    <w:rsid w:val="005F09DD"/>
    <w:rsid w:val="005F3684"/>
    <w:rsid w:val="005F3A82"/>
    <w:rsid w:val="005F3DA2"/>
    <w:rsid w:val="005F45CB"/>
    <w:rsid w:val="005F4908"/>
    <w:rsid w:val="005F4E62"/>
    <w:rsid w:val="005F51C9"/>
    <w:rsid w:val="005F5427"/>
    <w:rsid w:val="005F6A21"/>
    <w:rsid w:val="005F6F71"/>
    <w:rsid w:val="005F7637"/>
    <w:rsid w:val="005F79D8"/>
    <w:rsid w:val="005F7F68"/>
    <w:rsid w:val="00601284"/>
    <w:rsid w:val="00601295"/>
    <w:rsid w:val="00601C74"/>
    <w:rsid w:val="00602C28"/>
    <w:rsid w:val="006030F1"/>
    <w:rsid w:val="0060339D"/>
    <w:rsid w:val="00603CA8"/>
    <w:rsid w:val="006046A9"/>
    <w:rsid w:val="00604E1D"/>
    <w:rsid w:val="00606D7D"/>
    <w:rsid w:val="00606ECA"/>
    <w:rsid w:val="00607D57"/>
    <w:rsid w:val="0061019A"/>
    <w:rsid w:val="006105B8"/>
    <w:rsid w:val="00610977"/>
    <w:rsid w:val="0061305F"/>
    <w:rsid w:val="006138F8"/>
    <w:rsid w:val="00613CA8"/>
    <w:rsid w:val="006146DF"/>
    <w:rsid w:val="00615CED"/>
    <w:rsid w:val="00616667"/>
    <w:rsid w:val="00616B4E"/>
    <w:rsid w:val="0061778F"/>
    <w:rsid w:val="006178A2"/>
    <w:rsid w:val="00620075"/>
    <w:rsid w:val="00620B13"/>
    <w:rsid w:val="00623666"/>
    <w:rsid w:val="0062380D"/>
    <w:rsid w:val="00625007"/>
    <w:rsid w:val="00625306"/>
    <w:rsid w:val="00627040"/>
    <w:rsid w:val="00627B79"/>
    <w:rsid w:val="006321B1"/>
    <w:rsid w:val="006330C4"/>
    <w:rsid w:val="00634B80"/>
    <w:rsid w:val="006356CE"/>
    <w:rsid w:val="00635E6F"/>
    <w:rsid w:val="0063610D"/>
    <w:rsid w:val="006410CB"/>
    <w:rsid w:val="006418BF"/>
    <w:rsid w:val="006419C0"/>
    <w:rsid w:val="00642238"/>
    <w:rsid w:val="006423B9"/>
    <w:rsid w:val="00642963"/>
    <w:rsid w:val="006444FA"/>
    <w:rsid w:val="00646ED7"/>
    <w:rsid w:val="006477FF"/>
    <w:rsid w:val="00650094"/>
    <w:rsid w:val="0065042F"/>
    <w:rsid w:val="00651609"/>
    <w:rsid w:val="00652034"/>
    <w:rsid w:val="006551CB"/>
    <w:rsid w:val="00656107"/>
    <w:rsid w:val="00656762"/>
    <w:rsid w:val="00656B29"/>
    <w:rsid w:val="0065783F"/>
    <w:rsid w:val="00662BA6"/>
    <w:rsid w:val="006641FF"/>
    <w:rsid w:val="006665FF"/>
    <w:rsid w:val="006671C2"/>
    <w:rsid w:val="006677D0"/>
    <w:rsid w:val="00670CA0"/>
    <w:rsid w:val="006722C5"/>
    <w:rsid w:val="00672301"/>
    <w:rsid w:val="00673720"/>
    <w:rsid w:val="00673F89"/>
    <w:rsid w:val="00674F00"/>
    <w:rsid w:val="00675EA3"/>
    <w:rsid w:val="0067784F"/>
    <w:rsid w:val="00677C12"/>
    <w:rsid w:val="006813D6"/>
    <w:rsid w:val="00682096"/>
    <w:rsid w:val="006823F5"/>
    <w:rsid w:val="006847B4"/>
    <w:rsid w:val="00684BFE"/>
    <w:rsid w:val="00685E56"/>
    <w:rsid w:val="006872BB"/>
    <w:rsid w:val="00690A1B"/>
    <w:rsid w:val="006919E8"/>
    <w:rsid w:val="006A06B9"/>
    <w:rsid w:val="006A10E7"/>
    <w:rsid w:val="006A1D29"/>
    <w:rsid w:val="006A4CDD"/>
    <w:rsid w:val="006A506C"/>
    <w:rsid w:val="006A5299"/>
    <w:rsid w:val="006A65D0"/>
    <w:rsid w:val="006A671B"/>
    <w:rsid w:val="006A7CCC"/>
    <w:rsid w:val="006B073F"/>
    <w:rsid w:val="006B16E7"/>
    <w:rsid w:val="006B33D0"/>
    <w:rsid w:val="006B3B12"/>
    <w:rsid w:val="006B3D6F"/>
    <w:rsid w:val="006B4247"/>
    <w:rsid w:val="006B5AC6"/>
    <w:rsid w:val="006B614F"/>
    <w:rsid w:val="006B73E9"/>
    <w:rsid w:val="006B792E"/>
    <w:rsid w:val="006B7F05"/>
    <w:rsid w:val="006C3912"/>
    <w:rsid w:val="006C422F"/>
    <w:rsid w:val="006C4436"/>
    <w:rsid w:val="006C4EF6"/>
    <w:rsid w:val="006C5E36"/>
    <w:rsid w:val="006C7603"/>
    <w:rsid w:val="006C7C98"/>
    <w:rsid w:val="006C7FFC"/>
    <w:rsid w:val="006D013F"/>
    <w:rsid w:val="006D0256"/>
    <w:rsid w:val="006D113D"/>
    <w:rsid w:val="006D150F"/>
    <w:rsid w:val="006D35BC"/>
    <w:rsid w:val="006D69D2"/>
    <w:rsid w:val="006D7595"/>
    <w:rsid w:val="006E0E6D"/>
    <w:rsid w:val="006E186A"/>
    <w:rsid w:val="006E347A"/>
    <w:rsid w:val="006E5FEA"/>
    <w:rsid w:val="006E60DD"/>
    <w:rsid w:val="006E66C8"/>
    <w:rsid w:val="006E77BE"/>
    <w:rsid w:val="006F0643"/>
    <w:rsid w:val="006F12CB"/>
    <w:rsid w:val="006F12F4"/>
    <w:rsid w:val="006F1AF5"/>
    <w:rsid w:val="006F1E9C"/>
    <w:rsid w:val="006F24D6"/>
    <w:rsid w:val="006F24EA"/>
    <w:rsid w:val="006F26F8"/>
    <w:rsid w:val="006F36A3"/>
    <w:rsid w:val="006F46F3"/>
    <w:rsid w:val="006F4E58"/>
    <w:rsid w:val="006F6031"/>
    <w:rsid w:val="006F69B0"/>
    <w:rsid w:val="006F71B7"/>
    <w:rsid w:val="006F7695"/>
    <w:rsid w:val="00700970"/>
    <w:rsid w:val="00701963"/>
    <w:rsid w:val="00702884"/>
    <w:rsid w:val="007028F9"/>
    <w:rsid w:val="00703848"/>
    <w:rsid w:val="00703F8D"/>
    <w:rsid w:val="00704BAB"/>
    <w:rsid w:val="00705706"/>
    <w:rsid w:val="00711AC0"/>
    <w:rsid w:val="0071275E"/>
    <w:rsid w:val="007133B9"/>
    <w:rsid w:val="00713825"/>
    <w:rsid w:val="00713D93"/>
    <w:rsid w:val="00713E3F"/>
    <w:rsid w:val="007146A6"/>
    <w:rsid w:val="0071537A"/>
    <w:rsid w:val="007168E3"/>
    <w:rsid w:val="00717AF4"/>
    <w:rsid w:val="00720032"/>
    <w:rsid w:val="007202D6"/>
    <w:rsid w:val="007205C6"/>
    <w:rsid w:val="00720C4F"/>
    <w:rsid w:val="00722743"/>
    <w:rsid w:val="00722A29"/>
    <w:rsid w:val="0072511D"/>
    <w:rsid w:val="00726217"/>
    <w:rsid w:val="007312BA"/>
    <w:rsid w:val="0073188C"/>
    <w:rsid w:val="00732B53"/>
    <w:rsid w:val="007333E5"/>
    <w:rsid w:val="007346B0"/>
    <w:rsid w:val="00736094"/>
    <w:rsid w:val="00736B3D"/>
    <w:rsid w:val="00736FE6"/>
    <w:rsid w:val="007372B1"/>
    <w:rsid w:val="007409A7"/>
    <w:rsid w:val="00743D9C"/>
    <w:rsid w:val="0074647F"/>
    <w:rsid w:val="00746AD3"/>
    <w:rsid w:val="00746E69"/>
    <w:rsid w:val="00746F75"/>
    <w:rsid w:val="007477F7"/>
    <w:rsid w:val="007507BE"/>
    <w:rsid w:val="00750887"/>
    <w:rsid w:val="00750C93"/>
    <w:rsid w:val="00750D6A"/>
    <w:rsid w:val="00750E85"/>
    <w:rsid w:val="00752FF3"/>
    <w:rsid w:val="007535A5"/>
    <w:rsid w:val="0075367E"/>
    <w:rsid w:val="0076064B"/>
    <w:rsid w:val="007608D3"/>
    <w:rsid w:val="0076300F"/>
    <w:rsid w:val="0076340A"/>
    <w:rsid w:val="00763AC0"/>
    <w:rsid w:val="00763D0C"/>
    <w:rsid w:val="007645FC"/>
    <w:rsid w:val="00764886"/>
    <w:rsid w:val="00767789"/>
    <w:rsid w:val="00767EC0"/>
    <w:rsid w:val="007709F7"/>
    <w:rsid w:val="00772CAA"/>
    <w:rsid w:val="0077373B"/>
    <w:rsid w:val="00773F8A"/>
    <w:rsid w:val="0077451C"/>
    <w:rsid w:val="0077497A"/>
    <w:rsid w:val="00777F7D"/>
    <w:rsid w:val="00780DC4"/>
    <w:rsid w:val="00780F74"/>
    <w:rsid w:val="00781756"/>
    <w:rsid w:val="00781E4E"/>
    <w:rsid w:val="0078279F"/>
    <w:rsid w:val="007838B7"/>
    <w:rsid w:val="00785B72"/>
    <w:rsid w:val="007865F9"/>
    <w:rsid w:val="007868C8"/>
    <w:rsid w:val="0078711A"/>
    <w:rsid w:val="0078746B"/>
    <w:rsid w:val="00791AC6"/>
    <w:rsid w:val="00793D1B"/>
    <w:rsid w:val="00795163"/>
    <w:rsid w:val="00797D89"/>
    <w:rsid w:val="007A0768"/>
    <w:rsid w:val="007A1A72"/>
    <w:rsid w:val="007A277F"/>
    <w:rsid w:val="007A2E72"/>
    <w:rsid w:val="007A4406"/>
    <w:rsid w:val="007A4834"/>
    <w:rsid w:val="007A4F2E"/>
    <w:rsid w:val="007A5614"/>
    <w:rsid w:val="007A596F"/>
    <w:rsid w:val="007A660D"/>
    <w:rsid w:val="007A66E0"/>
    <w:rsid w:val="007A7462"/>
    <w:rsid w:val="007A7FAE"/>
    <w:rsid w:val="007B0400"/>
    <w:rsid w:val="007B25D2"/>
    <w:rsid w:val="007B4F4D"/>
    <w:rsid w:val="007B54A9"/>
    <w:rsid w:val="007B5621"/>
    <w:rsid w:val="007B5959"/>
    <w:rsid w:val="007B7122"/>
    <w:rsid w:val="007B7D83"/>
    <w:rsid w:val="007C0719"/>
    <w:rsid w:val="007C0F7F"/>
    <w:rsid w:val="007C15EE"/>
    <w:rsid w:val="007C1755"/>
    <w:rsid w:val="007C1FDB"/>
    <w:rsid w:val="007C24AC"/>
    <w:rsid w:val="007C40D9"/>
    <w:rsid w:val="007C5270"/>
    <w:rsid w:val="007C52F0"/>
    <w:rsid w:val="007C5ED4"/>
    <w:rsid w:val="007D0567"/>
    <w:rsid w:val="007D3079"/>
    <w:rsid w:val="007D4BF7"/>
    <w:rsid w:val="007D5614"/>
    <w:rsid w:val="007D6A98"/>
    <w:rsid w:val="007E1B5E"/>
    <w:rsid w:val="007E1BDD"/>
    <w:rsid w:val="007E27C1"/>
    <w:rsid w:val="007E38EE"/>
    <w:rsid w:val="007E4AC9"/>
    <w:rsid w:val="007E52AE"/>
    <w:rsid w:val="007E66F9"/>
    <w:rsid w:val="007F071B"/>
    <w:rsid w:val="007F22B4"/>
    <w:rsid w:val="007F3362"/>
    <w:rsid w:val="007F36EC"/>
    <w:rsid w:val="007F4A0D"/>
    <w:rsid w:val="007F5730"/>
    <w:rsid w:val="007F7F15"/>
    <w:rsid w:val="007F7FB6"/>
    <w:rsid w:val="00800103"/>
    <w:rsid w:val="008002DE"/>
    <w:rsid w:val="00801284"/>
    <w:rsid w:val="00801724"/>
    <w:rsid w:val="00801BD1"/>
    <w:rsid w:val="00803324"/>
    <w:rsid w:val="00806124"/>
    <w:rsid w:val="00806276"/>
    <w:rsid w:val="00806430"/>
    <w:rsid w:val="0080700F"/>
    <w:rsid w:val="008079E6"/>
    <w:rsid w:val="008112E3"/>
    <w:rsid w:val="00812618"/>
    <w:rsid w:val="00812D90"/>
    <w:rsid w:val="00812E41"/>
    <w:rsid w:val="00814069"/>
    <w:rsid w:val="0081474D"/>
    <w:rsid w:val="00814808"/>
    <w:rsid w:val="0081685E"/>
    <w:rsid w:val="00820038"/>
    <w:rsid w:val="00820126"/>
    <w:rsid w:val="00821530"/>
    <w:rsid w:val="00821566"/>
    <w:rsid w:val="00821918"/>
    <w:rsid w:val="00821CB5"/>
    <w:rsid w:val="00821E3B"/>
    <w:rsid w:val="00822FB4"/>
    <w:rsid w:val="008239B3"/>
    <w:rsid w:val="00823A22"/>
    <w:rsid w:val="00823D0D"/>
    <w:rsid w:val="00825300"/>
    <w:rsid w:val="008257D3"/>
    <w:rsid w:val="00825B9B"/>
    <w:rsid w:val="0082705C"/>
    <w:rsid w:val="00830499"/>
    <w:rsid w:val="00830B4C"/>
    <w:rsid w:val="00830FFF"/>
    <w:rsid w:val="008310C5"/>
    <w:rsid w:val="008313F3"/>
    <w:rsid w:val="008329AF"/>
    <w:rsid w:val="00835AC5"/>
    <w:rsid w:val="00835B45"/>
    <w:rsid w:val="008363B3"/>
    <w:rsid w:val="00836B1B"/>
    <w:rsid w:val="008371C1"/>
    <w:rsid w:val="008418DB"/>
    <w:rsid w:val="0084194F"/>
    <w:rsid w:val="008421FC"/>
    <w:rsid w:val="00842E26"/>
    <w:rsid w:val="00842F30"/>
    <w:rsid w:val="00844701"/>
    <w:rsid w:val="00844EF0"/>
    <w:rsid w:val="008467BC"/>
    <w:rsid w:val="00846EA1"/>
    <w:rsid w:val="008470BD"/>
    <w:rsid w:val="00851808"/>
    <w:rsid w:val="008519DA"/>
    <w:rsid w:val="00851A6D"/>
    <w:rsid w:val="008526E0"/>
    <w:rsid w:val="00854289"/>
    <w:rsid w:val="008550AF"/>
    <w:rsid w:val="00855219"/>
    <w:rsid w:val="00855CCB"/>
    <w:rsid w:val="00856183"/>
    <w:rsid w:val="008562F3"/>
    <w:rsid w:val="00856BF1"/>
    <w:rsid w:val="008572BC"/>
    <w:rsid w:val="00857653"/>
    <w:rsid w:val="008606EE"/>
    <w:rsid w:val="00860CAB"/>
    <w:rsid w:val="008628DE"/>
    <w:rsid w:val="008631FF"/>
    <w:rsid w:val="00864328"/>
    <w:rsid w:val="00864651"/>
    <w:rsid w:val="00865416"/>
    <w:rsid w:val="00867A7B"/>
    <w:rsid w:val="00867C17"/>
    <w:rsid w:val="00867D8F"/>
    <w:rsid w:val="00867FB4"/>
    <w:rsid w:val="0087299D"/>
    <w:rsid w:val="00873A8F"/>
    <w:rsid w:val="0087521F"/>
    <w:rsid w:val="0087538A"/>
    <w:rsid w:val="00875982"/>
    <w:rsid w:val="00875DCB"/>
    <w:rsid w:val="008770B4"/>
    <w:rsid w:val="008773A7"/>
    <w:rsid w:val="008815E8"/>
    <w:rsid w:val="00881722"/>
    <w:rsid w:val="00883368"/>
    <w:rsid w:val="00883453"/>
    <w:rsid w:val="00883F1F"/>
    <w:rsid w:val="0088713E"/>
    <w:rsid w:val="008879A1"/>
    <w:rsid w:val="00887AF1"/>
    <w:rsid w:val="00891BEC"/>
    <w:rsid w:val="00892DD0"/>
    <w:rsid w:val="00892EE7"/>
    <w:rsid w:val="00893211"/>
    <w:rsid w:val="0089356B"/>
    <w:rsid w:val="0089451B"/>
    <w:rsid w:val="008956F2"/>
    <w:rsid w:val="00895F10"/>
    <w:rsid w:val="0089676A"/>
    <w:rsid w:val="0089699D"/>
    <w:rsid w:val="00896B3A"/>
    <w:rsid w:val="00896E9B"/>
    <w:rsid w:val="008A063E"/>
    <w:rsid w:val="008A173A"/>
    <w:rsid w:val="008A1AFC"/>
    <w:rsid w:val="008A29AC"/>
    <w:rsid w:val="008A31C1"/>
    <w:rsid w:val="008A38DE"/>
    <w:rsid w:val="008A3BD1"/>
    <w:rsid w:val="008A5016"/>
    <w:rsid w:val="008A5C0C"/>
    <w:rsid w:val="008A6209"/>
    <w:rsid w:val="008A6ABA"/>
    <w:rsid w:val="008A7C53"/>
    <w:rsid w:val="008B1145"/>
    <w:rsid w:val="008B25C7"/>
    <w:rsid w:val="008B2DF4"/>
    <w:rsid w:val="008B3F53"/>
    <w:rsid w:val="008B4103"/>
    <w:rsid w:val="008B4880"/>
    <w:rsid w:val="008B4FA9"/>
    <w:rsid w:val="008B692D"/>
    <w:rsid w:val="008C0856"/>
    <w:rsid w:val="008C23F0"/>
    <w:rsid w:val="008C3371"/>
    <w:rsid w:val="008C46E1"/>
    <w:rsid w:val="008C5C0E"/>
    <w:rsid w:val="008D066B"/>
    <w:rsid w:val="008D1336"/>
    <w:rsid w:val="008D21B8"/>
    <w:rsid w:val="008D44CC"/>
    <w:rsid w:val="008D4846"/>
    <w:rsid w:val="008D5064"/>
    <w:rsid w:val="008D5297"/>
    <w:rsid w:val="008D56FD"/>
    <w:rsid w:val="008D6453"/>
    <w:rsid w:val="008D724A"/>
    <w:rsid w:val="008D75FA"/>
    <w:rsid w:val="008D78F6"/>
    <w:rsid w:val="008E0763"/>
    <w:rsid w:val="008E0F1D"/>
    <w:rsid w:val="008E24C1"/>
    <w:rsid w:val="008E3CB9"/>
    <w:rsid w:val="008E47BF"/>
    <w:rsid w:val="008E5A61"/>
    <w:rsid w:val="008E7E0D"/>
    <w:rsid w:val="008E7E9C"/>
    <w:rsid w:val="008F1AF8"/>
    <w:rsid w:val="008F1FCF"/>
    <w:rsid w:val="008F3362"/>
    <w:rsid w:val="008F3EA0"/>
    <w:rsid w:val="008F4180"/>
    <w:rsid w:val="008F4658"/>
    <w:rsid w:val="008F57A0"/>
    <w:rsid w:val="008F636A"/>
    <w:rsid w:val="008F6563"/>
    <w:rsid w:val="008F696C"/>
    <w:rsid w:val="008F6F98"/>
    <w:rsid w:val="008F6FD3"/>
    <w:rsid w:val="008F78E6"/>
    <w:rsid w:val="008F7A24"/>
    <w:rsid w:val="00904113"/>
    <w:rsid w:val="0090485C"/>
    <w:rsid w:val="00907D36"/>
    <w:rsid w:val="009111A0"/>
    <w:rsid w:val="0091125B"/>
    <w:rsid w:val="00911844"/>
    <w:rsid w:val="0091231D"/>
    <w:rsid w:val="00912A0C"/>
    <w:rsid w:val="00914796"/>
    <w:rsid w:val="00915C13"/>
    <w:rsid w:val="00923D3D"/>
    <w:rsid w:val="00924189"/>
    <w:rsid w:val="00924F44"/>
    <w:rsid w:val="00925516"/>
    <w:rsid w:val="009263A7"/>
    <w:rsid w:val="00926D25"/>
    <w:rsid w:val="00927EFD"/>
    <w:rsid w:val="0093170E"/>
    <w:rsid w:val="009343B8"/>
    <w:rsid w:val="009353F5"/>
    <w:rsid w:val="009359B7"/>
    <w:rsid w:val="00935ADB"/>
    <w:rsid w:val="00937189"/>
    <w:rsid w:val="009372D2"/>
    <w:rsid w:val="0093763B"/>
    <w:rsid w:val="009412CC"/>
    <w:rsid w:val="00941B4C"/>
    <w:rsid w:val="00941DED"/>
    <w:rsid w:val="00943124"/>
    <w:rsid w:val="00943715"/>
    <w:rsid w:val="00943C15"/>
    <w:rsid w:val="00943EE8"/>
    <w:rsid w:val="00944661"/>
    <w:rsid w:val="00944DE6"/>
    <w:rsid w:val="0094560B"/>
    <w:rsid w:val="00945A65"/>
    <w:rsid w:val="00946134"/>
    <w:rsid w:val="00947E12"/>
    <w:rsid w:val="00950410"/>
    <w:rsid w:val="0095253E"/>
    <w:rsid w:val="00953B0D"/>
    <w:rsid w:val="00955A57"/>
    <w:rsid w:val="00955BB1"/>
    <w:rsid w:val="00956979"/>
    <w:rsid w:val="009621B8"/>
    <w:rsid w:val="009642DA"/>
    <w:rsid w:val="009647B6"/>
    <w:rsid w:val="009655A5"/>
    <w:rsid w:val="00965F8E"/>
    <w:rsid w:val="00966820"/>
    <w:rsid w:val="00967101"/>
    <w:rsid w:val="009674F4"/>
    <w:rsid w:val="00967B78"/>
    <w:rsid w:val="00967E1A"/>
    <w:rsid w:val="009700CF"/>
    <w:rsid w:val="009710CE"/>
    <w:rsid w:val="00971594"/>
    <w:rsid w:val="00971C46"/>
    <w:rsid w:val="0097228F"/>
    <w:rsid w:val="00973274"/>
    <w:rsid w:val="0097359F"/>
    <w:rsid w:val="00973B85"/>
    <w:rsid w:val="00973D23"/>
    <w:rsid w:val="00974AEA"/>
    <w:rsid w:val="009750C9"/>
    <w:rsid w:val="00975C29"/>
    <w:rsid w:val="00975D9C"/>
    <w:rsid w:val="0097683B"/>
    <w:rsid w:val="0098196A"/>
    <w:rsid w:val="0098198C"/>
    <w:rsid w:val="00983013"/>
    <w:rsid w:val="009831DA"/>
    <w:rsid w:val="00983562"/>
    <w:rsid w:val="00985686"/>
    <w:rsid w:val="009905C7"/>
    <w:rsid w:val="00990691"/>
    <w:rsid w:val="00990703"/>
    <w:rsid w:val="00990D20"/>
    <w:rsid w:val="009934E4"/>
    <w:rsid w:val="00993BBB"/>
    <w:rsid w:val="009946AE"/>
    <w:rsid w:val="009951C6"/>
    <w:rsid w:val="009955F0"/>
    <w:rsid w:val="00995AED"/>
    <w:rsid w:val="00996304"/>
    <w:rsid w:val="009968FC"/>
    <w:rsid w:val="009A187E"/>
    <w:rsid w:val="009A1882"/>
    <w:rsid w:val="009A1B7E"/>
    <w:rsid w:val="009A21DB"/>
    <w:rsid w:val="009A2B85"/>
    <w:rsid w:val="009A2EF6"/>
    <w:rsid w:val="009A3221"/>
    <w:rsid w:val="009A3F6D"/>
    <w:rsid w:val="009A6A3B"/>
    <w:rsid w:val="009A7F83"/>
    <w:rsid w:val="009B011D"/>
    <w:rsid w:val="009B2543"/>
    <w:rsid w:val="009B37D1"/>
    <w:rsid w:val="009B5C87"/>
    <w:rsid w:val="009B711A"/>
    <w:rsid w:val="009B752A"/>
    <w:rsid w:val="009B787D"/>
    <w:rsid w:val="009C0182"/>
    <w:rsid w:val="009C070C"/>
    <w:rsid w:val="009C08F0"/>
    <w:rsid w:val="009C13C1"/>
    <w:rsid w:val="009C14DC"/>
    <w:rsid w:val="009C202B"/>
    <w:rsid w:val="009C212D"/>
    <w:rsid w:val="009C2367"/>
    <w:rsid w:val="009C2485"/>
    <w:rsid w:val="009C3004"/>
    <w:rsid w:val="009C45B5"/>
    <w:rsid w:val="009C510E"/>
    <w:rsid w:val="009C57C0"/>
    <w:rsid w:val="009C628C"/>
    <w:rsid w:val="009C7432"/>
    <w:rsid w:val="009C75B0"/>
    <w:rsid w:val="009C7E97"/>
    <w:rsid w:val="009D23B0"/>
    <w:rsid w:val="009D35F8"/>
    <w:rsid w:val="009D4121"/>
    <w:rsid w:val="009D4277"/>
    <w:rsid w:val="009D48B3"/>
    <w:rsid w:val="009D4CA8"/>
    <w:rsid w:val="009D600D"/>
    <w:rsid w:val="009D6BED"/>
    <w:rsid w:val="009D7EBE"/>
    <w:rsid w:val="009E0FBF"/>
    <w:rsid w:val="009E2E7C"/>
    <w:rsid w:val="009E35E2"/>
    <w:rsid w:val="009E3658"/>
    <w:rsid w:val="009E3792"/>
    <w:rsid w:val="009E4E81"/>
    <w:rsid w:val="009E5A71"/>
    <w:rsid w:val="009E7269"/>
    <w:rsid w:val="009E73E4"/>
    <w:rsid w:val="009E74F5"/>
    <w:rsid w:val="009E7B87"/>
    <w:rsid w:val="009F07D6"/>
    <w:rsid w:val="009F1A2D"/>
    <w:rsid w:val="009F2C50"/>
    <w:rsid w:val="009F369D"/>
    <w:rsid w:val="009F42CC"/>
    <w:rsid w:val="009F44A7"/>
    <w:rsid w:val="009F4E61"/>
    <w:rsid w:val="009F559A"/>
    <w:rsid w:val="009F5FC0"/>
    <w:rsid w:val="009F7F96"/>
    <w:rsid w:val="00A01C14"/>
    <w:rsid w:val="00A02088"/>
    <w:rsid w:val="00A02664"/>
    <w:rsid w:val="00A0275A"/>
    <w:rsid w:val="00A02D68"/>
    <w:rsid w:val="00A03F8E"/>
    <w:rsid w:val="00A04D69"/>
    <w:rsid w:val="00A05710"/>
    <w:rsid w:val="00A05976"/>
    <w:rsid w:val="00A05EB1"/>
    <w:rsid w:val="00A06231"/>
    <w:rsid w:val="00A06CB6"/>
    <w:rsid w:val="00A1068F"/>
    <w:rsid w:val="00A10803"/>
    <w:rsid w:val="00A10F42"/>
    <w:rsid w:val="00A1508A"/>
    <w:rsid w:val="00A15995"/>
    <w:rsid w:val="00A16B77"/>
    <w:rsid w:val="00A20D97"/>
    <w:rsid w:val="00A21F47"/>
    <w:rsid w:val="00A228C5"/>
    <w:rsid w:val="00A23167"/>
    <w:rsid w:val="00A259F9"/>
    <w:rsid w:val="00A26F79"/>
    <w:rsid w:val="00A30424"/>
    <w:rsid w:val="00A31EAB"/>
    <w:rsid w:val="00A33233"/>
    <w:rsid w:val="00A3398B"/>
    <w:rsid w:val="00A33F3B"/>
    <w:rsid w:val="00A3467C"/>
    <w:rsid w:val="00A3523E"/>
    <w:rsid w:val="00A36795"/>
    <w:rsid w:val="00A36F3D"/>
    <w:rsid w:val="00A373DB"/>
    <w:rsid w:val="00A37D7C"/>
    <w:rsid w:val="00A400B1"/>
    <w:rsid w:val="00A404C3"/>
    <w:rsid w:val="00A40799"/>
    <w:rsid w:val="00A40860"/>
    <w:rsid w:val="00A4107A"/>
    <w:rsid w:val="00A411B0"/>
    <w:rsid w:val="00A4159E"/>
    <w:rsid w:val="00A42542"/>
    <w:rsid w:val="00A47170"/>
    <w:rsid w:val="00A47E20"/>
    <w:rsid w:val="00A50CCA"/>
    <w:rsid w:val="00A510ED"/>
    <w:rsid w:val="00A516F3"/>
    <w:rsid w:val="00A5327D"/>
    <w:rsid w:val="00A534E9"/>
    <w:rsid w:val="00A53933"/>
    <w:rsid w:val="00A53DA7"/>
    <w:rsid w:val="00A54961"/>
    <w:rsid w:val="00A54A01"/>
    <w:rsid w:val="00A54D25"/>
    <w:rsid w:val="00A55A3A"/>
    <w:rsid w:val="00A56953"/>
    <w:rsid w:val="00A57C92"/>
    <w:rsid w:val="00A61F29"/>
    <w:rsid w:val="00A64CB2"/>
    <w:rsid w:val="00A64FC9"/>
    <w:rsid w:val="00A652EE"/>
    <w:rsid w:val="00A65E06"/>
    <w:rsid w:val="00A66447"/>
    <w:rsid w:val="00A66DB6"/>
    <w:rsid w:val="00A67456"/>
    <w:rsid w:val="00A67AE5"/>
    <w:rsid w:val="00A67DE6"/>
    <w:rsid w:val="00A70FF9"/>
    <w:rsid w:val="00A71DE0"/>
    <w:rsid w:val="00A71F04"/>
    <w:rsid w:val="00A727F1"/>
    <w:rsid w:val="00A732D8"/>
    <w:rsid w:val="00A73569"/>
    <w:rsid w:val="00A74C3D"/>
    <w:rsid w:val="00A74DDD"/>
    <w:rsid w:val="00A76CE7"/>
    <w:rsid w:val="00A7743B"/>
    <w:rsid w:val="00A7749D"/>
    <w:rsid w:val="00A77908"/>
    <w:rsid w:val="00A77EAF"/>
    <w:rsid w:val="00A80EB2"/>
    <w:rsid w:val="00A81120"/>
    <w:rsid w:val="00A8162D"/>
    <w:rsid w:val="00A82348"/>
    <w:rsid w:val="00A82906"/>
    <w:rsid w:val="00A829E2"/>
    <w:rsid w:val="00A836C5"/>
    <w:rsid w:val="00A83E30"/>
    <w:rsid w:val="00A8428A"/>
    <w:rsid w:val="00A84E93"/>
    <w:rsid w:val="00A85F43"/>
    <w:rsid w:val="00A86FC6"/>
    <w:rsid w:val="00A87460"/>
    <w:rsid w:val="00A87D68"/>
    <w:rsid w:val="00A9126F"/>
    <w:rsid w:val="00A9303C"/>
    <w:rsid w:val="00A93072"/>
    <w:rsid w:val="00A93AA4"/>
    <w:rsid w:val="00A93F56"/>
    <w:rsid w:val="00A943C2"/>
    <w:rsid w:val="00A94476"/>
    <w:rsid w:val="00A9559C"/>
    <w:rsid w:val="00A966CC"/>
    <w:rsid w:val="00A96C14"/>
    <w:rsid w:val="00AA3217"/>
    <w:rsid w:val="00AA3601"/>
    <w:rsid w:val="00AA3728"/>
    <w:rsid w:val="00AA3A8D"/>
    <w:rsid w:val="00AA43F1"/>
    <w:rsid w:val="00AA48F3"/>
    <w:rsid w:val="00AA4E48"/>
    <w:rsid w:val="00AA4FAF"/>
    <w:rsid w:val="00AA5585"/>
    <w:rsid w:val="00AB0423"/>
    <w:rsid w:val="00AB0CF4"/>
    <w:rsid w:val="00AB135E"/>
    <w:rsid w:val="00AB18EA"/>
    <w:rsid w:val="00AB191E"/>
    <w:rsid w:val="00AB3354"/>
    <w:rsid w:val="00AB36AC"/>
    <w:rsid w:val="00AB406C"/>
    <w:rsid w:val="00AB5520"/>
    <w:rsid w:val="00AB617B"/>
    <w:rsid w:val="00AB6419"/>
    <w:rsid w:val="00AB6987"/>
    <w:rsid w:val="00AB6A92"/>
    <w:rsid w:val="00AB752F"/>
    <w:rsid w:val="00AB7871"/>
    <w:rsid w:val="00AC1083"/>
    <w:rsid w:val="00AC1C9B"/>
    <w:rsid w:val="00AC25E7"/>
    <w:rsid w:val="00AC2856"/>
    <w:rsid w:val="00AC315E"/>
    <w:rsid w:val="00AC331F"/>
    <w:rsid w:val="00AC3607"/>
    <w:rsid w:val="00AC36B5"/>
    <w:rsid w:val="00AC4C3A"/>
    <w:rsid w:val="00AC4F74"/>
    <w:rsid w:val="00AC5248"/>
    <w:rsid w:val="00AC6CB0"/>
    <w:rsid w:val="00AC71BD"/>
    <w:rsid w:val="00AC727B"/>
    <w:rsid w:val="00AC735F"/>
    <w:rsid w:val="00AC74A8"/>
    <w:rsid w:val="00AD0F34"/>
    <w:rsid w:val="00AD1C07"/>
    <w:rsid w:val="00AD289F"/>
    <w:rsid w:val="00AD2B79"/>
    <w:rsid w:val="00AD3C9E"/>
    <w:rsid w:val="00AD4843"/>
    <w:rsid w:val="00AD4ADF"/>
    <w:rsid w:val="00AD5181"/>
    <w:rsid w:val="00AD5947"/>
    <w:rsid w:val="00AD5C49"/>
    <w:rsid w:val="00AD5E54"/>
    <w:rsid w:val="00AD7E84"/>
    <w:rsid w:val="00AE29A1"/>
    <w:rsid w:val="00AE325F"/>
    <w:rsid w:val="00AE41C9"/>
    <w:rsid w:val="00AE4CD6"/>
    <w:rsid w:val="00AE7853"/>
    <w:rsid w:val="00AF0034"/>
    <w:rsid w:val="00AF0D87"/>
    <w:rsid w:val="00AF1F5B"/>
    <w:rsid w:val="00AF2F42"/>
    <w:rsid w:val="00AF36CD"/>
    <w:rsid w:val="00AF4A60"/>
    <w:rsid w:val="00AF5371"/>
    <w:rsid w:val="00AF7F7F"/>
    <w:rsid w:val="00B007C3"/>
    <w:rsid w:val="00B017BD"/>
    <w:rsid w:val="00B01F2E"/>
    <w:rsid w:val="00B028AE"/>
    <w:rsid w:val="00B0295C"/>
    <w:rsid w:val="00B0586C"/>
    <w:rsid w:val="00B062B4"/>
    <w:rsid w:val="00B078EA"/>
    <w:rsid w:val="00B07D39"/>
    <w:rsid w:val="00B112EB"/>
    <w:rsid w:val="00B11CF3"/>
    <w:rsid w:val="00B130AC"/>
    <w:rsid w:val="00B17AE5"/>
    <w:rsid w:val="00B17B56"/>
    <w:rsid w:val="00B17F7D"/>
    <w:rsid w:val="00B206E7"/>
    <w:rsid w:val="00B2091B"/>
    <w:rsid w:val="00B22385"/>
    <w:rsid w:val="00B224A4"/>
    <w:rsid w:val="00B238A6"/>
    <w:rsid w:val="00B24A7A"/>
    <w:rsid w:val="00B25F4A"/>
    <w:rsid w:val="00B25F64"/>
    <w:rsid w:val="00B26227"/>
    <w:rsid w:val="00B26ACD"/>
    <w:rsid w:val="00B30139"/>
    <w:rsid w:val="00B30D29"/>
    <w:rsid w:val="00B311BF"/>
    <w:rsid w:val="00B32D13"/>
    <w:rsid w:val="00B32DD8"/>
    <w:rsid w:val="00B332B1"/>
    <w:rsid w:val="00B33594"/>
    <w:rsid w:val="00B3423C"/>
    <w:rsid w:val="00B36522"/>
    <w:rsid w:val="00B424B8"/>
    <w:rsid w:val="00B434F4"/>
    <w:rsid w:val="00B4375F"/>
    <w:rsid w:val="00B43F9C"/>
    <w:rsid w:val="00B450F5"/>
    <w:rsid w:val="00B45113"/>
    <w:rsid w:val="00B45AE7"/>
    <w:rsid w:val="00B45E72"/>
    <w:rsid w:val="00B46B41"/>
    <w:rsid w:val="00B47469"/>
    <w:rsid w:val="00B47837"/>
    <w:rsid w:val="00B50F4D"/>
    <w:rsid w:val="00B51CDC"/>
    <w:rsid w:val="00B55F05"/>
    <w:rsid w:val="00B563C8"/>
    <w:rsid w:val="00B573C4"/>
    <w:rsid w:val="00B60C90"/>
    <w:rsid w:val="00B62283"/>
    <w:rsid w:val="00B630BE"/>
    <w:rsid w:val="00B6373B"/>
    <w:rsid w:val="00B63916"/>
    <w:rsid w:val="00B6564E"/>
    <w:rsid w:val="00B66390"/>
    <w:rsid w:val="00B67786"/>
    <w:rsid w:val="00B67EA0"/>
    <w:rsid w:val="00B72E6E"/>
    <w:rsid w:val="00B73244"/>
    <w:rsid w:val="00B738DC"/>
    <w:rsid w:val="00B74456"/>
    <w:rsid w:val="00B7483A"/>
    <w:rsid w:val="00B8120D"/>
    <w:rsid w:val="00B814AD"/>
    <w:rsid w:val="00B86330"/>
    <w:rsid w:val="00B8679F"/>
    <w:rsid w:val="00B8752B"/>
    <w:rsid w:val="00B90DE7"/>
    <w:rsid w:val="00B91E01"/>
    <w:rsid w:val="00B92C42"/>
    <w:rsid w:val="00B94386"/>
    <w:rsid w:val="00B947B9"/>
    <w:rsid w:val="00B94817"/>
    <w:rsid w:val="00B9484D"/>
    <w:rsid w:val="00B976DC"/>
    <w:rsid w:val="00BA1164"/>
    <w:rsid w:val="00BA184D"/>
    <w:rsid w:val="00BA33C3"/>
    <w:rsid w:val="00BA41B2"/>
    <w:rsid w:val="00BA49CC"/>
    <w:rsid w:val="00BA4FB0"/>
    <w:rsid w:val="00BA6F6A"/>
    <w:rsid w:val="00BA7EE3"/>
    <w:rsid w:val="00BB21A5"/>
    <w:rsid w:val="00BB27D2"/>
    <w:rsid w:val="00BB29CB"/>
    <w:rsid w:val="00BB3CC9"/>
    <w:rsid w:val="00BB45E4"/>
    <w:rsid w:val="00BB673F"/>
    <w:rsid w:val="00BB7035"/>
    <w:rsid w:val="00BB785F"/>
    <w:rsid w:val="00BC0B01"/>
    <w:rsid w:val="00BC0FAF"/>
    <w:rsid w:val="00BC336A"/>
    <w:rsid w:val="00BC33B3"/>
    <w:rsid w:val="00BC358C"/>
    <w:rsid w:val="00BC52B9"/>
    <w:rsid w:val="00BC5316"/>
    <w:rsid w:val="00BC53FE"/>
    <w:rsid w:val="00BC5845"/>
    <w:rsid w:val="00BC59FA"/>
    <w:rsid w:val="00BC5FA0"/>
    <w:rsid w:val="00BC6066"/>
    <w:rsid w:val="00BC68DE"/>
    <w:rsid w:val="00BD0426"/>
    <w:rsid w:val="00BD0AF4"/>
    <w:rsid w:val="00BD2F9C"/>
    <w:rsid w:val="00BD3A3B"/>
    <w:rsid w:val="00BD4889"/>
    <w:rsid w:val="00BD4D9F"/>
    <w:rsid w:val="00BD4FBE"/>
    <w:rsid w:val="00BE0641"/>
    <w:rsid w:val="00BE16FA"/>
    <w:rsid w:val="00BE1DE8"/>
    <w:rsid w:val="00BE3DDE"/>
    <w:rsid w:val="00BE440C"/>
    <w:rsid w:val="00BE4D46"/>
    <w:rsid w:val="00BE5EDE"/>
    <w:rsid w:val="00BE6EBF"/>
    <w:rsid w:val="00BE7C6A"/>
    <w:rsid w:val="00BE7DAE"/>
    <w:rsid w:val="00BF014C"/>
    <w:rsid w:val="00BF0225"/>
    <w:rsid w:val="00BF04D5"/>
    <w:rsid w:val="00BF0835"/>
    <w:rsid w:val="00BF0C47"/>
    <w:rsid w:val="00BF38E7"/>
    <w:rsid w:val="00BF3A5A"/>
    <w:rsid w:val="00BF41F4"/>
    <w:rsid w:val="00BF7850"/>
    <w:rsid w:val="00BF7FA3"/>
    <w:rsid w:val="00C0037A"/>
    <w:rsid w:val="00C02072"/>
    <w:rsid w:val="00C044DB"/>
    <w:rsid w:val="00C04DC6"/>
    <w:rsid w:val="00C05121"/>
    <w:rsid w:val="00C103C7"/>
    <w:rsid w:val="00C10EFD"/>
    <w:rsid w:val="00C11775"/>
    <w:rsid w:val="00C12F76"/>
    <w:rsid w:val="00C13274"/>
    <w:rsid w:val="00C1343E"/>
    <w:rsid w:val="00C141B6"/>
    <w:rsid w:val="00C15303"/>
    <w:rsid w:val="00C153D7"/>
    <w:rsid w:val="00C15528"/>
    <w:rsid w:val="00C2067D"/>
    <w:rsid w:val="00C20F67"/>
    <w:rsid w:val="00C21560"/>
    <w:rsid w:val="00C216EA"/>
    <w:rsid w:val="00C22024"/>
    <w:rsid w:val="00C22187"/>
    <w:rsid w:val="00C23389"/>
    <w:rsid w:val="00C24C70"/>
    <w:rsid w:val="00C259DD"/>
    <w:rsid w:val="00C269F6"/>
    <w:rsid w:val="00C27FE2"/>
    <w:rsid w:val="00C3121C"/>
    <w:rsid w:val="00C31EED"/>
    <w:rsid w:val="00C35DCE"/>
    <w:rsid w:val="00C365B0"/>
    <w:rsid w:val="00C405A4"/>
    <w:rsid w:val="00C41280"/>
    <w:rsid w:val="00C4458B"/>
    <w:rsid w:val="00C45A5C"/>
    <w:rsid w:val="00C46334"/>
    <w:rsid w:val="00C46640"/>
    <w:rsid w:val="00C46B4B"/>
    <w:rsid w:val="00C47869"/>
    <w:rsid w:val="00C50F64"/>
    <w:rsid w:val="00C51BCE"/>
    <w:rsid w:val="00C52ABE"/>
    <w:rsid w:val="00C57F31"/>
    <w:rsid w:val="00C57FD4"/>
    <w:rsid w:val="00C60027"/>
    <w:rsid w:val="00C6192D"/>
    <w:rsid w:val="00C61E0D"/>
    <w:rsid w:val="00C6351D"/>
    <w:rsid w:val="00C635F8"/>
    <w:rsid w:val="00C63F05"/>
    <w:rsid w:val="00C64A9F"/>
    <w:rsid w:val="00C6548F"/>
    <w:rsid w:val="00C6578A"/>
    <w:rsid w:val="00C66E6A"/>
    <w:rsid w:val="00C67DA6"/>
    <w:rsid w:val="00C67EB0"/>
    <w:rsid w:val="00C7211C"/>
    <w:rsid w:val="00C727E2"/>
    <w:rsid w:val="00C7440B"/>
    <w:rsid w:val="00C7535D"/>
    <w:rsid w:val="00C7640E"/>
    <w:rsid w:val="00C76DB1"/>
    <w:rsid w:val="00C77D4A"/>
    <w:rsid w:val="00C802B9"/>
    <w:rsid w:val="00C8176D"/>
    <w:rsid w:val="00C82D67"/>
    <w:rsid w:val="00C85582"/>
    <w:rsid w:val="00C86204"/>
    <w:rsid w:val="00C866DD"/>
    <w:rsid w:val="00C87A16"/>
    <w:rsid w:val="00C87F2A"/>
    <w:rsid w:val="00C9047F"/>
    <w:rsid w:val="00C912FA"/>
    <w:rsid w:val="00C91C26"/>
    <w:rsid w:val="00C933F3"/>
    <w:rsid w:val="00C93BE8"/>
    <w:rsid w:val="00C93C1E"/>
    <w:rsid w:val="00C93E01"/>
    <w:rsid w:val="00C93FBA"/>
    <w:rsid w:val="00C94C77"/>
    <w:rsid w:val="00C958BB"/>
    <w:rsid w:val="00C95E7B"/>
    <w:rsid w:val="00C9684A"/>
    <w:rsid w:val="00C9702A"/>
    <w:rsid w:val="00C97220"/>
    <w:rsid w:val="00C976ED"/>
    <w:rsid w:val="00C97CA7"/>
    <w:rsid w:val="00CA03CE"/>
    <w:rsid w:val="00CA25B8"/>
    <w:rsid w:val="00CA3710"/>
    <w:rsid w:val="00CA3C70"/>
    <w:rsid w:val="00CA451C"/>
    <w:rsid w:val="00CA48B9"/>
    <w:rsid w:val="00CA4B66"/>
    <w:rsid w:val="00CA7C33"/>
    <w:rsid w:val="00CB07D4"/>
    <w:rsid w:val="00CB07ED"/>
    <w:rsid w:val="00CB09E2"/>
    <w:rsid w:val="00CB28FD"/>
    <w:rsid w:val="00CB335D"/>
    <w:rsid w:val="00CB3F55"/>
    <w:rsid w:val="00CB471B"/>
    <w:rsid w:val="00CB4A9F"/>
    <w:rsid w:val="00CB52F1"/>
    <w:rsid w:val="00CB57E5"/>
    <w:rsid w:val="00CB6C44"/>
    <w:rsid w:val="00CB7585"/>
    <w:rsid w:val="00CB7EA6"/>
    <w:rsid w:val="00CC0BDC"/>
    <w:rsid w:val="00CC1FE7"/>
    <w:rsid w:val="00CC3669"/>
    <w:rsid w:val="00CC3E8C"/>
    <w:rsid w:val="00CC41A0"/>
    <w:rsid w:val="00CC71D3"/>
    <w:rsid w:val="00CD0798"/>
    <w:rsid w:val="00CD1127"/>
    <w:rsid w:val="00CD33AE"/>
    <w:rsid w:val="00CD3F24"/>
    <w:rsid w:val="00CD5963"/>
    <w:rsid w:val="00CD6DDE"/>
    <w:rsid w:val="00CD78AB"/>
    <w:rsid w:val="00CD7B7A"/>
    <w:rsid w:val="00CD7CC9"/>
    <w:rsid w:val="00CE0A4F"/>
    <w:rsid w:val="00CE1494"/>
    <w:rsid w:val="00CE232D"/>
    <w:rsid w:val="00CE2897"/>
    <w:rsid w:val="00CE41F5"/>
    <w:rsid w:val="00CE42EB"/>
    <w:rsid w:val="00CE461F"/>
    <w:rsid w:val="00CE6945"/>
    <w:rsid w:val="00CE7029"/>
    <w:rsid w:val="00CF0328"/>
    <w:rsid w:val="00CF0DC3"/>
    <w:rsid w:val="00CF2EF4"/>
    <w:rsid w:val="00CF3428"/>
    <w:rsid w:val="00CF4995"/>
    <w:rsid w:val="00CF79F9"/>
    <w:rsid w:val="00D007A9"/>
    <w:rsid w:val="00D01330"/>
    <w:rsid w:val="00D0169F"/>
    <w:rsid w:val="00D01E21"/>
    <w:rsid w:val="00D02062"/>
    <w:rsid w:val="00D03ADA"/>
    <w:rsid w:val="00D048E7"/>
    <w:rsid w:val="00D04AE4"/>
    <w:rsid w:val="00D056F0"/>
    <w:rsid w:val="00D05867"/>
    <w:rsid w:val="00D06883"/>
    <w:rsid w:val="00D10447"/>
    <w:rsid w:val="00D124F1"/>
    <w:rsid w:val="00D1299B"/>
    <w:rsid w:val="00D145E1"/>
    <w:rsid w:val="00D14ED6"/>
    <w:rsid w:val="00D15F02"/>
    <w:rsid w:val="00D16AF2"/>
    <w:rsid w:val="00D17078"/>
    <w:rsid w:val="00D1720B"/>
    <w:rsid w:val="00D22548"/>
    <w:rsid w:val="00D27A23"/>
    <w:rsid w:val="00D27D86"/>
    <w:rsid w:val="00D27D9D"/>
    <w:rsid w:val="00D30986"/>
    <w:rsid w:val="00D30A34"/>
    <w:rsid w:val="00D314CE"/>
    <w:rsid w:val="00D31813"/>
    <w:rsid w:val="00D31951"/>
    <w:rsid w:val="00D31DA8"/>
    <w:rsid w:val="00D326D9"/>
    <w:rsid w:val="00D35EBB"/>
    <w:rsid w:val="00D361CA"/>
    <w:rsid w:val="00D36608"/>
    <w:rsid w:val="00D37083"/>
    <w:rsid w:val="00D370CA"/>
    <w:rsid w:val="00D37355"/>
    <w:rsid w:val="00D40400"/>
    <w:rsid w:val="00D40B15"/>
    <w:rsid w:val="00D40D69"/>
    <w:rsid w:val="00D41059"/>
    <w:rsid w:val="00D4180A"/>
    <w:rsid w:val="00D41852"/>
    <w:rsid w:val="00D44B40"/>
    <w:rsid w:val="00D45E2A"/>
    <w:rsid w:val="00D47015"/>
    <w:rsid w:val="00D4719E"/>
    <w:rsid w:val="00D47E9B"/>
    <w:rsid w:val="00D5104D"/>
    <w:rsid w:val="00D52F64"/>
    <w:rsid w:val="00D53AB7"/>
    <w:rsid w:val="00D54048"/>
    <w:rsid w:val="00D54355"/>
    <w:rsid w:val="00D5616F"/>
    <w:rsid w:val="00D60739"/>
    <w:rsid w:val="00D60896"/>
    <w:rsid w:val="00D6196D"/>
    <w:rsid w:val="00D622C2"/>
    <w:rsid w:val="00D62D4F"/>
    <w:rsid w:val="00D63515"/>
    <w:rsid w:val="00D63CC4"/>
    <w:rsid w:val="00D63D90"/>
    <w:rsid w:val="00D64126"/>
    <w:rsid w:val="00D64C37"/>
    <w:rsid w:val="00D652EB"/>
    <w:rsid w:val="00D665B4"/>
    <w:rsid w:val="00D676E8"/>
    <w:rsid w:val="00D67B47"/>
    <w:rsid w:val="00D708B7"/>
    <w:rsid w:val="00D71332"/>
    <w:rsid w:val="00D7240D"/>
    <w:rsid w:val="00D72EFB"/>
    <w:rsid w:val="00D73C1F"/>
    <w:rsid w:val="00D73E72"/>
    <w:rsid w:val="00D740CF"/>
    <w:rsid w:val="00D74156"/>
    <w:rsid w:val="00D7527E"/>
    <w:rsid w:val="00D76D05"/>
    <w:rsid w:val="00D77335"/>
    <w:rsid w:val="00D81312"/>
    <w:rsid w:val="00D821C9"/>
    <w:rsid w:val="00D83E1B"/>
    <w:rsid w:val="00D8455F"/>
    <w:rsid w:val="00D849E2"/>
    <w:rsid w:val="00D85528"/>
    <w:rsid w:val="00D860DB"/>
    <w:rsid w:val="00D87DB2"/>
    <w:rsid w:val="00D87F02"/>
    <w:rsid w:val="00D9467E"/>
    <w:rsid w:val="00D94706"/>
    <w:rsid w:val="00D951B0"/>
    <w:rsid w:val="00D95975"/>
    <w:rsid w:val="00D960C5"/>
    <w:rsid w:val="00D96F30"/>
    <w:rsid w:val="00D970BB"/>
    <w:rsid w:val="00DA1348"/>
    <w:rsid w:val="00DA13EC"/>
    <w:rsid w:val="00DA152B"/>
    <w:rsid w:val="00DA291F"/>
    <w:rsid w:val="00DA3E57"/>
    <w:rsid w:val="00DA4D38"/>
    <w:rsid w:val="00DA4DAF"/>
    <w:rsid w:val="00DA55D2"/>
    <w:rsid w:val="00DA5FEB"/>
    <w:rsid w:val="00DA6DBF"/>
    <w:rsid w:val="00DA7480"/>
    <w:rsid w:val="00DB0B11"/>
    <w:rsid w:val="00DB0CDC"/>
    <w:rsid w:val="00DB26D3"/>
    <w:rsid w:val="00DB28C4"/>
    <w:rsid w:val="00DB3025"/>
    <w:rsid w:val="00DB3201"/>
    <w:rsid w:val="00DB3F03"/>
    <w:rsid w:val="00DB6469"/>
    <w:rsid w:val="00DB6EED"/>
    <w:rsid w:val="00DC4131"/>
    <w:rsid w:val="00DC4B42"/>
    <w:rsid w:val="00DC559B"/>
    <w:rsid w:val="00DC70EC"/>
    <w:rsid w:val="00DC7681"/>
    <w:rsid w:val="00DD0362"/>
    <w:rsid w:val="00DD16C3"/>
    <w:rsid w:val="00DD2BA2"/>
    <w:rsid w:val="00DD352D"/>
    <w:rsid w:val="00DD5803"/>
    <w:rsid w:val="00DD5A03"/>
    <w:rsid w:val="00DD679E"/>
    <w:rsid w:val="00DE2163"/>
    <w:rsid w:val="00DE29D7"/>
    <w:rsid w:val="00DE3A69"/>
    <w:rsid w:val="00DE3DE6"/>
    <w:rsid w:val="00DE406B"/>
    <w:rsid w:val="00DE42DF"/>
    <w:rsid w:val="00DE66D5"/>
    <w:rsid w:val="00DE709E"/>
    <w:rsid w:val="00DE739C"/>
    <w:rsid w:val="00DF0128"/>
    <w:rsid w:val="00DF0BEC"/>
    <w:rsid w:val="00DF11F1"/>
    <w:rsid w:val="00DF127B"/>
    <w:rsid w:val="00DF31EC"/>
    <w:rsid w:val="00DF42F7"/>
    <w:rsid w:val="00DF49AB"/>
    <w:rsid w:val="00DF69BF"/>
    <w:rsid w:val="00DF7CE7"/>
    <w:rsid w:val="00DF7EFD"/>
    <w:rsid w:val="00E015DF"/>
    <w:rsid w:val="00E034D7"/>
    <w:rsid w:val="00E0379B"/>
    <w:rsid w:val="00E05AF5"/>
    <w:rsid w:val="00E05BEA"/>
    <w:rsid w:val="00E0631D"/>
    <w:rsid w:val="00E064F9"/>
    <w:rsid w:val="00E10C42"/>
    <w:rsid w:val="00E113D3"/>
    <w:rsid w:val="00E126F8"/>
    <w:rsid w:val="00E13A22"/>
    <w:rsid w:val="00E150F8"/>
    <w:rsid w:val="00E1580D"/>
    <w:rsid w:val="00E17DFC"/>
    <w:rsid w:val="00E17E82"/>
    <w:rsid w:val="00E202D9"/>
    <w:rsid w:val="00E20D87"/>
    <w:rsid w:val="00E21354"/>
    <w:rsid w:val="00E230CE"/>
    <w:rsid w:val="00E24660"/>
    <w:rsid w:val="00E250A3"/>
    <w:rsid w:val="00E27D64"/>
    <w:rsid w:val="00E33450"/>
    <w:rsid w:val="00E338B0"/>
    <w:rsid w:val="00E3491F"/>
    <w:rsid w:val="00E34D8E"/>
    <w:rsid w:val="00E353C9"/>
    <w:rsid w:val="00E36960"/>
    <w:rsid w:val="00E36DFE"/>
    <w:rsid w:val="00E36F74"/>
    <w:rsid w:val="00E37255"/>
    <w:rsid w:val="00E37FEC"/>
    <w:rsid w:val="00E40464"/>
    <w:rsid w:val="00E4082C"/>
    <w:rsid w:val="00E41F67"/>
    <w:rsid w:val="00E42A34"/>
    <w:rsid w:val="00E44059"/>
    <w:rsid w:val="00E447BA"/>
    <w:rsid w:val="00E44928"/>
    <w:rsid w:val="00E452B5"/>
    <w:rsid w:val="00E45301"/>
    <w:rsid w:val="00E4566C"/>
    <w:rsid w:val="00E45D35"/>
    <w:rsid w:val="00E5036F"/>
    <w:rsid w:val="00E51FE7"/>
    <w:rsid w:val="00E528F9"/>
    <w:rsid w:val="00E53568"/>
    <w:rsid w:val="00E53CC0"/>
    <w:rsid w:val="00E541DE"/>
    <w:rsid w:val="00E54F70"/>
    <w:rsid w:val="00E55E04"/>
    <w:rsid w:val="00E56733"/>
    <w:rsid w:val="00E56F3B"/>
    <w:rsid w:val="00E603CC"/>
    <w:rsid w:val="00E61AFA"/>
    <w:rsid w:val="00E61ECC"/>
    <w:rsid w:val="00E626D2"/>
    <w:rsid w:val="00E62A93"/>
    <w:rsid w:val="00E62B2D"/>
    <w:rsid w:val="00E6355A"/>
    <w:rsid w:val="00E64FBA"/>
    <w:rsid w:val="00E66C30"/>
    <w:rsid w:val="00E6720F"/>
    <w:rsid w:val="00E6736A"/>
    <w:rsid w:val="00E67521"/>
    <w:rsid w:val="00E67854"/>
    <w:rsid w:val="00E70AE4"/>
    <w:rsid w:val="00E70B38"/>
    <w:rsid w:val="00E715D0"/>
    <w:rsid w:val="00E7188C"/>
    <w:rsid w:val="00E71F9E"/>
    <w:rsid w:val="00E725BC"/>
    <w:rsid w:val="00E7262B"/>
    <w:rsid w:val="00E72A27"/>
    <w:rsid w:val="00E75835"/>
    <w:rsid w:val="00E77BA7"/>
    <w:rsid w:val="00E82266"/>
    <w:rsid w:val="00E84ABE"/>
    <w:rsid w:val="00E84B3B"/>
    <w:rsid w:val="00E85A0C"/>
    <w:rsid w:val="00E91013"/>
    <w:rsid w:val="00E91184"/>
    <w:rsid w:val="00E913E6"/>
    <w:rsid w:val="00E91983"/>
    <w:rsid w:val="00E92A80"/>
    <w:rsid w:val="00E92C0D"/>
    <w:rsid w:val="00E93691"/>
    <w:rsid w:val="00E9403E"/>
    <w:rsid w:val="00E94A1E"/>
    <w:rsid w:val="00E95917"/>
    <w:rsid w:val="00E95EEF"/>
    <w:rsid w:val="00EA0C22"/>
    <w:rsid w:val="00EA0D06"/>
    <w:rsid w:val="00EA0F3C"/>
    <w:rsid w:val="00EA1376"/>
    <w:rsid w:val="00EA1510"/>
    <w:rsid w:val="00EA1623"/>
    <w:rsid w:val="00EA30EE"/>
    <w:rsid w:val="00EA342A"/>
    <w:rsid w:val="00EA3C44"/>
    <w:rsid w:val="00EA4217"/>
    <w:rsid w:val="00EA519F"/>
    <w:rsid w:val="00EA5602"/>
    <w:rsid w:val="00EA5EB7"/>
    <w:rsid w:val="00EA7449"/>
    <w:rsid w:val="00EA7A09"/>
    <w:rsid w:val="00EB0BC7"/>
    <w:rsid w:val="00EB0FCF"/>
    <w:rsid w:val="00EB12AB"/>
    <w:rsid w:val="00EB1532"/>
    <w:rsid w:val="00EB15DF"/>
    <w:rsid w:val="00EB1850"/>
    <w:rsid w:val="00EB190F"/>
    <w:rsid w:val="00EB200C"/>
    <w:rsid w:val="00EB2A70"/>
    <w:rsid w:val="00EB2A9C"/>
    <w:rsid w:val="00EB50D8"/>
    <w:rsid w:val="00EB585A"/>
    <w:rsid w:val="00EB5C57"/>
    <w:rsid w:val="00EB5D34"/>
    <w:rsid w:val="00EB5F4C"/>
    <w:rsid w:val="00EB611D"/>
    <w:rsid w:val="00EB6A44"/>
    <w:rsid w:val="00EC04C1"/>
    <w:rsid w:val="00EC0C9F"/>
    <w:rsid w:val="00EC25E8"/>
    <w:rsid w:val="00EC47E3"/>
    <w:rsid w:val="00EC4995"/>
    <w:rsid w:val="00EC4C3B"/>
    <w:rsid w:val="00EC4FAF"/>
    <w:rsid w:val="00EC58D7"/>
    <w:rsid w:val="00EC5A79"/>
    <w:rsid w:val="00EC618A"/>
    <w:rsid w:val="00EC7699"/>
    <w:rsid w:val="00EC7CD7"/>
    <w:rsid w:val="00ED05BF"/>
    <w:rsid w:val="00ED08D0"/>
    <w:rsid w:val="00ED131F"/>
    <w:rsid w:val="00ED1901"/>
    <w:rsid w:val="00ED198F"/>
    <w:rsid w:val="00ED2360"/>
    <w:rsid w:val="00ED5007"/>
    <w:rsid w:val="00EE122E"/>
    <w:rsid w:val="00EE29AE"/>
    <w:rsid w:val="00EE3969"/>
    <w:rsid w:val="00EE3D8A"/>
    <w:rsid w:val="00EE45F0"/>
    <w:rsid w:val="00EE5780"/>
    <w:rsid w:val="00EE622F"/>
    <w:rsid w:val="00EE64FD"/>
    <w:rsid w:val="00EF00DE"/>
    <w:rsid w:val="00EF0FAF"/>
    <w:rsid w:val="00EF1B8E"/>
    <w:rsid w:val="00EF1BF2"/>
    <w:rsid w:val="00EF288A"/>
    <w:rsid w:val="00EF3ED6"/>
    <w:rsid w:val="00EF42E2"/>
    <w:rsid w:val="00EF4989"/>
    <w:rsid w:val="00EF5449"/>
    <w:rsid w:val="00EF56D7"/>
    <w:rsid w:val="00EF5E0E"/>
    <w:rsid w:val="00EF7B08"/>
    <w:rsid w:val="00F001CB"/>
    <w:rsid w:val="00F00230"/>
    <w:rsid w:val="00F00B0C"/>
    <w:rsid w:val="00F01898"/>
    <w:rsid w:val="00F02A38"/>
    <w:rsid w:val="00F03D3C"/>
    <w:rsid w:val="00F052A8"/>
    <w:rsid w:val="00F05E41"/>
    <w:rsid w:val="00F060AC"/>
    <w:rsid w:val="00F064AD"/>
    <w:rsid w:val="00F06FAF"/>
    <w:rsid w:val="00F07149"/>
    <w:rsid w:val="00F076BC"/>
    <w:rsid w:val="00F07FBF"/>
    <w:rsid w:val="00F11F78"/>
    <w:rsid w:val="00F12A03"/>
    <w:rsid w:val="00F1699E"/>
    <w:rsid w:val="00F206A0"/>
    <w:rsid w:val="00F22598"/>
    <w:rsid w:val="00F2267D"/>
    <w:rsid w:val="00F2312B"/>
    <w:rsid w:val="00F2396C"/>
    <w:rsid w:val="00F23FC1"/>
    <w:rsid w:val="00F24C67"/>
    <w:rsid w:val="00F251EF"/>
    <w:rsid w:val="00F25A63"/>
    <w:rsid w:val="00F261EB"/>
    <w:rsid w:val="00F263E9"/>
    <w:rsid w:val="00F26E4E"/>
    <w:rsid w:val="00F314EB"/>
    <w:rsid w:val="00F317A6"/>
    <w:rsid w:val="00F31E05"/>
    <w:rsid w:val="00F322E9"/>
    <w:rsid w:val="00F32431"/>
    <w:rsid w:val="00F33CA7"/>
    <w:rsid w:val="00F343C3"/>
    <w:rsid w:val="00F36D1D"/>
    <w:rsid w:val="00F3757C"/>
    <w:rsid w:val="00F407FA"/>
    <w:rsid w:val="00F41317"/>
    <w:rsid w:val="00F41915"/>
    <w:rsid w:val="00F41A9A"/>
    <w:rsid w:val="00F423AC"/>
    <w:rsid w:val="00F4332A"/>
    <w:rsid w:val="00F44047"/>
    <w:rsid w:val="00F4432E"/>
    <w:rsid w:val="00F4601D"/>
    <w:rsid w:val="00F461F0"/>
    <w:rsid w:val="00F47C55"/>
    <w:rsid w:val="00F50342"/>
    <w:rsid w:val="00F508E4"/>
    <w:rsid w:val="00F50953"/>
    <w:rsid w:val="00F50C5B"/>
    <w:rsid w:val="00F51A2F"/>
    <w:rsid w:val="00F51DE2"/>
    <w:rsid w:val="00F51FC3"/>
    <w:rsid w:val="00F52267"/>
    <w:rsid w:val="00F52C6D"/>
    <w:rsid w:val="00F539BC"/>
    <w:rsid w:val="00F53A33"/>
    <w:rsid w:val="00F5444D"/>
    <w:rsid w:val="00F54C18"/>
    <w:rsid w:val="00F54FA4"/>
    <w:rsid w:val="00F55A0C"/>
    <w:rsid w:val="00F564A4"/>
    <w:rsid w:val="00F56ADD"/>
    <w:rsid w:val="00F56CD8"/>
    <w:rsid w:val="00F56DD2"/>
    <w:rsid w:val="00F56F7B"/>
    <w:rsid w:val="00F578C3"/>
    <w:rsid w:val="00F606FD"/>
    <w:rsid w:val="00F60839"/>
    <w:rsid w:val="00F60D0B"/>
    <w:rsid w:val="00F625F4"/>
    <w:rsid w:val="00F66635"/>
    <w:rsid w:val="00F675F9"/>
    <w:rsid w:val="00F67A80"/>
    <w:rsid w:val="00F71187"/>
    <w:rsid w:val="00F713AF"/>
    <w:rsid w:val="00F72748"/>
    <w:rsid w:val="00F72D3A"/>
    <w:rsid w:val="00F73618"/>
    <w:rsid w:val="00F7407F"/>
    <w:rsid w:val="00F76AD0"/>
    <w:rsid w:val="00F76C4D"/>
    <w:rsid w:val="00F80FF6"/>
    <w:rsid w:val="00F811A4"/>
    <w:rsid w:val="00F8134A"/>
    <w:rsid w:val="00F81FCE"/>
    <w:rsid w:val="00F82118"/>
    <w:rsid w:val="00F821DD"/>
    <w:rsid w:val="00F8280C"/>
    <w:rsid w:val="00F831A6"/>
    <w:rsid w:val="00F83B1B"/>
    <w:rsid w:val="00F85512"/>
    <w:rsid w:val="00F859C4"/>
    <w:rsid w:val="00F90355"/>
    <w:rsid w:val="00F90A02"/>
    <w:rsid w:val="00F914FC"/>
    <w:rsid w:val="00F94246"/>
    <w:rsid w:val="00F954C2"/>
    <w:rsid w:val="00F95933"/>
    <w:rsid w:val="00F95C5D"/>
    <w:rsid w:val="00F973BF"/>
    <w:rsid w:val="00FA0324"/>
    <w:rsid w:val="00FA0F87"/>
    <w:rsid w:val="00FA1886"/>
    <w:rsid w:val="00FA1F2C"/>
    <w:rsid w:val="00FA2717"/>
    <w:rsid w:val="00FA3AD0"/>
    <w:rsid w:val="00FA3CB9"/>
    <w:rsid w:val="00FA3CC0"/>
    <w:rsid w:val="00FA513F"/>
    <w:rsid w:val="00FA52FE"/>
    <w:rsid w:val="00FA551D"/>
    <w:rsid w:val="00FA5A87"/>
    <w:rsid w:val="00FA5B8B"/>
    <w:rsid w:val="00FA5DC2"/>
    <w:rsid w:val="00FA5DDB"/>
    <w:rsid w:val="00FA61DB"/>
    <w:rsid w:val="00FA6C1C"/>
    <w:rsid w:val="00FA7ACA"/>
    <w:rsid w:val="00FB100B"/>
    <w:rsid w:val="00FB1326"/>
    <w:rsid w:val="00FB1D29"/>
    <w:rsid w:val="00FB1FA6"/>
    <w:rsid w:val="00FB21E1"/>
    <w:rsid w:val="00FB263B"/>
    <w:rsid w:val="00FB2863"/>
    <w:rsid w:val="00FB2A9C"/>
    <w:rsid w:val="00FB2BC5"/>
    <w:rsid w:val="00FB3446"/>
    <w:rsid w:val="00FB3E03"/>
    <w:rsid w:val="00FB496F"/>
    <w:rsid w:val="00FB4E03"/>
    <w:rsid w:val="00FB525F"/>
    <w:rsid w:val="00FB5CCC"/>
    <w:rsid w:val="00FB66FA"/>
    <w:rsid w:val="00FB6BBC"/>
    <w:rsid w:val="00FB704A"/>
    <w:rsid w:val="00FB778E"/>
    <w:rsid w:val="00FC01C5"/>
    <w:rsid w:val="00FC2B37"/>
    <w:rsid w:val="00FC4075"/>
    <w:rsid w:val="00FC45B8"/>
    <w:rsid w:val="00FC49D3"/>
    <w:rsid w:val="00FC4D9E"/>
    <w:rsid w:val="00FC54B6"/>
    <w:rsid w:val="00FC74B3"/>
    <w:rsid w:val="00FC7B1D"/>
    <w:rsid w:val="00FD0DEA"/>
    <w:rsid w:val="00FD0F69"/>
    <w:rsid w:val="00FD195D"/>
    <w:rsid w:val="00FD1F14"/>
    <w:rsid w:val="00FD28D8"/>
    <w:rsid w:val="00FD3CAC"/>
    <w:rsid w:val="00FD42FB"/>
    <w:rsid w:val="00FD4342"/>
    <w:rsid w:val="00FD5D40"/>
    <w:rsid w:val="00FD633F"/>
    <w:rsid w:val="00FD70E4"/>
    <w:rsid w:val="00FD737C"/>
    <w:rsid w:val="00FD75A1"/>
    <w:rsid w:val="00FE1F28"/>
    <w:rsid w:val="00FE21B6"/>
    <w:rsid w:val="00FE2347"/>
    <w:rsid w:val="00FE24D2"/>
    <w:rsid w:val="00FE2C93"/>
    <w:rsid w:val="00FE3582"/>
    <w:rsid w:val="00FE4D4B"/>
    <w:rsid w:val="00FE7D50"/>
    <w:rsid w:val="00FF036A"/>
    <w:rsid w:val="00FF1306"/>
    <w:rsid w:val="00FF2D0B"/>
    <w:rsid w:val="00FF2D74"/>
    <w:rsid w:val="00FF34E7"/>
    <w:rsid w:val="00FF3F50"/>
    <w:rsid w:val="00FF4C1C"/>
    <w:rsid w:val="00FF5A19"/>
    <w:rsid w:val="00FF5FAC"/>
    <w:rsid w:val="00FF641D"/>
    <w:rsid w:val="00FF6738"/>
    <w:rsid w:val="00FF6C8B"/>
    <w:rsid w:val="00FF790C"/>
    <w:rsid w:val="011768D6"/>
    <w:rsid w:val="013F48ED"/>
    <w:rsid w:val="01476473"/>
    <w:rsid w:val="01564273"/>
    <w:rsid w:val="016E2F6B"/>
    <w:rsid w:val="017B0260"/>
    <w:rsid w:val="017B11E4"/>
    <w:rsid w:val="01853181"/>
    <w:rsid w:val="01B436F4"/>
    <w:rsid w:val="01B44D55"/>
    <w:rsid w:val="01B91D0C"/>
    <w:rsid w:val="01CE57B8"/>
    <w:rsid w:val="01DD3C4D"/>
    <w:rsid w:val="01E1052E"/>
    <w:rsid w:val="01E350FA"/>
    <w:rsid w:val="01FD0342"/>
    <w:rsid w:val="02012FD9"/>
    <w:rsid w:val="022D37F7"/>
    <w:rsid w:val="02497F37"/>
    <w:rsid w:val="025806E5"/>
    <w:rsid w:val="02785724"/>
    <w:rsid w:val="027B2E3E"/>
    <w:rsid w:val="02814B9B"/>
    <w:rsid w:val="029B2B96"/>
    <w:rsid w:val="02E53EDC"/>
    <w:rsid w:val="031D7E20"/>
    <w:rsid w:val="03433F84"/>
    <w:rsid w:val="034858F1"/>
    <w:rsid w:val="037C5332"/>
    <w:rsid w:val="037F43CE"/>
    <w:rsid w:val="038F6065"/>
    <w:rsid w:val="03920A67"/>
    <w:rsid w:val="03970F7A"/>
    <w:rsid w:val="03985312"/>
    <w:rsid w:val="03C159E6"/>
    <w:rsid w:val="03C933DE"/>
    <w:rsid w:val="03DE3CAC"/>
    <w:rsid w:val="040C1631"/>
    <w:rsid w:val="040E4592"/>
    <w:rsid w:val="040E6340"/>
    <w:rsid w:val="041D47D5"/>
    <w:rsid w:val="04293179"/>
    <w:rsid w:val="04367644"/>
    <w:rsid w:val="044D2479"/>
    <w:rsid w:val="044F06A2"/>
    <w:rsid w:val="045143C6"/>
    <w:rsid w:val="045F6B9B"/>
    <w:rsid w:val="04631AB8"/>
    <w:rsid w:val="04670895"/>
    <w:rsid w:val="04722D72"/>
    <w:rsid w:val="04796C12"/>
    <w:rsid w:val="047C0328"/>
    <w:rsid w:val="047F0633"/>
    <w:rsid w:val="048C1529"/>
    <w:rsid w:val="04AE7B23"/>
    <w:rsid w:val="04B96508"/>
    <w:rsid w:val="04C212E8"/>
    <w:rsid w:val="04CE7BBB"/>
    <w:rsid w:val="04F15EED"/>
    <w:rsid w:val="051A0D14"/>
    <w:rsid w:val="05224A3A"/>
    <w:rsid w:val="05412745"/>
    <w:rsid w:val="054D47E0"/>
    <w:rsid w:val="055C30DB"/>
    <w:rsid w:val="056A3A4A"/>
    <w:rsid w:val="057743B8"/>
    <w:rsid w:val="05907D5C"/>
    <w:rsid w:val="05954730"/>
    <w:rsid w:val="05A10F52"/>
    <w:rsid w:val="05C74A0B"/>
    <w:rsid w:val="05CC41E0"/>
    <w:rsid w:val="05E03D0C"/>
    <w:rsid w:val="05EA4B8A"/>
    <w:rsid w:val="05F17DCE"/>
    <w:rsid w:val="05F72E03"/>
    <w:rsid w:val="06150798"/>
    <w:rsid w:val="06282789"/>
    <w:rsid w:val="062F0CC0"/>
    <w:rsid w:val="06420AD1"/>
    <w:rsid w:val="06482C85"/>
    <w:rsid w:val="064C39C1"/>
    <w:rsid w:val="065344DE"/>
    <w:rsid w:val="0665113A"/>
    <w:rsid w:val="0666210D"/>
    <w:rsid w:val="066A7A79"/>
    <w:rsid w:val="067D77AC"/>
    <w:rsid w:val="06826D29"/>
    <w:rsid w:val="06836734"/>
    <w:rsid w:val="068D03A1"/>
    <w:rsid w:val="06922748"/>
    <w:rsid w:val="06E94E42"/>
    <w:rsid w:val="06EE2458"/>
    <w:rsid w:val="07013F3A"/>
    <w:rsid w:val="07031EA9"/>
    <w:rsid w:val="070C29E7"/>
    <w:rsid w:val="071B5F67"/>
    <w:rsid w:val="075424DD"/>
    <w:rsid w:val="07646F0C"/>
    <w:rsid w:val="0788136E"/>
    <w:rsid w:val="07995F31"/>
    <w:rsid w:val="079C0106"/>
    <w:rsid w:val="079E556C"/>
    <w:rsid w:val="07B16742"/>
    <w:rsid w:val="07C6504E"/>
    <w:rsid w:val="07C766CF"/>
    <w:rsid w:val="07EA78F4"/>
    <w:rsid w:val="081859DF"/>
    <w:rsid w:val="0834033F"/>
    <w:rsid w:val="08AA60CA"/>
    <w:rsid w:val="08BA14CE"/>
    <w:rsid w:val="08BB3D3A"/>
    <w:rsid w:val="08C45D89"/>
    <w:rsid w:val="08C94F2B"/>
    <w:rsid w:val="08CE42EF"/>
    <w:rsid w:val="08D5160B"/>
    <w:rsid w:val="08F21F58"/>
    <w:rsid w:val="09016473"/>
    <w:rsid w:val="09141DA0"/>
    <w:rsid w:val="0922463B"/>
    <w:rsid w:val="09277EB0"/>
    <w:rsid w:val="0930241E"/>
    <w:rsid w:val="09524F20"/>
    <w:rsid w:val="09770614"/>
    <w:rsid w:val="098C04E0"/>
    <w:rsid w:val="09A12AFD"/>
    <w:rsid w:val="09A905EA"/>
    <w:rsid w:val="09AB2AB2"/>
    <w:rsid w:val="09BC4A90"/>
    <w:rsid w:val="09CF37D9"/>
    <w:rsid w:val="09F4422A"/>
    <w:rsid w:val="0A1446C4"/>
    <w:rsid w:val="0A1D552E"/>
    <w:rsid w:val="0A426D43"/>
    <w:rsid w:val="0A740EC6"/>
    <w:rsid w:val="0A7669ED"/>
    <w:rsid w:val="0A80630F"/>
    <w:rsid w:val="0A830C41"/>
    <w:rsid w:val="0A856C30"/>
    <w:rsid w:val="0A927E67"/>
    <w:rsid w:val="0A981884"/>
    <w:rsid w:val="0A9D03F6"/>
    <w:rsid w:val="0AAE0353"/>
    <w:rsid w:val="0AB505CF"/>
    <w:rsid w:val="0ABE4E7E"/>
    <w:rsid w:val="0ACB31DC"/>
    <w:rsid w:val="0AF46EBA"/>
    <w:rsid w:val="0AFA587C"/>
    <w:rsid w:val="0B1269BE"/>
    <w:rsid w:val="0B185CF6"/>
    <w:rsid w:val="0B241404"/>
    <w:rsid w:val="0B3A496A"/>
    <w:rsid w:val="0B41349E"/>
    <w:rsid w:val="0B574A70"/>
    <w:rsid w:val="0B5B687D"/>
    <w:rsid w:val="0B5C6DBC"/>
    <w:rsid w:val="0B5E3ED6"/>
    <w:rsid w:val="0B6E36A4"/>
    <w:rsid w:val="0B955BC4"/>
    <w:rsid w:val="0B9A495D"/>
    <w:rsid w:val="0B9A670B"/>
    <w:rsid w:val="0B9E0A73"/>
    <w:rsid w:val="0BA8707A"/>
    <w:rsid w:val="0BC1638D"/>
    <w:rsid w:val="0BC47AA0"/>
    <w:rsid w:val="0BD95198"/>
    <w:rsid w:val="0C051F47"/>
    <w:rsid w:val="0C0A3890"/>
    <w:rsid w:val="0C1772B4"/>
    <w:rsid w:val="0C4756C9"/>
    <w:rsid w:val="0C6322E0"/>
    <w:rsid w:val="0C825B1D"/>
    <w:rsid w:val="0C8806ED"/>
    <w:rsid w:val="0C923886"/>
    <w:rsid w:val="0C9A5420"/>
    <w:rsid w:val="0C9E047D"/>
    <w:rsid w:val="0CB45797"/>
    <w:rsid w:val="0CDD68F5"/>
    <w:rsid w:val="0CE138D2"/>
    <w:rsid w:val="0CE70A7F"/>
    <w:rsid w:val="0CEA711E"/>
    <w:rsid w:val="0D6913DE"/>
    <w:rsid w:val="0D8301BA"/>
    <w:rsid w:val="0D874B6B"/>
    <w:rsid w:val="0D876165"/>
    <w:rsid w:val="0DAF6782"/>
    <w:rsid w:val="0DC30FA3"/>
    <w:rsid w:val="0DC43470"/>
    <w:rsid w:val="0DD036A7"/>
    <w:rsid w:val="0DEB5944"/>
    <w:rsid w:val="0E1F012E"/>
    <w:rsid w:val="0E257B9D"/>
    <w:rsid w:val="0E794CFD"/>
    <w:rsid w:val="0E837D5C"/>
    <w:rsid w:val="0E900E3B"/>
    <w:rsid w:val="0EAF6971"/>
    <w:rsid w:val="0EBE0962"/>
    <w:rsid w:val="0EBF6E33"/>
    <w:rsid w:val="0ECA5559"/>
    <w:rsid w:val="0ECA6CFE"/>
    <w:rsid w:val="0F013A29"/>
    <w:rsid w:val="0F2D6A66"/>
    <w:rsid w:val="0F334EAC"/>
    <w:rsid w:val="0F3A26DF"/>
    <w:rsid w:val="0F3E048F"/>
    <w:rsid w:val="0F4848F7"/>
    <w:rsid w:val="0F721BE3"/>
    <w:rsid w:val="0F781556"/>
    <w:rsid w:val="0F820A0F"/>
    <w:rsid w:val="0FAB7138"/>
    <w:rsid w:val="0FAE0F93"/>
    <w:rsid w:val="0FB51D65"/>
    <w:rsid w:val="0FB976B7"/>
    <w:rsid w:val="1011543A"/>
    <w:rsid w:val="101D7AFE"/>
    <w:rsid w:val="103E0F42"/>
    <w:rsid w:val="10401F77"/>
    <w:rsid w:val="10453240"/>
    <w:rsid w:val="10467F81"/>
    <w:rsid w:val="10647BB8"/>
    <w:rsid w:val="106A6EAA"/>
    <w:rsid w:val="106D0892"/>
    <w:rsid w:val="106F4084"/>
    <w:rsid w:val="10823D42"/>
    <w:rsid w:val="108440D3"/>
    <w:rsid w:val="109847FF"/>
    <w:rsid w:val="10AD5132"/>
    <w:rsid w:val="10BB1A44"/>
    <w:rsid w:val="10E32902"/>
    <w:rsid w:val="10F222C3"/>
    <w:rsid w:val="10F44B0F"/>
    <w:rsid w:val="11005262"/>
    <w:rsid w:val="11042E90"/>
    <w:rsid w:val="111B6540"/>
    <w:rsid w:val="114F2D96"/>
    <w:rsid w:val="1154405A"/>
    <w:rsid w:val="115560BA"/>
    <w:rsid w:val="115D048A"/>
    <w:rsid w:val="116A4DD1"/>
    <w:rsid w:val="11780090"/>
    <w:rsid w:val="117E3C2A"/>
    <w:rsid w:val="1194759E"/>
    <w:rsid w:val="11C049F1"/>
    <w:rsid w:val="11C24A1C"/>
    <w:rsid w:val="11F62C07"/>
    <w:rsid w:val="11F8610A"/>
    <w:rsid w:val="121A6A15"/>
    <w:rsid w:val="124D097B"/>
    <w:rsid w:val="12500AE7"/>
    <w:rsid w:val="12687563"/>
    <w:rsid w:val="12814D6D"/>
    <w:rsid w:val="12887C05"/>
    <w:rsid w:val="129E10BB"/>
    <w:rsid w:val="12A52303"/>
    <w:rsid w:val="12F6091F"/>
    <w:rsid w:val="130848A2"/>
    <w:rsid w:val="135A02D0"/>
    <w:rsid w:val="13734411"/>
    <w:rsid w:val="139A7BF0"/>
    <w:rsid w:val="13B12E67"/>
    <w:rsid w:val="13D529D6"/>
    <w:rsid w:val="13DA7FEC"/>
    <w:rsid w:val="13F15336"/>
    <w:rsid w:val="13F9088A"/>
    <w:rsid w:val="13FA068E"/>
    <w:rsid w:val="141334FE"/>
    <w:rsid w:val="141F00F5"/>
    <w:rsid w:val="1440630D"/>
    <w:rsid w:val="14605538"/>
    <w:rsid w:val="1478586C"/>
    <w:rsid w:val="14793290"/>
    <w:rsid w:val="147E306D"/>
    <w:rsid w:val="1487782A"/>
    <w:rsid w:val="148D505F"/>
    <w:rsid w:val="148E0DD7"/>
    <w:rsid w:val="14A870DB"/>
    <w:rsid w:val="14BD538C"/>
    <w:rsid w:val="14CC53E1"/>
    <w:rsid w:val="14DD7CB8"/>
    <w:rsid w:val="153D0A49"/>
    <w:rsid w:val="153F282D"/>
    <w:rsid w:val="154C105E"/>
    <w:rsid w:val="15542020"/>
    <w:rsid w:val="157A00B6"/>
    <w:rsid w:val="157E51C1"/>
    <w:rsid w:val="158E72E0"/>
    <w:rsid w:val="15995519"/>
    <w:rsid w:val="15B50D11"/>
    <w:rsid w:val="15DB1ADA"/>
    <w:rsid w:val="15E27AF7"/>
    <w:rsid w:val="15EA63F4"/>
    <w:rsid w:val="15F54753"/>
    <w:rsid w:val="15FC70B2"/>
    <w:rsid w:val="16421E79"/>
    <w:rsid w:val="1651030E"/>
    <w:rsid w:val="165F6ECF"/>
    <w:rsid w:val="16696DD6"/>
    <w:rsid w:val="168D490F"/>
    <w:rsid w:val="16A11295"/>
    <w:rsid w:val="16A405CE"/>
    <w:rsid w:val="16BA4105"/>
    <w:rsid w:val="16C32FBA"/>
    <w:rsid w:val="16C9211E"/>
    <w:rsid w:val="16DD5BE3"/>
    <w:rsid w:val="16E01F2C"/>
    <w:rsid w:val="17016990"/>
    <w:rsid w:val="170751DC"/>
    <w:rsid w:val="170D679B"/>
    <w:rsid w:val="172B0DAF"/>
    <w:rsid w:val="17465AE0"/>
    <w:rsid w:val="175E7616"/>
    <w:rsid w:val="17800EAB"/>
    <w:rsid w:val="17820EBE"/>
    <w:rsid w:val="178E76FA"/>
    <w:rsid w:val="17CC40F0"/>
    <w:rsid w:val="17CD1C16"/>
    <w:rsid w:val="17D45F31"/>
    <w:rsid w:val="17DB6FB5"/>
    <w:rsid w:val="17DF02C7"/>
    <w:rsid w:val="17E01949"/>
    <w:rsid w:val="17E547D3"/>
    <w:rsid w:val="17F748E2"/>
    <w:rsid w:val="181747DB"/>
    <w:rsid w:val="18584E7F"/>
    <w:rsid w:val="185E4407"/>
    <w:rsid w:val="187030C3"/>
    <w:rsid w:val="18846FC8"/>
    <w:rsid w:val="18872E17"/>
    <w:rsid w:val="18AA1406"/>
    <w:rsid w:val="18C375D7"/>
    <w:rsid w:val="18C43019"/>
    <w:rsid w:val="18CE28C0"/>
    <w:rsid w:val="18D86AC4"/>
    <w:rsid w:val="18DE2EEB"/>
    <w:rsid w:val="18FF4EAC"/>
    <w:rsid w:val="193F0B5D"/>
    <w:rsid w:val="194A5C14"/>
    <w:rsid w:val="194B7296"/>
    <w:rsid w:val="19603640"/>
    <w:rsid w:val="197E141A"/>
    <w:rsid w:val="198C1D89"/>
    <w:rsid w:val="19905574"/>
    <w:rsid w:val="19A215AC"/>
    <w:rsid w:val="19C20F3D"/>
    <w:rsid w:val="19C44A65"/>
    <w:rsid w:val="19C8531A"/>
    <w:rsid w:val="19CF3238"/>
    <w:rsid w:val="19D13C3F"/>
    <w:rsid w:val="19DC7D73"/>
    <w:rsid w:val="19DE5E98"/>
    <w:rsid w:val="19E33973"/>
    <w:rsid w:val="19EA6AAF"/>
    <w:rsid w:val="1A09289C"/>
    <w:rsid w:val="1A2D4691"/>
    <w:rsid w:val="1A472154"/>
    <w:rsid w:val="1A5D2093"/>
    <w:rsid w:val="1A646862"/>
    <w:rsid w:val="1A714304"/>
    <w:rsid w:val="1A733AD2"/>
    <w:rsid w:val="1A760264"/>
    <w:rsid w:val="1A89276C"/>
    <w:rsid w:val="1A9609E5"/>
    <w:rsid w:val="1AA67F47"/>
    <w:rsid w:val="1AB57683"/>
    <w:rsid w:val="1AD02C94"/>
    <w:rsid w:val="1AD67034"/>
    <w:rsid w:val="1AD75285"/>
    <w:rsid w:val="1AD840C8"/>
    <w:rsid w:val="1AF30A9C"/>
    <w:rsid w:val="1AF941EF"/>
    <w:rsid w:val="1AFD0A64"/>
    <w:rsid w:val="1B3C173F"/>
    <w:rsid w:val="1B3D7D60"/>
    <w:rsid w:val="1B446693"/>
    <w:rsid w:val="1B4D28AE"/>
    <w:rsid w:val="1B574397"/>
    <w:rsid w:val="1B8276E8"/>
    <w:rsid w:val="1B8D7810"/>
    <w:rsid w:val="1B9F61D4"/>
    <w:rsid w:val="1BA333BA"/>
    <w:rsid w:val="1BA445E7"/>
    <w:rsid w:val="1BA64A0F"/>
    <w:rsid w:val="1BA809D0"/>
    <w:rsid w:val="1BA81546"/>
    <w:rsid w:val="1BAA607D"/>
    <w:rsid w:val="1BAE4EF6"/>
    <w:rsid w:val="1BBD091F"/>
    <w:rsid w:val="1BE0278C"/>
    <w:rsid w:val="1BF63E31"/>
    <w:rsid w:val="1C073948"/>
    <w:rsid w:val="1C24274C"/>
    <w:rsid w:val="1C2521C3"/>
    <w:rsid w:val="1C366148"/>
    <w:rsid w:val="1C3A5DDF"/>
    <w:rsid w:val="1C404465"/>
    <w:rsid w:val="1C430877"/>
    <w:rsid w:val="1C4F3541"/>
    <w:rsid w:val="1C4F72E6"/>
    <w:rsid w:val="1C730FDE"/>
    <w:rsid w:val="1C8D4564"/>
    <w:rsid w:val="1C9E5E30"/>
    <w:rsid w:val="1CC71E18"/>
    <w:rsid w:val="1D041F2E"/>
    <w:rsid w:val="1D11016F"/>
    <w:rsid w:val="1D464944"/>
    <w:rsid w:val="1D5354A6"/>
    <w:rsid w:val="1D7B5066"/>
    <w:rsid w:val="1D8B5438"/>
    <w:rsid w:val="1DC615E1"/>
    <w:rsid w:val="1DD72ED5"/>
    <w:rsid w:val="1DEB2D2D"/>
    <w:rsid w:val="1E1C3D76"/>
    <w:rsid w:val="1E4E3AB1"/>
    <w:rsid w:val="1E5170FD"/>
    <w:rsid w:val="1E620680"/>
    <w:rsid w:val="1E626CF2"/>
    <w:rsid w:val="1E6B3A3D"/>
    <w:rsid w:val="1E8E20FF"/>
    <w:rsid w:val="1E992E7E"/>
    <w:rsid w:val="1EA5569B"/>
    <w:rsid w:val="1ED815CC"/>
    <w:rsid w:val="1F106FB8"/>
    <w:rsid w:val="1F120F82"/>
    <w:rsid w:val="1F1D139B"/>
    <w:rsid w:val="1F206657"/>
    <w:rsid w:val="1F262C04"/>
    <w:rsid w:val="1F2C1918"/>
    <w:rsid w:val="1F464788"/>
    <w:rsid w:val="1F6D61B8"/>
    <w:rsid w:val="1F975652"/>
    <w:rsid w:val="1F9E600F"/>
    <w:rsid w:val="1FD004F5"/>
    <w:rsid w:val="20007EE7"/>
    <w:rsid w:val="20135F29"/>
    <w:rsid w:val="2020147D"/>
    <w:rsid w:val="202A40A9"/>
    <w:rsid w:val="203B62B7"/>
    <w:rsid w:val="204A0F56"/>
    <w:rsid w:val="204F1D62"/>
    <w:rsid w:val="205D2D68"/>
    <w:rsid w:val="209E5062"/>
    <w:rsid w:val="20B56069"/>
    <w:rsid w:val="20BB27FF"/>
    <w:rsid w:val="20C97731"/>
    <w:rsid w:val="20D06CD6"/>
    <w:rsid w:val="20D3029D"/>
    <w:rsid w:val="20E835D0"/>
    <w:rsid w:val="20E928AA"/>
    <w:rsid w:val="20F621DE"/>
    <w:rsid w:val="2144119B"/>
    <w:rsid w:val="21635AC5"/>
    <w:rsid w:val="216364D8"/>
    <w:rsid w:val="21667FDB"/>
    <w:rsid w:val="218E20B6"/>
    <w:rsid w:val="21BA145D"/>
    <w:rsid w:val="21C733BE"/>
    <w:rsid w:val="21D211E1"/>
    <w:rsid w:val="21DC0310"/>
    <w:rsid w:val="21E57651"/>
    <w:rsid w:val="21F4598B"/>
    <w:rsid w:val="22051B69"/>
    <w:rsid w:val="220628F4"/>
    <w:rsid w:val="220B6265"/>
    <w:rsid w:val="222202FE"/>
    <w:rsid w:val="22823398"/>
    <w:rsid w:val="22911EF8"/>
    <w:rsid w:val="229879F0"/>
    <w:rsid w:val="22AC2870"/>
    <w:rsid w:val="22D07F5B"/>
    <w:rsid w:val="22DB78DD"/>
    <w:rsid w:val="22DF56C1"/>
    <w:rsid w:val="22E04EF3"/>
    <w:rsid w:val="22F8166B"/>
    <w:rsid w:val="230308DA"/>
    <w:rsid w:val="23056708"/>
    <w:rsid w:val="230C3F3A"/>
    <w:rsid w:val="230E5957"/>
    <w:rsid w:val="235F406A"/>
    <w:rsid w:val="23897637"/>
    <w:rsid w:val="23944D6C"/>
    <w:rsid w:val="239D2E47"/>
    <w:rsid w:val="239E13A9"/>
    <w:rsid w:val="23B0469D"/>
    <w:rsid w:val="23D27343"/>
    <w:rsid w:val="23DD39CC"/>
    <w:rsid w:val="23E765FE"/>
    <w:rsid w:val="23E911BD"/>
    <w:rsid w:val="23ED5B1A"/>
    <w:rsid w:val="240F46B6"/>
    <w:rsid w:val="24393382"/>
    <w:rsid w:val="243E030D"/>
    <w:rsid w:val="245931AF"/>
    <w:rsid w:val="24910A2E"/>
    <w:rsid w:val="24B86128"/>
    <w:rsid w:val="24C22B02"/>
    <w:rsid w:val="24E26707"/>
    <w:rsid w:val="25030001"/>
    <w:rsid w:val="25147A27"/>
    <w:rsid w:val="252D5344"/>
    <w:rsid w:val="254B093A"/>
    <w:rsid w:val="254D18B8"/>
    <w:rsid w:val="255C2EB2"/>
    <w:rsid w:val="25610880"/>
    <w:rsid w:val="25610ABF"/>
    <w:rsid w:val="25657932"/>
    <w:rsid w:val="25867FD4"/>
    <w:rsid w:val="25A95A70"/>
    <w:rsid w:val="25AF6939"/>
    <w:rsid w:val="25F31CE7"/>
    <w:rsid w:val="26146B0C"/>
    <w:rsid w:val="26296BB1"/>
    <w:rsid w:val="263E08AF"/>
    <w:rsid w:val="266D4989"/>
    <w:rsid w:val="268362C1"/>
    <w:rsid w:val="268669AD"/>
    <w:rsid w:val="269418DE"/>
    <w:rsid w:val="26B71977"/>
    <w:rsid w:val="26C32CCB"/>
    <w:rsid w:val="26D544C4"/>
    <w:rsid w:val="26DA2E02"/>
    <w:rsid w:val="26E74AA2"/>
    <w:rsid w:val="26F36729"/>
    <w:rsid w:val="26F90EA8"/>
    <w:rsid w:val="270663F2"/>
    <w:rsid w:val="27382E67"/>
    <w:rsid w:val="275D4D64"/>
    <w:rsid w:val="275E25EC"/>
    <w:rsid w:val="27703DC3"/>
    <w:rsid w:val="279F537D"/>
    <w:rsid w:val="27A04912"/>
    <w:rsid w:val="27A91D58"/>
    <w:rsid w:val="27AE16A9"/>
    <w:rsid w:val="27DC09B5"/>
    <w:rsid w:val="2808523B"/>
    <w:rsid w:val="281213CE"/>
    <w:rsid w:val="2830097E"/>
    <w:rsid w:val="28416272"/>
    <w:rsid w:val="28471992"/>
    <w:rsid w:val="284E701B"/>
    <w:rsid w:val="2856345B"/>
    <w:rsid w:val="286B2C05"/>
    <w:rsid w:val="287113E7"/>
    <w:rsid w:val="2872220E"/>
    <w:rsid w:val="287A1946"/>
    <w:rsid w:val="288D1679"/>
    <w:rsid w:val="2895052E"/>
    <w:rsid w:val="289C7B0E"/>
    <w:rsid w:val="28EA4832"/>
    <w:rsid w:val="290F6532"/>
    <w:rsid w:val="290F6AA7"/>
    <w:rsid w:val="29283021"/>
    <w:rsid w:val="295C750D"/>
    <w:rsid w:val="296436FF"/>
    <w:rsid w:val="296A5517"/>
    <w:rsid w:val="297B61CC"/>
    <w:rsid w:val="297E60A1"/>
    <w:rsid w:val="29BC48A4"/>
    <w:rsid w:val="29C664FC"/>
    <w:rsid w:val="29F00653"/>
    <w:rsid w:val="2A0700CC"/>
    <w:rsid w:val="2A44045E"/>
    <w:rsid w:val="2A8A55F7"/>
    <w:rsid w:val="2A910370"/>
    <w:rsid w:val="2A9C11CE"/>
    <w:rsid w:val="2AB16FF8"/>
    <w:rsid w:val="2AB63C4C"/>
    <w:rsid w:val="2AC16DD7"/>
    <w:rsid w:val="2AC563B9"/>
    <w:rsid w:val="2AE9690F"/>
    <w:rsid w:val="2B012690"/>
    <w:rsid w:val="2B0D4CF3"/>
    <w:rsid w:val="2B147E30"/>
    <w:rsid w:val="2B360FEB"/>
    <w:rsid w:val="2B361B54"/>
    <w:rsid w:val="2B3C3E54"/>
    <w:rsid w:val="2B3C4FC7"/>
    <w:rsid w:val="2B416CB0"/>
    <w:rsid w:val="2B4635CC"/>
    <w:rsid w:val="2B647283"/>
    <w:rsid w:val="2B674404"/>
    <w:rsid w:val="2B850669"/>
    <w:rsid w:val="2B8B28FE"/>
    <w:rsid w:val="2BDD46C6"/>
    <w:rsid w:val="2C047EA4"/>
    <w:rsid w:val="2C0D47A9"/>
    <w:rsid w:val="2C58509D"/>
    <w:rsid w:val="2C663982"/>
    <w:rsid w:val="2C70553A"/>
    <w:rsid w:val="2C88199F"/>
    <w:rsid w:val="2C9C1E8B"/>
    <w:rsid w:val="2CA317FC"/>
    <w:rsid w:val="2CC55592"/>
    <w:rsid w:val="2CD3418C"/>
    <w:rsid w:val="2CF42145"/>
    <w:rsid w:val="2CF72E55"/>
    <w:rsid w:val="2D1E0AF2"/>
    <w:rsid w:val="2D2769ED"/>
    <w:rsid w:val="2D7F03ED"/>
    <w:rsid w:val="2D943A2B"/>
    <w:rsid w:val="2DA92C79"/>
    <w:rsid w:val="2DCF003E"/>
    <w:rsid w:val="2DD8739C"/>
    <w:rsid w:val="2DD94E61"/>
    <w:rsid w:val="2DE0224B"/>
    <w:rsid w:val="2DF45CF7"/>
    <w:rsid w:val="2E29544C"/>
    <w:rsid w:val="2E2B1F4D"/>
    <w:rsid w:val="2E383E35"/>
    <w:rsid w:val="2E3B18FA"/>
    <w:rsid w:val="2E3F34BA"/>
    <w:rsid w:val="2E5C47E3"/>
    <w:rsid w:val="2E9077CD"/>
    <w:rsid w:val="2E9223E9"/>
    <w:rsid w:val="2EEA4A0A"/>
    <w:rsid w:val="2F02292F"/>
    <w:rsid w:val="2F0F4910"/>
    <w:rsid w:val="2F2702E3"/>
    <w:rsid w:val="2F295F26"/>
    <w:rsid w:val="2F2A11C9"/>
    <w:rsid w:val="2F2D7712"/>
    <w:rsid w:val="2F390870"/>
    <w:rsid w:val="2F4B3612"/>
    <w:rsid w:val="2F5038C6"/>
    <w:rsid w:val="2F815D63"/>
    <w:rsid w:val="2F911154"/>
    <w:rsid w:val="2FCC6F2B"/>
    <w:rsid w:val="2FDE27BA"/>
    <w:rsid w:val="2FE91715"/>
    <w:rsid w:val="2FF33C1B"/>
    <w:rsid w:val="30000983"/>
    <w:rsid w:val="30064E18"/>
    <w:rsid w:val="30297EDA"/>
    <w:rsid w:val="30324F84"/>
    <w:rsid w:val="30344D68"/>
    <w:rsid w:val="304940D8"/>
    <w:rsid w:val="307D0225"/>
    <w:rsid w:val="30837A14"/>
    <w:rsid w:val="30915674"/>
    <w:rsid w:val="30BA6D84"/>
    <w:rsid w:val="30DA7E3D"/>
    <w:rsid w:val="30E20F3A"/>
    <w:rsid w:val="30F72947"/>
    <w:rsid w:val="31216E03"/>
    <w:rsid w:val="313D56FD"/>
    <w:rsid w:val="313E5C07"/>
    <w:rsid w:val="31554CFE"/>
    <w:rsid w:val="31642DF1"/>
    <w:rsid w:val="316469A6"/>
    <w:rsid w:val="31A66981"/>
    <w:rsid w:val="31A80581"/>
    <w:rsid w:val="31D64091"/>
    <w:rsid w:val="31D86CDD"/>
    <w:rsid w:val="320976FE"/>
    <w:rsid w:val="32251378"/>
    <w:rsid w:val="3228611F"/>
    <w:rsid w:val="324B79F2"/>
    <w:rsid w:val="32524E6A"/>
    <w:rsid w:val="325346E8"/>
    <w:rsid w:val="32715F5B"/>
    <w:rsid w:val="3273368E"/>
    <w:rsid w:val="32935ADE"/>
    <w:rsid w:val="32961935"/>
    <w:rsid w:val="32AB1F49"/>
    <w:rsid w:val="32AE59A9"/>
    <w:rsid w:val="32B22BB1"/>
    <w:rsid w:val="32CB354A"/>
    <w:rsid w:val="33004ABA"/>
    <w:rsid w:val="330A30F7"/>
    <w:rsid w:val="332101B1"/>
    <w:rsid w:val="332871FE"/>
    <w:rsid w:val="333C36C3"/>
    <w:rsid w:val="33571D76"/>
    <w:rsid w:val="337403D3"/>
    <w:rsid w:val="33AF4B9A"/>
    <w:rsid w:val="33C06AC9"/>
    <w:rsid w:val="33CC49A7"/>
    <w:rsid w:val="33EE007B"/>
    <w:rsid w:val="33FC5905"/>
    <w:rsid w:val="34141126"/>
    <w:rsid w:val="342A2472"/>
    <w:rsid w:val="34334E6B"/>
    <w:rsid w:val="343B026F"/>
    <w:rsid w:val="343B467F"/>
    <w:rsid w:val="343B642D"/>
    <w:rsid w:val="34450632"/>
    <w:rsid w:val="344914B1"/>
    <w:rsid w:val="34631B83"/>
    <w:rsid w:val="347A5599"/>
    <w:rsid w:val="347D21EF"/>
    <w:rsid w:val="34890198"/>
    <w:rsid w:val="3499437B"/>
    <w:rsid w:val="34A00986"/>
    <w:rsid w:val="34D658BF"/>
    <w:rsid w:val="34DB19BE"/>
    <w:rsid w:val="3509652C"/>
    <w:rsid w:val="351C6A1B"/>
    <w:rsid w:val="35283152"/>
    <w:rsid w:val="35315133"/>
    <w:rsid w:val="354A067D"/>
    <w:rsid w:val="35607A21"/>
    <w:rsid w:val="356B1A9D"/>
    <w:rsid w:val="357E1430"/>
    <w:rsid w:val="35847960"/>
    <w:rsid w:val="359F479A"/>
    <w:rsid w:val="35A35C04"/>
    <w:rsid w:val="35AB4209"/>
    <w:rsid w:val="35B06C9C"/>
    <w:rsid w:val="35C806CA"/>
    <w:rsid w:val="35D34447"/>
    <w:rsid w:val="35DF6BB2"/>
    <w:rsid w:val="35E0728C"/>
    <w:rsid w:val="35E27D50"/>
    <w:rsid w:val="35E84FAC"/>
    <w:rsid w:val="35FB25B5"/>
    <w:rsid w:val="36315D3A"/>
    <w:rsid w:val="364B65EE"/>
    <w:rsid w:val="367277BC"/>
    <w:rsid w:val="367C4ADB"/>
    <w:rsid w:val="367D0F7F"/>
    <w:rsid w:val="3682557A"/>
    <w:rsid w:val="368816D2"/>
    <w:rsid w:val="368C1D64"/>
    <w:rsid w:val="36AB673F"/>
    <w:rsid w:val="36B57BF0"/>
    <w:rsid w:val="36BC6C7C"/>
    <w:rsid w:val="36EE217D"/>
    <w:rsid w:val="370F3EDA"/>
    <w:rsid w:val="372413FB"/>
    <w:rsid w:val="37391D72"/>
    <w:rsid w:val="37514205"/>
    <w:rsid w:val="37621F23"/>
    <w:rsid w:val="37A946C8"/>
    <w:rsid w:val="37CC7087"/>
    <w:rsid w:val="37D20687"/>
    <w:rsid w:val="37D22C05"/>
    <w:rsid w:val="37F0752F"/>
    <w:rsid w:val="37FF03DA"/>
    <w:rsid w:val="382408B7"/>
    <w:rsid w:val="382F2E63"/>
    <w:rsid w:val="383B4C4E"/>
    <w:rsid w:val="38564680"/>
    <w:rsid w:val="389C07C3"/>
    <w:rsid w:val="38A2107C"/>
    <w:rsid w:val="38AC16A8"/>
    <w:rsid w:val="38B62526"/>
    <w:rsid w:val="38C93144"/>
    <w:rsid w:val="38D1417C"/>
    <w:rsid w:val="38D62BC9"/>
    <w:rsid w:val="38F8628C"/>
    <w:rsid w:val="39526505"/>
    <w:rsid w:val="397D11A6"/>
    <w:rsid w:val="39890B37"/>
    <w:rsid w:val="398E1CFA"/>
    <w:rsid w:val="398E4C67"/>
    <w:rsid w:val="39976B47"/>
    <w:rsid w:val="39B40871"/>
    <w:rsid w:val="39CD2372"/>
    <w:rsid w:val="39F72DF7"/>
    <w:rsid w:val="39F86CAB"/>
    <w:rsid w:val="3A0B0B17"/>
    <w:rsid w:val="3A230C04"/>
    <w:rsid w:val="3A262839"/>
    <w:rsid w:val="3A40479E"/>
    <w:rsid w:val="3A6164C2"/>
    <w:rsid w:val="3A9459FF"/>
    <w:rsid w:val="3A9A7883"/>
    <w:rsid w:val="3AC23405"/>
    <w:rsid w:val="3AC8077D"/>
    <w:rsid w:val="3AD34590"/>
    <w:rsid w:val="3AE07D2F"/>
    <w:rsid w:val="3AF13CEA"/>
    <w:rsid w:val="3B1874C8"/>
    <w:rsid w:val="3B1F5D8D"/>
    <w:rsid w:val="3B3911ED"/>
    <w:rsid w:val="3B5C2267"/>
    <w:rsid w:val="3B7A783B"/>
    <w:rsid w:val="3BAA5C47"/>
    <w:rsid w:val="3C297811"/>
    <w:rsid w:val="3C4936B2"/>
    <w:rsid w:val="3C4B38F2"/>
    <w:rsid w:val="3C5B7980"/>
    <w:rsid w:val="3C687FDC"/>
    <w:rsid w:val="3C8F37FC"/>
    <w:rsid w:val="3C921F4F"/>
    <w:rsid w:val="3C97584D"/>
    <w:rsid w:val="3C9B5575"/>
    <w:rsid w:val="3CB53874"/>
    <w:rsid w:val="3CB6124E"/>
    <w:rsid w:val="3CCF3BB7"/>
    <w:rsid w:val="3CD2301D"/>
    <w:rsid w:val="3CE648D3"/>
    <w:rsid w:val="3CF81D16"/>
    <w:rsid w:val="3D033860"/>
    <w:rsid w:val="3D074877"/>
    <w:rsid w:val="3D1D0DC6"/>
    <w:rsid w:val="3D2A34E3"/>
    <w:rsid w:val="3D5A3DC8"/>
    <w:rsid w:val="3D6C7658"/>
    <w:rsid w:val="3D6F3318"/>
    <w:rsid w:val="3D7B6A6D"/>
    <w:rsid w:val="3D833786"/>
    <w:rsid w:val="3DAB4624"/>
    <w:rsid w:val="3DDC42A3"/>
    <w:rsid w:val="3DDE40C2"/>
    <w:rsid w:val="3DE36460"/>
    <w:rsid w:val="3E025A4C"/>
    <w:rsid w:val="3E0B50C2"/>
    <w:rsid w:val="3E1F291C"/>
    <w:rsid w:val="3E322DAF"/>
    <w:rsid w:val="3E394A14"/>
    <w:rsid w:val="3E3C4B8D"/>
    <w:rsid w:val="3E4B3711"/>
    <w:rsid w:val="3E9A0E1E"/>
    <w:rsid w:val="3EAA6689"/>
    <w:rsid w:val="3EAD43CC"/>
    <w:rsid w:val="3EB5502E"/>
    <w:rsid w:val="3EDC3716"/>
    <w:rsid w:val="3F012983"/>
    <w:rsid w:val="3F050967"/>
    <w:rsid w:val="3F0D6C18"/>
    <w:rsid w:val="3F2F76D3"/>
    <w:rsid w:val="3F3812AC"/>
    <w:rsid w:val="3F3C578E"/>
    <w:rsid w:val="3F4C7741"/>
    <w:rsid w:val="3F5531D1"/>
    <w:rsid w:val="3F656A54"/>
    <w:rsid w:val="3F762A0F"/>
    <w:rsid w:val="3FC27E9A"/>
    <w:rsid w:val="3FCB3E6B"/>
    <w:rsid w:val="3FD634AE"/>
    <w:rsid w:val="3FD82EB0"/>
    <w:rsid w:val="40155D85"/>
    <w:rsid w:val="4021297B"/>
    <w:rsid w:val="402C30CE"/>
    <w:rsid w:val="40494B1D"/>
    <w:rsid w:val="40630DD7"/>
    <w:rsid w:val="407D7D54"/>
    <w:rsid w:val="409E7C6A"/>
    <w:rsid w:val="40B557B9"/>
    <w:rsid w:val="40B839BB"/>
    <w:rsid w:val="40BE1148"/>
    <w:rsid w:val="40BF1625"/>
    <w:rsid w:val="40C92990"/>
    <w:rsid w:val="40D80547"/>
    <w:rsid w:val="40F314E0"/>
    <w:rsid w:val="40FA31CC"/>
    <w:rsid w:val="412B5020"/>
    <w:rsid w:val="414F0054"/>
    <w:rsid w:val="417E5267"/>
    <w:rsid w:val="41891B15"/>
    <w:rsid w:val="418F600A"/>
    <w:rsid w:val="419929E5"/>
    <w:rsid w:val="41992B92"/>
    <w:rsid w:val="419B1A30"/>
    <w:rsid w:val="41BE41FA"/>
    <w:rsid w:val="41C31810"/>
    <w:rsid w:val="41C95079"/>
    <w:rsid w:val="41D15985"/>
    <w:rsid w:val="41E5423D"/>
    <w:rsid w:val="41FD4053"/>
    <w:rsid w:val="41FD4D22"/>
    <w:rsid w:val="42010CB6"/>
    <w:rsid w:val="421D2FC9"/>
    <w:rsid w:val="422A49A2"/>
    <w:rsid w:val="423A7D24"/>
    <w:rsid w:val="424566C9"/>
    <w:rsid w:val="42685900"/>
    <w:rsid w:val="426E0127"/>
    <w:rsid w:val="42701998"/>
    <w:rsid w:val="428C449D"/>
    <w:rsid w:val="429F402B"/>
    <w:rsid w:val="42A012DD"/>
    <w:rsid w:val="42CA484B"/>
    <w:rsid w:val="42CA554C"/>
    <w:rsid w:val="42D9578F"/>
    <w:rsid w:val="42EC395B"/>
    <w:rsid w:val="42ED4D97"/>
    <w:rsid w:val="42F772DA"/>
    <w:rsid w:val="432D7889"/>
    <w:rsid w:val="434D3A87"/>
    <w:rsid w:val="435066E2"/>
    <w:rsid w:val="43566EB7"/>
    <w:rsid w:val="435A3F8F"/>
    <w:rsid w:val="4376003C"/>
    <w:rsid w:val="43841109"/>
    <w:rsid w:val="43853051"/>
    <w:rsid w:val="439B0C97"/>
    <w:rsid w:val="43A64436"/>
    <w:rsid w:val="43D56E31"/>
    <w:rsid w:val="43E812C7"/>
    <w:rsid w:val="442C7B41"/>
    <w:rsid w:val="444C2DCE"/>
    <w:rsid w:val="444F5811"/>
    <w:rsid w:val="445F67CC"/>
    <w:rsid w:val="44641CF6"/>
    <w:rsid w:val="448434D9"/>
    <w:rsid w:val="448A4B8B"/>
    <w:rsid w:val="448D29BA"/>
    <w:rsid w:val="449C4CC6"/>
    <w:rsid w:val="44A74279"/>
    <w:rsid w:val="44BC0EC5"/>
    <w:rsid w:val="450B16E0"/>
    <w:rsid w:val="451F76A5"/>
    <w:rsid w:val="453302BA"/>
    <w:rsid w:val="45345A41"/>
    <w:rsid w:val="453F38A4"/>
    <w:rsid w:val="454661CA"/>
    <w:rsid w:val="45526306"/>
    <w:rsid w:val="45562DBB"/>
    <w:rsid w:val="455B6F58"/>
    <w:rsid w:val="457B1660"/>
    <w:rsid w:val="458F65D9"/>
    <w:rsid w:val="45924C2B"/>
    <w:rsid w:val="459E56A1"/>
    <w:rsid w:val="45A57BAB"/>
    <w:rsid w:val="45B002FD"/>
    <w:rsid w:val="45F11042"/>
    <w:rsid w:val="45F64BD8"/>
    <w:rsid w:val="45F75F2C"/>
    <w:rsid w:val="4612030B"/>
    <w:rsid w:val="46184820"/>
    <w:rsid w:val="46317690"/>
    <w:rsid w:val="46364CA7"/>
    <w:rsid w:val="464705AF"/>
    <w:rsid w:val="465A4B29"/>
    <w:rsid w:val="46601D24"/>
    <w:rsid w:val="46712183"/>
    <w:rsid w:val="46AF5B29"/>
    <w:rsid w:val="46D63D94"/>
    <w:rsid w:val="46E3355B"/>
    <w:rsid w:val="46E97F6B"/>
    <w:rsid w:val="46ED18ED"/>
    <w:rsid w:val="46FA1662"/>
    <w:rsid w:val="47093C43"/>
    <w:rsid w:val="476C7DA7"/>
    <w:rsid w:val="479A532E"/>
    <w:rsid w:val="47B6609F"/>
    <w:rsid w:val="47B86D46"/>
    <w:rsid w:val="47D91D8D"/>
    <w:rsid w:val="480224E2"/>
    <w:rsid w:val="483C6436"/>
    <w:rsid w:val="48403498"/>
    <w:rsid w:val="485A0E9C"/>
    <w:rsid w:val="487970CD"/>
    <w:rsid w:val="48803BF0"/>
    <w:rsid w:val="48955D5B"/>
    <w:rsid w:val="48C514F3"/>
    <w:rsid w:val="48D662CD"/>
    <w:rsid w:val="491562B3"/>
    <w:rsid w:val="49380D36"/>
    <w:rsid w:val="495A64FF"/>
    <w:rsid w:val="49634005"/>
    <w:rsid w:val="4971160B"/>
    <w:rsid w:val="49730A8F"/>
    <w:rsid w:val="499A379E"/>
    <w:rsid w:val="499F5EC9"/>
    <w:rsid w:val="49A562CF"/>
    <w:rsid w:val="49AB577E"/>
    <w:rsid w:val="49BC3715"/>
    <w:rsid w:val="49C820BA"/>
    <w:rsid w:val="49F948D7"/>
    <w:rsid w:val="4A0537B8"/>
    <w:rsid w:val="4A1212D8"/>
    <w:rsid w:val="4A2B3851"/>
    <w:rsid w:val="4A471230"/>
    <w:rsid w:val="4A4D541D"/>
    <w:rsid w:val="4A5E3812"/>
    <w:rsid w:val="4A6873F9"/>
    <w:rsid w:val="4A8204BA"/>
    <w:rsid w:val="4A8F4985"/>
    <w:rsid w:val="4AB43441"/>
    <w:rsid w:val="4AB46130"/>
    <w:rsid w:val="4ADF2B86"/>
    <w:rsid w:val="4B066176"/>
    <w:rsid w:val="4B3612A5"/>
    <w:rsid w:val="4B4F59F0"/>
    <w:rsid w:val="4B645E12"/>
    <w:rsid w:val="4B6B0F4E"/>
    <w:rsid w:val="4B6F7ED7"/>
    <w:rsid w:val="4B781AB4"/>
    <w:rsid w:val="4B804BEF"/>
    <w:rsid w:val="4BF21670"/>
    <w:rsid w:val="4BFF5B3B"/>
    <w:rsid w:val="4C0F2222"/>
    <w:rsid w:val="4C1B0BC7"/>
    <w:rsid w:val="4C403B2D"/>
    <w:rsid w:val="4C417F01"/>
    <w:rsid w:val="4C4B0D80"/>
    <w:rsid w:val="4C4C6D11"/>
    <w:rsid w:val="4C567E51"/>
    <w:rsid w:val="4C5B1F8B"/>
    <w:rsid w:val="4C812213"/>
    <w:rsid w:val="4CE30FB8"/>
    <w:rsid w:val="4CE43445"/>
    <w:rsid w:val="4D1675E0"/>
    <w:rsid w:val="4D2217CA"/>
    <w:rsid w:val="4D3002AF"/>
    <w:rsid w:val="4D4B7289"/>
    <w:rsid w:val="4D4F244C"/>
    <w:rsid w:val="4D671D7C"/>
    <w:rsid w:val="4D812CAB"/>
    <w:rsid w:val="4D873CBF"/>
    <w:rsid w:val="4D8D78A2"/>
    <w:rsid w:val="4DB90893"/>
    <w:rsid w:val="4DBF37D4"/>
    <w:rsid w:val="4DBF5582"/>
    <w:rsid w:val="4DD3727F"/>
    <w:rsid w:val="4DDB4968"/>
    <w:rsid w:val="4DEB281B"/>
    <w:rsid w:val="4DEF519B"/>
    <w:rsid w:val="4E1E2B9F"/>
    <w:rsid w:val="4E25611D"/>
    <w:rsid w:val="4E3B4A67"/>
    <w:rsid w:val="4E5F708B"/>
    <w:rsid w:val="4EB66985"/>
    <w:rsid w:val="4EC54E1A"/>
    <w:rsid w:val="4EC866B8"/>
    <w:rsid w:val="4EE11FF3"/>
    <w:rsid w:val="4EEF00E8"/>
    <w:rsid w:val="4EF413A0"/>
    <w:rsid w:val="4F024486"/>
    <w:rsid w:val="4F0C0C9A"/>
    <w:rsid w:val="4F17510E"/>
    <w:rsid w:val="4F295FAB"/>
    <w:rsid w:val="4F2F23A8"/>
    <w:rsid w:val="4F376151"/>
    <w:rsid w:val="4F3F2E1E"/>
    <w:rsid w:val="4F4E4E0F"/>
    <w:rsid w:val="4F59467D"/>
    <w:rsid w:val="4F5E1707"/>
    <w:rsid w:val="4F7B50B5"/>
    <w:rsid w:val="4F8151E4"/>
    <w:rsid w:val="4F840831"/>
    <w:rsid w:val="4F8847C5"/>
    <w:rsid w:val="4F8B7E11"/>
    <w:rsid w:val="4F9755AB"/>
    <w:rsid w:val="4F9B7A2F"/>
    <w:rsid w:val="4FB82BD0"/>
    <w:rsid w:val="4FD7228A"/>
    <w:rsid w:val="4FE64B9B"/>
    <w:rsid w:val="4FEA2E9D"/>
    <w:rsid w:val="500C788C"/>
    <w:rsid w:val="500D1C99"/>
    <w:rsid w:val="500E35FE"/>
    <w:rsid w:val="50165B02"/>
    <w:rsid w:val="501673D8"/>
    <w:rsid w:val="50234B18"/>
    <w:rsid w:val="502802CE"/>
    <w:rsid w:val="503A3C22"/>
    <w:rsid w:val="503D54B2"/>
    <w:rsid w:val="503E4E84"/>
    <w:rsid w:val="50517ED7"/>
    <w:rsid w:val="50594DE2"/>
    <w:rsid w:val="50746AF7"/>
    <w:rsid w:val="50BB4726"/>
    <w:rsid w:val="50CA2BBB"/>
    <w:rsid w:val="5101301E"/>
    <w:rsid w:val="51051D30"/>
    <w:rsid w:val="51167BAE"/>
    <w:rsid w:val="5123645C"/>
    <w:rsid w:val="512F2A1E"/>
    <w:rsid w:val="513055A9"/>
    <w:rsid w:val="5145691F"/>
    <w:rsid w:val="51841C3B"/>
    <w:rsid w:val="518B1F65"/>
    <w:rsid w:val="519438AD"/>
    <w:rsid w:val="519C4558"/>
    <w:rsid w:val="51B80C66"/>
    <w:rsid w:val="51CA4B2A"/>
    <w:rsid w:val="51D2086C"/>
    <w:rsid w:val="51E87165"/>
    <w:rsid w:val="521B23C7"/>
    <w:rsid w:val="522D77A8"/>
    <w:rsid w:val="522F3976"/>
    <w:rsid w:val="52540A4D"/>
    <w:rsid w:val="52566857"/>
    <w:rsid w:val="525F606E"/>
    <w:rsid w:val="526768B3"/>
    <w:rsid w:val="52914491"/>
    <w:rsid w:val="52CE032F"/>
    <w:rsid w:val="52D2676F"/>
    <w:rsid w:val="52E3448B"/>
    <w:rsid w:val="52F36AAE"/>
    <w:rsid w:val="530A729F"/>
    <w:rsid w:val="530E3233"/>
    <w:rsid w:val="531305CE"/>
    <w:rsid w:val="531D3476"/>
    <w:rsid w:val="53242FCD"/>
    <w:rsid w:val="53365468"/>
    <w:rsid w:val="534E7750"/>
    <w:rsid w:val="535E3FFD"/>
    <w:rsid w:val="536072D8"/>
    <w:rsid w:val="53625DE0"/>
    <w:rsid w:val="536F17F8"/>
    <w:rsid w:val="5373078E"/>
    <w:rsid w:val="538E4924"/>
    <w:rsid w:val="5399626B"/>
    <w:rsid w:val="53A05E55"/>
    <w:rsid w:val="540B32CF"/>
    <w:rsid w:val="541303D5"/>
    <w:rsid w:val="541C1980"/>
    <w:rsid w:val="542E3B29"/>
    <w:rsid w:val="544F115F"/>
    <w:rsid w:val="54505185"/>
    <w:rsid w:val="545A4256"/>
    <w:rsid w:val="545C1D7C"/>
    <w:rsid w:val="546E1AAF"/>
    <w:rsid w:val="548D1485"/>
    <w:rsid w:val="5494248C"/>
    <w:rsid w:val="54981E52"/>
    <w:rsid w:val="54A37150"/>
    <w:rsid w:val="54B40917"/>
    <w:rsid w:val="54BB3B2E"/>
    <w:rsid w:val="54BC1CA7"/>
    <w:rsid w:val="54CA0FCF"/>
    <w:rsid w:val="54E84892"/>
    <w:rsid w:val="550158C2"/>
    <w:rsid w:val="5508756F"/>
    <w:rsid w:val="5520650E"/>
    <w:rsid w:val="552A4606"/>
    <w:rsid w:val="552D319F"/>
    <w:rsid w:val="552D3A2B"/>
    <w:rsid w:val="55606742"/>
    <w:rsid w:val="556A2BB0"/>
    <w:rsid w:val="55806306"/>
    <w:rsid w:val="55943798"/>
    <w:rsid w:val="55AD324D"/>
    <w:rsid w:val="55AF2380"/>
    <w:rsid w:val="55C92267"/>
    <w:rsid w:val="55D50038"/>
    <w:rsid w:val="55EE51DE"/>
    <w:rsid w:val="55F03B38"/>
    <w:rsid w:val="56026953"/>
    <w:rsid w:val="560E354A"/>
    <w:rsid w:val="561D06AE"/>
    <w:rsid w:val="56334D5F"/>
    <w:rsid w:val="56775F55"/>
    <w:rsid w:val="5697709C"/>
    <w:rsid w:val="569F4A81"/>
    <w:rsid w:val="56A416CE"/>
    <w:rsid w:val="56BE5A60"/>
    <w:rsid w:val="56D4209E"/>
    <w:rsid w:val="56DF426B"/>
    <w:rsid w:val="56FB3ACE"/>
    <w:rsid w:val="572D19F0"/>
    <w:rsid w:val="574D00B0"/>
    <w:rsid w:val="57560D05"/>
    <w:rsid w:val="575B27BF"/>
    <w:rsid w:val="575B456D"/>
    <w:rsid w:val="575E5E0B"/>
    <w:rsid w:val="57670DFC"/>
    <w:rsid w:val="577C3CFE"/>
    <w:rsid w:val="578312BC"/>
    <w:rsid w:val="5786234B"/>
    <w:rsid w:val="57A30E71"/>
    <w:rsid w:val="57A31556"/>
    <w:rsid w:val="57E207EA"/>
    <w:rsid w:val="57E26A3C"/>
    <w:rsid w:val="57EA5C71"/>
    <w:rsid w:val="57F17D62"/>
    <w:rsid w:val="57F24B4B"/>
    <w:rsid w:val="584E7696"/>
    <w:rsid w:val="586631C9"/>
    <w:rsid w:val="587907F1"/>
    <w:rsid w:val="587F3ED6"/>
    <w:rsid w:val="58A545FC"/>
    <w:rsid w:val="58AB32D2"/>
    <w:rsid w:val="58AB5D21"/>
    <w:rsid w:val="58CF175E"/>
    <w:rsid w:val="58E10AA2"/>
    <w:rsid w:val="58F66B30"/>
    <w:rsid w:val="590B3D71"/>
    <w:rsid w:val="59166211"/>
    <w:rsid w:val="59246BE1"/>
    <w:rsid w:val="59521D94"/>
    <w:rsid w:val="596A0A97"/>
    <w:rsid w:val="59754224"/>
    <w:rsid w:val="59A0359A"/>
    <w:rsid w:val="59AE5941"/>
    <w:rsid w:val="59C2277A"/>
    <w:rsid w:val="59C363FA"/>
    <w:rsid w:val="59E31A85"/>
    <w:rsid w:val="59E81790"/>
    <w:rsid w:val="59FA3E61"/>
    <w:rsid w:val="5A1A3A00"/>
    <w:rsid w:val="5A3C050E"/>
    <w:rsid w:val="5A6F72AD"/>
    <w:rsid w:val="5A7A0CFF"/>
    <w:rsid w:val="5A950AB4"/>
    <w:rsid w:val="5A992C25"/>
    <w:rsid w:val="5AB55661"/>
    <w:rsid w:val="5ABD4C6C"/>
    <w:rsid w:val="5ADD2164"/>
    <w:rsid w:val="5AF21A11"/>
    <w:rsid w:val="5AF82A8A"/>
    <w:rsid w:val="5B110024"/>
    <w:rsid w:val="5B337D4E"/>
    <w:rsid w:val="5B7F3C7A"/>
    <w:rsid w:val="5B863B83"/>
    <w:rsid w:val="5B970E3A"/>
    <w:rsid w:val="5B9C5C71"/>
    <w:rsid w:val="5BAF4E87"/>
    <w:rsid w:val="5BB9347A"/>
    <w:rsid w:val="5BDB7A84"/>
    <w:rsid w:val="5BE03293"/>
    <w:rsid w:val="5BF64864"/>
    <w:rsid w:val="5BF741AC"/>
    <w:rsid w:val="5C07081F"/>
    <w:rsid w:val="5C5D48E3"/>
    <w:rsid w:val="5C7B7F96"/>
    <w:rsid w:val="5CC44A17"/>
    <w:rsid w:val="5D0578BA"/>
    <w:rsid w:val="5D085C5B"/>
    <w:rsid w:val="5D113928"/>
    <w:rsid w:val="5D13423F"/>
    <w:rsid w:val="5D204BA4"/>
    <w:rsid w:val="5D365DDA"/>
    <w:rsid w:val="5D441192"/>
    <w:rsid w:val="5D5E0913"/>
    <w:rsid w:val="5D8B36D2"/>
    <w:rsid w:val="5D9C55E5"/>
    <w:rsid w:val="5DA50561"/>
    <w:rsid w:val="5DA659B4"/>
    <w:rsid w:val="5DC664B8"/>
    <w:rsid w:val="5DDC7A8A"/>
    <w:rsid w:val="5E023994"/>
    <w:rsid w:val="5E162F9C"/>
    <w:rsid w:val="5E4C5E28"/>
    <w:rsid w:val="5E6463FD"/>
    <w:rsid w:val="5EA75419"/>
    <w:rsid w:val="5EBE2085"/>
    <w:rsid w:val="5ED115B9"/>
    <w:rsid w:val="5EDF69B5"/>
    <w:rsid w:val="5F37766E"/>
    <w:rsid w:val="5F3B681D"/>
    <w:rsid w:val="5F4643B3"/>
    <w:rsid w:val="5F4F674F"/>
    <w:rsid w:val="5F524109"/>
    <w:rsid w:val="5F71326C"/>
    <w:rsid w:val="5F92572B"/>
    <w:rsid w:val="5FE64BF0"/>
    <w:rsid w:val="5FEA19BA"/>
    <w:rsid w:val="600C0AFA"/>
    <w:rsid w:val="600D4872"/>
    <w:rsid w:val="601259E5"/>
    <w:rsid w:val="602F2A3B"/>
    <w:rsid w:val="60310561"/>
    <w:rsid w:val="60612BEB"/>
    <w:rsid w:val="608146FB"/>
    <w:rsid w:val="6098238E"/>
    <w:rsid w:val="60B06C30"/>
    <w:rsid w:val="60B40FB2"/>
    <w:rsid w:val="60B60A66"/>
    <w:rsid w:val="60CD3CBE"/>
    <w:rsid w:val="60E5134B"/>
    <w:rsid w:val="60EC4488"/>
    <w:rsid w:val="61043E1B"/>
    <w:rsid w:val="610701C6"/>
    <w:rsid w:val="61112140"/>
    <w:rsid w:val="61146E26"/>
    <w:rsid w:val="611E2569"/>
    <w:rsid w:val="61370C95"/>
    <w:rsid w:val="613D4CE3"/>
    <w:rsid w:val="616366D4"/>
    <w:rsid w:val="616B3FB0"/>
    <w:rsid w:val="61734BA9"/>
    <w:rsid w:val="618D7518"/>
    <w:rsid w:val="61907509"/>
    <w:rsid w:val="61B72CE8"/>
    <w:rsid w:val="61BF7DEE"/>
    <w:rsid w:val="61C85E12"/>
    <w:rsid w:val="61E23BE2"/>
    <w:rsid w:val="620C657C"/>
    <w:rsid w:val="625978FB"/>
    <w:rsid w:val="626D784A"/>
    <w:rsid w:val="62782477"/>
    <w:rsid w:val="62783014"/>
    <w:rsid w:val="629E7A04"/>
    <w:rsid w:val="63130345"/>
    <w:rsid w:val="63181564"/>
    <w:rsid w:val="632C66FE"/>
    <w:rsid w:val="63343EC4"/>
    <w:rsid w:val="63686398"/>
    <w:rsid w:val="63692C60"/>
    <w:rsid w:val="63A16F83"/>
    <w:rsid w:val="63F4318A"/>
    <w:rsid w:val="641E416B"/>
    <w:rsid w:val="642F3009"/>
    <w:rsid w:val="64362713"/>
    <w:rsid w:val="644011CB"/>
    <w:rsid w:val="648F5856"/>
    <w:rsid w:val="64925346"/>
    <w:rsid w:val="64BE6D5A"/>
    <w:rsid w:val="64DE058B"/>
    <w:rsid w:val="64F733FB"/>
    <w:rsid w:val="64F92C4B"/>
    <w:rsid w:val="65085530"/>
    <w:rsid w:val="650B0753"/>
    <w:rsid w:val="65190F88"/>
    <w:rsid w:val="651B17E0"/>
    <w:rsid w:val="652C6D94"/>
    <w:rsid w:val="653437DC"/>
    <w:rsid w:val="655175E3"/>
    <w:rsid w:val="65556AA0"/>
    <w:rsid w:val="65564764"/>
    <w:rsid w:val="656B7D70"/>
    <w:rsid w:val="65757142"/>
    <w:rsid w:val="6576752A"/>
    <w:rsid w:val="65B077B6"/>
    <w:rsid w:val="65BC6B1F"/>
    <w:rsid w:val="65D6080C"/>
    <w:rsid w:val="65D72025"/>
    <w:rsid w:val="65E971E8"/>
    <w:rsid w:val="661C29B8"/>
    <w:rsid w:val="663F14FE"/>
    <w:rsid w:val="663F52CD"/>
    <w:rsid w:val="664F4EF8"/>
    <w:rsid w:val="66505C5B"/>
    <w:rsid w:val="6656341C"/>
    <w:rsid w:val="66650F64"/>
    <w:rsid w:val="666672FA"/>
    <w:rsid w:val="66680690"/>
    <w:rsid w:val="667411A7"/>
    <w:rsid w:val="667D3C58"/>
    <w:rsid w:val="66807981"/>
    <w:rsid w:val="669E7B85"/>
    <w:rsid w:val="66A45059"/>
    <w:rsid w:val="66BC48FC"/>
    <w:rsid w:val="66CD08B8"/>
    <w:rsid w:val="66CD3C37"/>
    <w:rsid w:val="66CE38A5"/>
    <w:rsid w:val="66E0683D"/>
    <w:rsid w:val="66E916EE"/>
    <w:rsid w:val="67010952"/>
    <w:rsid w:val="670342D9"/>
    <w:rsid w:val="67050051"/>
    <w:rsid w:val="670562A3"/>
    <w:rsid w:val="67193FC0"/>
    <w:rsid w:val="67346B89"/>
    <w:rsid w:val="675E5725"/>
    <w:rsid w:val="676F27E8"/>
    <w:rsid w:val="67A32996"/>
    <w:rsid w:val="67B51A77"/>
    <w:rsid w:val="67DF08A2"/>
    <w:rsid w:val="681028C8"/>
    <w:rsid w:val="6826002E"/>
    <w:rsid w:val="683A5644"/>
    <w:rsid w:val="684F3C7A"/>
    <w:rsid w:val="685549B8"/>
    <w:rsid w:val="686E1C26"/>
    <w:rsid w:val="68724A57"/>
    <w:rsid w:val="687B2B1D"/>
    <w:rsid w:val="68824E43"/>
    <w:rsid w:val="6884044F"/>
    <w:rsid w:val="688651C2"/>
    <w:rsid w:val="68876C44"/>
    <w:rsid w:val="68B0367A"/>
    <w:rsid w:val="68CC36DA"/>
    <w:rsid w:val="68D73C6F"/>
    <w:rsid w:val="68E24AEE"/>
    <w:rsid w:val="68F77E6E"/>
    <w:rsid w:val="690A7BA1"/>
    <w:rsid w:val="692C5D69"/>
    <w:rsid w:val="692D388F"/>
    <w:rsid w:val="69393D31"/>
    <w:rsid w:val="69540F03"/>
    <w:rsid w:val="696A0640"/>
    <w:rsid w:val="69706409"/>
    <w:rsid w:val="69780FAF"/>
    <w:rsid w:val="69794B1B"/>
    <w:rsid w:val="697C473B"/>
    <w:rsid w:val="69804EEA"/>
    <w:rsid w:val="69B77069"/>
    <w:rsid w:val="69C75BB9"/>
    <w:rsid w:val="69E4560E"/>
    <w:rsid w:val="69EE1271"/>
    <w:rsid w:val="69F10D61"/>
    <w:rsid w:val="69FF6FDA"/>
    <w:rsid w:val="6A10568B"/>
    <w:rsid w:val="6A1231B1"/>
    <w:rsid w:val="6A227200"/>
    <w:rsid w:val="6A576E16"/>
    <w:rsid w:val="6A57741E"/>
    <w:rsid w:val="6A6427F1"/>
    <w:rsid w:val="6A774BF8"/>
    <w:rsid w:val="6A86769D"/>
    <w:rsid w:val="6A9A0475"/>
    <w:rsid w:val="6AA808C2"/>
    <w:rsid w:val="6AC15345"/>
    <w:rsid w:val="6AD21337"/>
    <w:rsid w:val="6AEF34F2"/>
    <w:rsid w:val="6B01111E"/>
    <w:rsid w:val="6B1770D5"/>
    <w:rsid w:val="6B1E16E2"/>
    <w:rsid w:val="6B2C19D0"/>
    <w:rsid w:val="6B513865"/>
    <w:rsid w:val="6B5A456C"/>
    <w:rsid w:val="6B5E67A6"/>
    <w:rsid w:val="6B607F4C"/>
    <w:rsid w:val="6B6A52CA"/>
    <w:rsid w:val="6B75365C"/>
    <w:rsid w:val="6B911037"/>
    <w:rsid w:val="6BBC1ABA"/>
    <w:rsid w:val="6BC9726D"/>
    <w:rsid w:val="6BD73C21"/>
    <w:rsid w:val="6BD93A83"/>
    <w:rsid w:val="6BDB3F03"/>
    <w:rsid w:val="6BE04F09"/>
    <w:rsid w:val="6BF61708"/>
    <w:rsid w:val="6C1B3E73"/>
    <w:rsid w:val="6C270A6A"/>
    <w:rsid w:val="6C4C04D0"/>
    <w:rsid w:val="6C6B4DFB"/>
    <w:rsid w:val="6C8921AB"/>
    <w:rsid w:val="6CB93DB8"/>
    <w:rsid w:val="6CD02EB0"/>
    <w:rsid w:val="6D4577A7"/>
    <w:rsid w:val="6D7C4FFE"/>
    <w:rsid w:val="6DA57E98"/>
    <w:rsid w:val="6DB15184"/>
    <w:rsid w:val="6DB90839"/>
    <w:rsid w:val="6DBD1686"/>
    <w:rsid w:val="6DC0096D"/>
    <w:rsid w:val="6DDD7A31"/>
    <w:rsid w:val="6DE903CE"/>
    <w:rsid w:val="6DEF7365"/>
    <w:rsid w:val="6E14501E"/>
    <w:rsid w:val="6E296D1B"/>
    <w:rsid w:val="6E4E2BDE"/>
    <w:rsid w:val="6E573394"/>
    <w:rsid w:val="6E790ADC"/>
    <w:rsid w:val="6E8E4DD0"/>
    <w:rsid w:val="6E8F57E5"/>
    <w:rsid w:val="6E9F6F9C"/>
    <w:rsid w:val="6EB8009F"/>
    <w:rsid w:val="6EBF4F8A"/>
    <w:rsid w:val="6ED113E0"/>
    <w:rsid w:val="6EFC3163"/>
    <w:rsid w:val="6F101C89"/>
    <w:rsid w:val="6F12155D"/>
    <w:rsid w:val="6F1D1E58"/>
    <w:rsid w:val="6F321C00"/>
    <w:rsid w:val="6F5013AD"/>
    <w:rsid w:val="6F616B88"/>
    <w:rsid w:val="6F6D3C7A"/>
    <w:rsid w:val="6F6F1968"/>
    <w:rsid w:val="6F8B1389"/>
    <w:rsid w:val="6F993A2D"/>
    <w:rsid w:val="6FD0517F"/>
    <w:rsid w:val="6FEC1DAE"/>
    <w:rsid w:val="6FEF189F"/>
    <w:rsid w:val="6FFB1FE2"/>
    <w:rsid w:val="6FFB4AA2"/>
    <w:rsid w:val="6FFD220E"/>
    <w:rsid w:val="702035C6"/>
    <w:rsid w:val="702A0B29"/>
    <w:rsid w:val="703C4BFF"/>
    <w:rsid w:val="70820965"/>
    <w:rsid w:val="709661BE"/>
    <w:rsid w:val="70996D42"/>
    <w:rsid w:val="70AA3CDC"/>
    <w:rsid w:val="70C94717"/>
    <w:rsid w:val="70CE5958"/>
    <w:rsid w:val="70DF5DB7"/>
    <w:rsid w:val="70F760A2"/>
    <w:rsid w:val="71073C04"/>
    <w:rsid w:val="710D4B86"/>
    <w:rsid w:val="7112568E"/>
    <w:rsid w:val="71165902"/>
    <w:rsid w:val="711C2CCD"/>
    <w:rsid w:val="713D2BC5"/>
    <w:rsid w:val="715F26CF"/>
    <w:rsid w:val="716562BC"/>
    <w:rsid w:val="71722787"/>
    <w:rsid w:val="718D5813"/>
    <w:rsid w:val="719060E6"/>
    <w:rsid w:val="719A2245"/>
    <w:rsid w:val="71A62431"/>
    <w:rsid w:val="71A861A9"/>
    <w:rsid w:val="71B84F9A"/>
    <w:rsid w:val="71BE3F26"/>
    <w:rsid w:val="71C31235"/>
    <w:rsid w:val="71CF7BDA"/>
    <w:rsid w:val="71D53F0D"/>
    <w:rsid w:val="71D759D6"/>
    <w:rsid w:val="71DD0FE3"/>
    <w:rsid w:val="71FE401B"/>
    <w:rsid w:val="720F7FD6"/>
    <w:rsid w:val="7249173A"/>
    <w:rsid w:val="724D0AFE"/>
    <w:rsid w:val="728231EA"/>
    <w:rsid w:val="72866971"/>
    <w:rsid w:val="729624A5"/>
    <w:rsid w:val="72A80CDA"/>
    <w:rsid w:val="72AD7C3F"/>
    <w:rsid w:val="72C267D6"/>
    <w:rsid w:val="72CA214F"/>
    <w:rsid w:val="72DF36F4"/>
    <w:rsid w:val="72E462A1"/>
    <w:rsid w:val="730A49CC"/>
    <w:rsid w:val="730D1291"/>
    <w:rsid w:val="732019EA"/>
    <w:rsid w:val="733477EC"/>
    <w:rsid w:val="73530396"/>
    <w:rsid w:val="73813F7F"/>
    <w:rsid w:val="73816CB2"/>
    <w:rsid w:val="73833855"/>
    <w:rsid w:val="73A62BBC"/>
    <w:rsid w:val="73F90AAD"/>
    <w:rsid w:val="7419506C"/>
    <w:rsid w:val="74221C16"/>
    <w:rsid w:val="74235FBB"/>
    <w:rsid w:val="7431442E"/>
    <w:rsid w:val="74654825"/>
    <w:rsid w:val="74666E87"/>
    <w:rsid w:val="74695916"/>
    <w:rsid w:val="7498705D"/>
    <w:rsid w:val="74A278C7"/>
    <w:rsid w:val="74AB60CD"/>
    <w:rsid w:val="74D2571A"/>
    <w:rsid w:val="75023E22"/>
    <w:rsid w:val="750758DC"/>
    <w:rsid w:val="750A2CD7"/>
    <w:rsid w:val="75366A7D"/>
    <w:rsid w:val="75510906"/>
    <w:rsid w:val="755A45F7"/>
    <w:rsid w:val="75697BDD"/>
    <w:rsid w:val="757A60AE"/>
    <w:rsid w:val="757E5B9F"/>
    <w:rsid w:val="75A4278F"/>
    <w:rsid w:val="75CB674E"/>
    <w:rsid w:val="75CF01A8"/>
    <w:rsid w:val="75D12725"/>
    <w:rsid w:val="75DF28DA"/>
    <w:rsid w:val="75E572F8"/>
    <w:rsid w:val="75F24068"/>
    <w:rsid w:val="75F90711"/>
    <w:rsid w:val="760039B8"/>
    <w:rsid w:val="7618684D"/>
    <w:rsid w:val="7625426C"/>
    <w:rsid w:val="762C0D71"/>
    <w:rsid w:val="763F1AD3"/>
    <w:rsid w:val="76400D44"/>
    <w:rsid w:val="7666452D"/>
    <w:rsid w:val="766C3657"/>
    <w:rsid w:val="7671704A"/>
    <w:rsid w:val="767D7551"/>
    <w:rsid w:val="768F04B9"/>
    <w:rsid w:val="7691545E"/>
    <w:rsid w:val="76947DF7"/>
    <w:rsid w:val="76A154AD"/>
    <w:rsid w:val="76A209B0"/>
    <w:rsid w:val="76AE4262"/>
    <w:rsid w:val="76B178AE"/>
    <w:rsid w:val="76BA05D5"/>
    <w:rsid w:val="76FF32C8"/>
    <w:rsid w:val="770E2F52"/>
    <w:rsid w:val="771B741D"/>
    <w:rsid w:val="77613082"/>
    <w:rsid w:val="77617526"/>
    <w:rsid w:val="77647E19"/>
    <w:rsid w:val="77672662"/>
    <w:rsid w:val="777C1218"/>
    <w:rsid w:val="779104F2"/>
    <w:rsid w:val="77955421"/>
    <w:rsid w:val="77980A6E"/>
    <w:rsid w:val="77D210A2"/>
    <w:rsid w:val="77F113C2"/>
    <w:rsid w:val="77F57C6E"/>
    <w:rsid w:val="78044812"/>
    <w:rsid w:val="780C6C91"/>
    <w:rsid w:val="781A6380"/>
    <w:rsid w:val="78373F69"/>
    <w:rsid w:val="78395DAD"/>
    <w:rsid w:val="78447384"/>
    <w:rsid w:val="7847671C"/>
    <w:rsid w:val="785B21C7"/>
    <w:rsid w:val="786B375F"/>
    <w:rsid w:val="788C1A72"/>
    <w:rsid w:val="7895365B"/>
    <w:rsid w:val="789631FF"/>
    <w:rsid w:val="78A13CF9"/>
    <w:rsid w:val="78A33979"/>
    <w:rsid w:val="78BE62B2"/>
    <w:rsid w:val="78F92189"/>
    <w:rsid w:val="78F9553C"/>
    <w:rsid w:val="79002D6F"/>
    <w:rsid w:val="792735A3"/>
    <w:rsid w:val="79324CD1"/>
    <w:rsid w:val="7936356E"/>
    <w:rsid w:val="79384D4F"/>
    <w:rsid w:val="794B5F65"/>
    <w:rsid w:val="795B5078"/>
    <w:rsid w:val="79607369"/>
    <w:rsid w:val="79676F3A"/>
    <w:rsid w:val="7976434C"/>
    <w:rsid w:val="797B4CD9"/>
    <w:rsid w:val="797E741B"/>
    <w:rsid w:val="798C03A0"/>
    <w:rsid w:val="799967CA"/>
    <w:rsid w:val="79B27B43"/>
    <w:rsid w:val="79C6620A"/>
    <w:rsid w:val="79CB0C87"/>
    <w:rsid w:val="79D33FDF"/>
    <w:rsid w:val="79D56E83"/>
    <w:rsid w:val="79E45EA2"/>
    <w:rsid w:val="79F006ED"/>
    <w:rsid w:val="79FD5487"/>
    <w:rsid w:val="7A5E74D2"/>
    <w:rsid w:val="7A5F4F53"/>
    <w:rsid w:val="7A782F54"/>
    <w:rsid w:val="7A861051"/>
    <w:rsid w:val="7A98471A"/>
    <w:rsid w:val="7AD2210B"/>
    <w:rsid w:val="7AF4145B"/>
    <w:rsid w:val="7B063163"/>
    <w:rsid w:val="7B074CF1"/>
    <w:rsid w:val="7B101690"/>
    <w:rsid w:val="7B334E2A"/>
    <w:rsid w:val="7B66200D"/>
    <w:rsid w:val="7B6E3FBF"/>
    <w:rsid w:val="7B7D06A6"/>
    <w:rsid w:val="7B95754E"/>
    <w:rsid w:val="7BB57E40"/>
    <w:rsid w:val="7BC01466"/>
    <w:rsid w:val="7BC01697"/>
    <w:rsid w:val="7BC56685"/>
    <w:rsid w:val="7BD63D4A"/>
    <w:rsid w:val="7C102ACF"/>
    <w:rsid w:val="7C1521AD"/>
    <w:rsid w:val="7C1F57B6"/>
    <w:rsid w:val="7C217284"/>
    <w:rsid w:val="7C286D20"/>
    <w:rsid w:val="7C4A4A2C"/>
    <w:rsid w:val="7C517901"/>
    <w:rsid w:val="7C6F4493"/>
    <w:rsid w:val="7C7970C0"/>
    <w:rsid w:val="7C7A54D9"/>
    <w:rsid w:val="7C977546"/>
    <w:rsid w:val="7C9F6F7F"/>
    <w:rsid w:val="7CB81683"/>
    <w:rsid w:val="7CBC034F"/>
    <w:rsid w:val="7CCD2F68"/>
    <w:rsid w:val="7CF84488"/>
    <w:rsid w:val="7D0C5AAA"/>
    <w:rsid w:val="7D23449E"/>
    <w:rsid w:val="7D5A6A70"/>
    <w:rsid w:val="7D787377"/>
    <w:rsid w:val="7D935F5F"/>
    <w:rsid w:val="7DA7288C"/>
    <w:rsid w:val="7DAC0DCF"/>
    <w:rsid w:val="7DB91452"/>
    <w:rsid w:val="7DB94178"/>
    <w:rsid w:val="7DBA173E"/>
    <w:rsid w:val="7DC36B25"/>
    <w:rsid w:val="7DDD71DA"/>
    <w:rsid w:val="7E05083C"/>
    <w:rsid w:val="7E097308"/>
    <w:rsid w:val="7E271A86"/>
    <w:rsid w:val="7E2C016F"/>
    <w:rsid w:val="7E3C03A5"/>
    <w:rsid w:val="7E490D14"/>
    <w:rsid w:val="7E534427"/>
    <w:rsid w:val="7E5570D2"/>
    <w:rsid w:val="7E5A6A7D"/>
    <w:rsid w:val="7E6671D0"/>
    <w:rsid w:val="7E7C4C45"/>
    <w:rsid w:val="7E7F0292"/>
    <w:rsid w:val="7EAC4AB6"/>
    <w:rsid w:val="7EB411D0"/>
    <w:rsid w:val="7EB81375"/>
    <w:rsid w:val="7EC16806"/>
    <w:rsid w:val="7EC62683"/>
    <w:rsid w:val="7EE12358"/>
    <w:rsid w:val="7EFA7860"/>
    <w:rsid w:val="7F0B7AFA"/>
    <w:rsid w:val="7F152CD2"/>
    <w:rsid w:val="7F1D4898"/>
    <w:rsid w:val="7F2619A9"/>
    <w:rsid w:val="7F274DBF"/>
    <w:rsid w:val="7F2860D3"/>
    <w:rsid w:val="7F492E62"/>
    <w:rsid w:val="7F6D458E"/>
    <w:rsid w:val="7F800765"/>
    <w:rsid w:val="7F995383"/>
    <w:rsid w:val="7F9E1057"/>
    <w:rsid w:val="7F9E4249"/>
    <w:rsid w:val="7F9E49AD"/>
    <w:rsid w:val="7F9F508F"/>
    <w:rsid w:val="7FF07699"/>
    <w:rsid w:val="7FFD47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1"/>
    <w:basedOn w:val="1"/>
    <w:next w:val="1"/>
    <w:link w:val="55"/>
    <w:qFormat/>
    <w:uiPriority w:val="0"/>
    <w:pPr>
      <w:keepNext/>
      <w:outlineLvl w:val="0"/>
    </w:pPr>
    <w:rPr>
      <w:sz w:val="28"/>
    </w:rPr>
  </w:style>
  <w:style w:type="paragraph" w:styleId="4">
    <w:name w:val="heading 2"/>
    <w:basedOn w:val="1"/>
    <w:next w:val="1"/>
    <w:link w:val="63"/>
    <w:qFormat/>
    <w:uiPriority w:val="0"/>
    <w:pPr>
      <w:keepNext/>
      <w:keepLines/>
      <w:spacing w:before="260" w:after="260" w:line="413" w:lineRule="auto"/>
      <w:outlineLvl w:val="1"/>
    </w:pPr>
    <w:rPr>
      <w:rFonts w:ascii="Arial" w:hAnsi="Arial" w:eastAsia="黑体"/>
      <w:b/>
      <w:bCs/>
      <w:kern w:val="2"/>
      <w:sz w:val="32"/>
      <w:szCs w:val="32"/>
    </w:rPr>
  </w:style>
  <w:style w:type="paragraph" w:styleId="5">
    <w:name w:val="heading 3"/>
    <w:basedOn w:val="1"/>
    <w:next w:val="1"/>
    <w:link w:val="67"/>
    <w:qFormat/>
    <w:uiPriority w:val="0"/>
    <w:pPr>
      <w:keepNext/>
      <w:keepLines/>
      <w:adjustRightInd w:val="0"/>
      <w:snapToGrid w:val="0"/>
      <w:spacing w:before="100" w:beforeAutospacing="1" w:after="100" w:afterAutospacing="1" w:line="360" w:lineRule="auto"/>
      <w:jc w:val="left"/>
      <w:outlineLvl w:val="2"/>
    </w:pPr>
    <w:rPr>
      <w:bCs/>
      <w:sz w:val="24"/>
      <w:szCs w:val="32"/>
    </w:rPr>
  </w:style>
  <w:style w:type="paragraph" w:styleId="6">
    <w:name w:val="heading 4"/>
    <w:basedOn w:val="1"/>
    <w:next w:val="1"/>
    <w:link w:val="61"/>
    <w:qFormat/>
    <w:uiPriority w:val="0"/>
    <w:pPr>
      <w:keepNext/>
      <w:keepLines/>
      <w:spacing w:before="280" w:after="290" w:line="376" w:lineRule="auto"/>
      <w:outlineLvl w:val="3"/>
    </w:pPr>
    <w:rPr>
      <w:rFonts w:ascii="Arial" w:hAnsi="Arial" w:eastAsia="黑体"/>
      <w:b/>
      <w:bCs/>
      <w:kern w:val="2"/>
      <w:sz w:val="28"/>
      <w:szCs w:val="28"/>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64"/>
    <w:unhideWhenUsed/>
    <w:qFormat/>
    <w:uiPriority w:val="99"/>
    <w:rPr>
      <w:rFonts w:hAnsi="Courier New"/>
      <w:kern w:val="2"/>
      <w:sz w:val="21"/>
      <w:szCs w:val="21"/>
    </w:rPr>
  </w:style>
  <w:style w:type="paragraph" w:styleId="7">
    <w:name w:val="List 3"/>
    <w:basedOn w:val="1"/>
    <w:qFormat/>
    <w:uiPriority w:val="0"/>
    <w:pPr>
      <w:ind w:left="100" w:leftChars="400" w:hanging="200" w:hangingChars="200"/>
    </w:pPr>
  </w:style>
  <w:style w:type="paragraph" w:styleId="8">
    <w:name w:val="toc 7"/>
    <w:basedOn w:val="1"/>
    <w:next w:val="1"/>
    <w:qFormat/>
    <w:uiPriority w:val="39"/>
    <w:pPr>
      <w:ind w:left="2520" w:leftChars="1200"/>
    </w:pPr>
  </w:style>
  <w:style w:type="paragraph" w:styleId="9">
    <w:name w:val="Normal Indent"/>
    <w:basedOn w:val="1"/>
    <w:link w:val="50"/>
    <w:qFormat/>
    <w:uiPriority w:val="0"/>
    <w:pPr>
      <w:ind w:firstLine="420"/>
    </w:pPr>
    <w:rPr>
      <w:rFonts w:ascii="Times New Roman"/>
      <w:kern w:val="2"/>
      <w:sz w:val="21"/>
    </w:rPr>
  </w:style>
  <w:style w:type="paragraph" w:styleId="10">
    <w:name w:val="caption"/>
    <w:basedOn w:val="1"/>
    <w:next w:val="1"/>
    <w:qFormat/>
    <w:uiPriority w:val="0"/>
    <w:rPr>
      <w:rFonts w:ascii="Arial" w:hAnsi="Arial" w:eastAsia="黑体" w:cs="Arial"/>
      <w:sz w:val="20"/>
    </w:rPr>
  </w:style>
  <w:style w:type="paragraph" w:styleId="11">
    <w:name w:val="Document Map"/>
    <w:basedOn w:val="1"/>
    <w:link w:val="74"/>
    <w:unhideWhenUsed/>
    <w:qFormat/>
    <w:uiPriority w:val="99"/>
    <w:rPr>
      <w:kern w:val="2"/>
      <w:sz w:val="18"/>
      <w:szCs w:val="18"/>
    </w:rPr>
  </w:style>
  <w:style w:type="paragraph" w:styleId="12">
    <w:name w:val="annotation text"/>
    <w:basedOn w:val="1"/>
    <w:link w:val="58"/>
    <w:unhideWhenUsed/>
    <w:qFormat/>
    <w:uiPriority w:val="99"/>
    <w:pPr>
      <w:jc w:val="left"/>
    </w:pPr>
  </w:style>
  <w:style w:type="paragraph" w:styleId="13">
    <w:name w:val="Body Text"/>
    <w:basedOn w:val="1"/>
    <w:link w:val="76"/>
    <w:qFormat/>
    <w:uiPriority w:val="0"/>
    <w:pPr>
      <w:spacing w:after="120"/>
    </w:pPr>
  </w:style>
  <w:style w:type="paragraph" w:styleId="14">
    <w:name w:val="Body Text Indent"/>
    <w:basedOn w:val="1"/>
    <w:link w:val="68"/>
    <w:qFormat/>
    <w:uiPriority w:val="0"/>
    <w:pPr>
      <w:autoSpaceDE w:val="0"/>
      <w:autoSpaceDN w:val="0"/>
      <w:adjustRightInd w:val="0"/>
      <w:spacing w:line="360" w:lineRule="auto"/>
      <w:ind w:firstLine="480"/>
      <w:jc w:val="left"/>
    </w:pPr>
    <w:rPr>
      <w:rFonts w:hAnsi="宋体"/>
      <w:sz w:val="24"/>
    </w:rPr>
  </w:style>
  <w:style w:type="paragraph" w:styleId="15">
    <w:name w:val="List 2"/>
    <w:basedOn w:val="1"/>
    <w:qFormat/>
    <w:uiPriority w:val="0"/>
    <w:pPr>
      <w:ind w:left="100" w:leftChars="200" w:hanging="200" w:hangingChars="200"/>
    </w:pPr>
  </w:style>
  <w:style w:type="paragraph" w:styleId="16">
    <w:name w:val="List Continue"/>
    <w:basedOn w:val="1"/>
    <w:qFormat/>
    <w:uiPriority w:val="0"/>
    <w:pPr>
      <w:spacing w:after="120"/>
      <w:ind w:left="420" w:leftChars="200"/>
    </w:pPr>
  </w:style>
  <w:style w:type="paragraph" w:styleId="17">
    <w:name w:val="toc 5"/>
    <w:basedOn w:val="1"/>
    <w:next w:val="1"/>
    <w:qFormat/>
    <w:uiPriority w:val="39"/>
    <w:pPr>
      <w:ind w:left="1680" w:leftChars="800"/>
    </w:pPr>
  </w:style>
  <w:style w:type="paragraph" w:styleId="18">
    <w:name w:val="toc 3"/>
    <w:basedOn w:val="1"/>
    <w:next w:val="1"/>
    <w:qFormat/>
    <w:uiPriority w:val="39"/>
    <w:pPr>
      <w:ind w:left="840" w:leftChars="400"/>
    </w:pPr>
  </w:style>
  <w:style w:type="paragraph" w:styleId="19">
    <w:name w:val="toc 8"/>
    <w:basedOn w:val="1"/>
    <w:next w:val="1"/>
    <w:qFormat/>
    <w:uiPriority w:val="39"/>
    <w:pPr>
      <w:ind w:left="2940" w:leftChars="1400"/>
    </w:pPr>
  </w:style>
  <w:style w:type="paragraph" w:styleId="20">
    <w:name w:val="Date"/>
    <w:basedOn w:val="1"/>
    <w:next w:val="1"/>
    <w:link w:val="52"/>
    <w:qFormat/>
    <w:uiPriority w:val="0"/>
    <w:rPr>
      <w:sz w:val="28"/>
    </w:rPr>
  </w:style>
  <w:style w:type="paragraph" w:styleId="21">
    <w:name w:val="Body Text Indent 2"/>
    <w:basedOn w:val="1"/>
    <w:link w:val="62"/>
    <w:qFormat/>
    <w:uiPriority w:val="0"/>
    <w:pPr>
      <w:spacing w:after="120" w:line="480" w:lineRule="auto"/>
      <w:ind w:left="420" w:leftChars="200"/>
    </w:pPr>
  </w:style>
  <w:style w:type="paragraph" w:styleId="22">
    <w:name w:val="Balloon Text"/>
    <w:basedOn w:val="1"/>
    <w:link w:val="51"/>
    <w:qFormat/>
    <w:uiPriority w:val="99"/>
    <w:rPr>
      <w:sz w:val="18"/>
      <w:szCs w:val="18"/>
    </w:rPr>
  </w:style>
  <w:style w:type="paragraph" w:styleId="23">
    <w:name w:val="footer"/>
    <w:basedOn w:val="1"/>
    <w:link w:val="54"/>
    <w:qFormat/>
    <w:uiPriority w:val="99"/>
    <w:pPr>
      <w:tabs>
        <w:tab w:val="center" w:pos="4153"/>
        <w:tab w:val="right" w:pos="8306"/>
      </w:tabs>
      <w:snapToGrid w:val="0"/>
      <w:jc w:val="left"/>
    </w:pPr>
    <w:rPr>
      <w:sz w:val="18"/>
    </w:rPr>
  </w:style>
  <w:style w:type="paragraph" w:styleId="24">
    <w:name w:val="header"/>
    <w:basedOn w:val="1"/>
    <w:link w:val="7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ascii="Times New Roman"/>
      <w:sz w:val="18"/>
      <w:szCs w:val="18"/>
    </w:rPr>
  </w:style>
  <w:style w:type="paragraph" w:styleId="25">
    <w:name w:val="toc 1"/>
    <w:basedOn w:val="1"/>
    <w:next w:val="1"/>
    <w:qFormat/>
    <w:uiPriority w:val="39"/>
  </w:style>
  <w:style w:type="paragraph" w:styleId="26">
    <w:name w:val="toc 4"/>
    <w:basedOn w:val="1"/>
    <w:next w:val="1"/>
    <w:qFormat/>
    <w:uiPriority w:val="39"/>
    <w:pPr>
      <w:ind w:left="1260" w:leftChars="600"/>
    </w:pPr>
  </w:style>
  <w:style w:type="paragraph" w:styleId="27">
    <w:name w:val="List"/>
    <w:basedOn w:val="1"/>
    <w:qFormat/>
    <w:uiPriority w:val="0"/>
    <w:pPr>
      <w:ind w:left="200" w:hanging="200" w:hangingChars="200"/>
    </w:pPr>
  </w:style>
  <w:style w:type="paragraph" w:styleId="28">
    <w:name w:val="toc 6"/>
    <w:basedOn w:val="1"/>
    <w:next w:val="1"/>
    <w:qFormat/>
    <w:uiPriority w:val="39"/>
    <w:pPr>
      <w:ind w:left="2100" w:leftChars="1000"/>
    </w:pPr>
  </w:style>
  <w:style w:type="paragraph" w:styleId="29">
    <w:name w:val="List 5"/>
    <w:basedOn w:val="1"/>
    <w:qFormat/>
    <w:uiPriority w:val="0"/>
    <w:pPr>
      <w:ind w:left="100" w:leftChars="800" w:hanging="200" w:hangingChars="200"/>
    </w:pPr>
  </w:style>
  <w:style w:type="paragraph" w:styleId="30">
    <w:name w:val="Body Text Indent 3"/>
    <w:basedOn w:val="1"/>
    <w:link w:val="59"/>
    <w:qFormat/>
    <w:uiPriority w:val="0"/>
    <w:pPr>
      <w:spacing w:after="120"/>
      <w:ind w:left="420" w:leftChars="200"/>
    </w:pPr>
    <w:rPr>
      <w:rFonts w:ascii="Times New Roman"/>
      <w:sz w:val="16"/>
      <w:szCs w:val="16"/>
    </w:rPr>
  </w:style>
  <w:style w:type="paragraph" w:styleId="31">
    <w:name w:val="toc 2"/>
    <w:basedOn w:val="1"/>
    <w:next w:val="1"/>
    <w:qFormat/>
    <w:uiPriority w:val="39"/>
    <w:pPr>
      <w:ind w:left="420" w:leftChars="200"/>
    </w:pPr>
  </w:style>
  <w:style w:type="paragraph" w:styleId="32">
    <w:name w:val="toc 9"/>
    <w:basedOn w:val="1"/>
    <w:next w:val="1"/>
    <w:qFormat/>
    <w:uiPriority w:val="39"/>
    <w:pPr>
      <w:ind w:left="3360" w:leftChars="1600"/>
    </w:pPr>
  </w:style>
  <w:style w:type="paragraph" w:styleId="33">
    <w:name w:val="List 4"/>
    <w:basedOn w:val="1"/>
    <w:qFormat/>
    <w:uiPriority w:val="0"/>
    <w:pPr>
      <w:ind w:left="100" w:leftChars="600" w:hanging="200" w:hangingChars="200"/>
    </w:pPr>
  </w:style>
  <w:style w:type="paragraph" w:styleId="34">
    <w:name w:val="List Continue 2"/>
    <w:basedOn w:val="1"/>
    <w:qFormat/>
    <w:uiPriority w:val="0"/>
    <w:pPr>
      <w:spacing w:after="120"/>
      <w:ind w:left="840" w:leftChars="400"/>
    </w:pPr>
  </w:style>
  <w:style w:type="paragraph" w:styleId="35">
    <w:name w:val="Normal (Web)"/>
    <w:basedOn w:val="1"/>
    <w:unhideWhenUsed/>
    <w:qFormat/>
    <w:uiPriority w:val="99"/>
    <w:pPr>
      <w:widowControl/>
      <w:spacing w:before="100" w:beforeAutospacing="1" w:after="100" w:afterAutospacing="1"/>
      <w:jc w:val="left"/>
    </w:pPr>
    <w:rPr>
      <w:rFonts w:hAnsi="宋体" w:cs="宋体"/>
      <w:sz w:val="24"/>
      <w:szCs w:val="24"/>
    </w:rPr>
  </w:style>
  <w:style w:type="paragraph" w:styleId="36">
    <w:name w:val="List Continue 3"/>
    <w:basedOn w:val="1"/>
    <w:qFormat/>
    <w:uiPriority w:val="0"/>
    <w:pPr>
      <w:spacing w:after="120"/>
      <w:ind w:left="1260" w:leftChars="600"/>
    </w:pPr>
  </w:style>
  <w:style w:type="paragraph" w:styleId="37">
    <w:name w:val="annotation subject"/>
    <w:basedOn w:val="12"/>
    <w:next w:val="12"/>
    <w:link w:val="65"/>
    <w:unhideWhenUsed/>
    <w:qFormat/>
    <w:uiPriority w:val="99"/>
    <w:rPr>
      <w:b/>
      <w:bCs/>
    </w:rPr>
  </w:style>
  <w:style w:type="paragraph" w:styleId="38">
    <w:name w:val="Body Text First Indent"/>
    <w:basedOn w:val="13"/>
    <w:next w:val="13"/>
    <w:link w:val="70"/>
    <w:qFormat/>
    <w:uiPriority w:val="0"/>
    <w:pPr>
      <w:ind w:firstLine="420" w:firstLineChars="100"/>
    </w:pPr>
  </w:style>
  <w:style w:type="paragraph" w:styleId="39">
    <w:name w:val="Body Text First Indent 2"/>
    <w:basedOn w:val="14"/>
    <w:link w:val="60"/>
    <w:qFormat/>
    <w:uiPriority w:val="0"/>
    <w:pPr>
      <w:autoSpaceDE/>
      <w:autoSpaceDN/>
      <w:adjustRightInd/>
      <w:spacing w:after="120" w:line="240" w:lineRule="auto"/>
      <w:ind w:left="420" w:leftChars="200" w:firstLine="420" w:firstLineChars="200"/>
      <w:jc w:val="both"/>
    </w:pPr>
    <w:rPr>
      <w:kern w:val="2"/>
      <w:sz w:val="21"/>
    </w:rPr>
  </w:style>
  <w:style w:type="table" w:styleId="41">
    <w:name w:val="Table Grid"/>
    <w:basedOn w:val="4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basedOn w:val="42"/>
    <w:qFormat/>
    <w:uiPriority w:val="22"/>
    <w:rPr>
      <w:b/>
    </w:rPr>
  </w:style>
  <w:style w:type="character" w:styleId="44">
    <w:name w:val="page number"/>
    <w:qFormat/>
    <w:uiPriority w:val="0"/>
  </w:style>
  <w:style w:type="character" w:styleId="45">
    <w:name w:val="FollowedHyperlink"/>
    <w:unhideWhenUsed/>
    <w:qFormat/>
    <w:uiPriority w:val="99"/>
    <w:rPr>
      <w:color w:val="800080"/>
      <w:u w:val="single"/>
    </w:rPr>
  </w:style>
  <w:style w:type="character" w:styleId="46">
    <w:name w:val="Hyperlink"/>
    <w:qFormat/>
    <w:uiPriority w:val="99"/>
    <w:rPr>
      <w:color w:val="0000FF"/>
      <w:u w:val="single"/>
    </w:rPr>
  </w:style>
  <w:style w:type="character" w:styleId="47">
    <w:name w:val="annotation reference"/>
    <w:unhideWhenUsed/>
    <w:qFormat/>
    <w:uiPriority w:val="99"/>
    <w:rPr>
      <w:sz w:val="21"/>
      <w:szCs w:val="21"/>
    </w:rPr>
  </w:style>
  <w:style w:type="character" w:customStyle="1" w:styleId="48">
    <w:name w:val="font61"/>
    <w:basedOn w:val="42"/>
    <w:qFormat/>
    <w:uiPriority w:val="0"/>
    <w:rPr>
      <w:rFonts w:hint="default" w:ascii="等线" w:hAnsi="等线" w:eastAsia="等线" w:cs="等线"/>
      <w:b/>
      <w:color w:val="000000"/>
      <w:sz w:val="18"/>
      <w:szCs w:val="18"/>
      <w:u w:val="none"/>
    </w:rPr>
  </w:style>
  <w:style w:type="character" w:customStyle="1" w:styleId="49">
    <w:name w:val="font41"/>
    <w:qFormat/>
    <w:uiPriority w:val="99"/>
    <w:rPr>
      <w:rFonts w:ascii="宋体" w:hAnsi="宋体" w:eastAsia="宋体" w:cs="宋体"/>
      <w:color w:val="000000"/>
      <w:sz w:val="16"/>
      <w:szCs w:val="16"/>
      <w:u w:val="none"/>
    </w:rPr>
  </w:style>
  <w:style w:type="character" w:customStyle="1" w:styleId="50">
    <w:name w:val="正文缩进 Char"/>
    <w:link w:val="9"/>
    <w:qFormat/>
    <w:uiPriority w:val="0"/>
    <w:rPr>
      <w:kern w:val="2"/>
      <w:sz w:val="21"/>
    </w:rPr>
  </w:style>
  <w:style w:type="character" w:customStyle="1" w:styleId="51">
    <w:name w:val="批注框文本 Char"/>
    <w:link w:val="22"/>
    <w:qFormat/>
    <w:uiPriority w:val="99"/>
    <w:rPr>
      <w:rFonts w:ascii="宋体"/>
      <w:sz w:val="18"/>
      <w:szCs w:val="18"/>
    </w:rPr>
  </w:style>
  <w:style w:type="character" w:customStyle="1" w:styleId="52">
    <w:name w:val="日期 Char"/>
    <w:link w:val="20"/>
    <w:qFormat/>
    <w:uiPriority w:val="0"/>
    <w:rPr>
      <w:rFonts w:ascii="宋体"/>
      <w:sz w:val="28"/>
    </w:rPr>
  </w:style>
  <w:style w:type="character" w:customStyle="1" w:styleId="53">
    <w:name w:val="Char Char Char"/>
    <w:qFormat/>
    <w:uiPriority w:val="0"/>
    <w:rPr>
      <w:rFonts w:ascii="宋体" w:eastAsia="宋体"/>
      <w:sz w:val="21"/>
      <w:szCs w:val="21"/>
      <w:lang w:val="en-US" w:eastAsia="zh-CN"/>
    </w:rPr>
  </w:style>
  <w:style w:type="character" w:customStyle="1" w:styleId="54">
    <w:name w:val="页脚 Char"/>
    <w:link w:val="23"/>
    <w:qFormat/>
    <w:uiPriority w:val="99"/>
    <w:rPr>
      <w:rFonts w:ascii="宋体"/>
      <w:sz w:val="18"/>
    </w:rPr>
  </w:style>
  <w:style w:type="character" w:customStyle="1" w:styleId="55">
    <w:name w:val="标题 1 Char"/>
    <w:link w:val="3"/>
    <w:qFormat/>
    <w:uiPriority w:val="0"/>
    <w:rPr>
      <w:rFonts w:ascii="宋体"/>
      <w:sz w:val="28"/>
    </w:rPr>
  </w:style>
  <w:style w:type="character" w:customStyle="1" w:styleId="56">
    <w:name w:val="font21"/>
    <w:qFormat/>
    <w:uiPriority w:val="99"/>
    <w:rPr>
      <w:rFonts w:hint="eastAsia" w:ascii="宋体" w:hAnsi="宋体" w:eastAsia="宋体" w:cs="宋体"/>
      <w:color w:val="000000"/>
      <w:sz w:val="18"/>
      <w:szCs w:val="18"/>
      <w:u w:val="none"/>
    </w:rPr>
  </w:style>
  <w:style w:type="character" w:customStyle="1" w:styleId="57">
    <w:name w:val="font31"/>
    <w:basedOn w:val="42"/>
    <w:qFormat/>
    <w:uiPriority w:val="99"/>
    <w:rPr>
      <w:rFonts w:hint="default" w:ascii="等线" w:hAnsi="等线" w:eastAsia="等线" w:cs="等线"/>
      <w:color w:val="000000"/>
      <w:sz w:val="18"/>
      <w:szCs w:val="18"/>
      <w:u w:val="none"/>
    </w:rPr>
  </w:style>
  <w:style w:type="character" w:customStyle="1" w:styleId="58">
    <w:name w:val="批注文字 Char"/>
    <w:link w:val="12"/>
    <w:qFormat/>
    <w:uiPriority w:val="99"/>
    <w:rPr>
      <w:rFonts w:ascii="宋体"/>
      <w:sz w:val="34"/>
    </w:rPr>
  </w:style>
  <w:style w:type="character" w:customStyle="1" w:styleId="59">
    <w:name w:val="正文文本缩进 3 Char1"/>
    <w:link w:val="30"/>
    <w:qFormat/>
    <w:uiPriority w:val="0"/>
    <w:rPr>
      <w:sz w:val="16"/>
      <w:szCs w:val="16"/>
    </w:rPr>
  </w:style>
  <w:style w:type="character" w:customStyle="1" w:styleId="60">
    <w:name w:val="正文首行缩进 2 Char"/>
    <w:link w:val="39"/>
    <w:qFormat/>
    <w:uiPriority w:val="0"/>
    <w:rPr>
      <w:rFonts w:ascii="宋体" w:hAnsi="宋体"/>
      <w:kern w:val="2"/>
      <w:sz w:val="21"/>
    </w:rPr>
  </w:style>
  <w:style w:type="character" w:customStyle="1" w:styleId="61">
    <w:name w:val="标题 4 Char"/>
    <w:link w:val="6"/>
    <w:qFormat/>
    <w:uiPriority w:val="0"/>
    <w:rPr>
      <w:rFonts w:ascii="Arial" w:hAnsi="Arial" w:eastAsia="黑体"/>
      <w:b/>
      <w:bCs/>
      <w:kern w:val="2"/>
      <w:sz w:val="28"/>
      <w:szCs w:val="28"/>
    </w:rPr>
  </w:style>
  <w:style w:type="character" w:customStyle="1" w:styleId="62">
    <w:name w:val="正文文本缩进 2 Char"/>
    <w:link w:val="21"/>
    <w:qFormat/>
    <w:uiPriority w:val="0"/>
    <w:rPr>
      <w:rFonts w:ascii="宋体"/>
      <w:sz w:val="34"/>
    </w:rPr>
  </w:style>
  <w:style w:type="character" w:customStyle="1" w:styleId="63">
    <w:name w:val="标题 2 Char"/>
    <w:link w:val="4"/>
    <w:qFormat/>
    <w:uiPriority w:val="0"/>
    <w:rPr>
      <w:rFonts w:ascii="Arial" w:hAnsi="Arial" w:eastAsia="黑体"/>
      <w:b/>
      <w:bCs/>
      <w:kern w:val="2"/>
      <w:sz w:val="32"/>
      <w:szCs w:val="32"/>
      <w:lang w:val="en-US" w:eastAsia="zh-CN" w:bidi="ar-SA"/>
    </w:rPr>
  </w:style>
  <w:style w:type="character" w:customStyle="1" w:styleId="64">
    <w:name w:val="纯文本 Char"/>
    <w:link w:val="2"/>
    <w:qFormat/>
    <w:uiPriority w:val="99"/>
    <w:rPr>
      <w:rFonts w:ascii="宋体" w:hAnsi="Courier New" w:cs="Courier New"/>
      <w:kern w:val="2"/>
      <w:sz w:val="21"/>
      <w:szCs w:val="21"/>
    </w:rPr>
  </w:style>
  <w:style w:type="character" w:customStyle="1" w:styleId="65">
    <w:name w:val="批注主题 Char"/>
    <w:link w:val="37"/>
    <w:semiHidden/>
    <w:qFormat/>
    <w:uiPriority w:val="99"/>
    <w:rPr>
      <w:rFonts w:ascii="宋体"/>
      <w:b/>
      <w:bCs/>
      <w:sz w:val="34"/>
    </w:rPr>
  </w:style>
  <w:style w:type="character" w:customStyle="1" w:styleId="66">
    <w:name w:val="font81"/>
    <w:qFormat/>
    <w:uiPriority w:val="0"/>
    <w:rPr>
      <w:rFonts w:hint="eastAsia" w:ascii="宋体" w:hAnsi="宋体" w:eastAsia="宋体" w:cs="宋体"/>
      <w:color w:val="000000"/>
      <w:sz w:val="18"/>
      <w:szCs w:val="18"/>
      <w:u w:val="none"/>
    </w:rPr>
  </w:style>
  <w:style w:type="character" w:customStyle="1" w:styleId="67">
    <w:name w:val="标题 3 Char"/>
    <w:link w:val="5"/>
    <w:qFormat/>
    <w:uiPriority w:val="0"/>
    <w:rPr>
      <w:rFonts w:ascii="宋体"/>
      <w:bCs/>
      <w:sz w:val="24"/>
      <w:szCs w:val="32"/>
    </w:rPr>
  </w:style>
  <w:style w:type="character" w:customStyle="1" w:styleId="68">
    <w:name w:val="正文文本缩进 Char"/>
    <w:link w:val="14"/>
    <w:qFormat/>
    <w:uiPriority w:val="0"/>
    <w:rPr>
      <w:rFonts w:ascii="宋体" w:hAnsi="宋体"/>
      <w:sz w:val="24"/>
    </w:rPr>
  </w:style>
  <w:style w:type="character" w:customStyle="1" w:styleId="69">
    <w:name w:val="文档结构图 Char1"/>
    <w:qFormat/>
    <w:uiPriority w:val="0"/>
    <w:rPr>
      <w:rFonts w:ascii="宋体"/>
      <w:sz w:val="18"/>
      <w:szCs w:val="18"/>
    </w:rPr>
  </w:style>
  <w:style w:type="character" w:customStyle="1" w:styleId="70">
    <w:name w:val="正文首行缩进 Char"/>
    <w:link w:val="38"/>
    <w:qFormat/>
    <w:uiPriority w:val="0"/>
  </w:style>
  <w:style w:type="character" w:customStyle="1" w:styleId="71">
    <w:name w:val="页眉 Char"/>
    <w:link w:val="24"/>
    <w:qFormat/>
    <w:uiPriority w:val="99"/>
    <w:rPr>
      <w:sz w:val="18"/>
      <w:szCs w:val="18"/>
    </w:rPr>
  </w:style>
  <w:style w:type="character" w:customStyle="1" w:styleId="72">
    <w:name w:val="font01"/>
    <w:qFormat/>
    <w:uiPriority w:val="99"/>
    <w:rPr>
      <w:rFonts w:ascii="font-weight : 400" w:hAnsi="font-weight : 400" w:cs="font-weight : 400"/>
      <w:color w:val="000000"/>
      <w:sz w:val="22"/>
      <w:szCs w:val="22"/>
      <w:u w:val="none"/>
    </w:rPr>
  </w:style>
  <w:style w:type="character" w:customStyle="1" w:styleId="73">
    <w:name w:val="font51"/>
    <w:qFormat/>
    <w:uiPriority w:val="99"/>
    <w:rPr>
      <w:rFonts w:hint="eastAsia" w:ascii="宋体" w:hAnsi="宋体" w:eastAsia="宋体" w:cs="宋体"/>
      <w:b/>
      <w:color w:val="FF0000"/>
      <w:sz w:val="18"/>
      <w:szCs w:val="18"/>
      <w:u w:val="none"/>
    </w:rPr>
  </w:style>
  <w:style w:type="character" w:customStyle="1" w:styleId="74">
    <w:name w:val="文档结构图 Char"/>
    <w:link w:val="11"/>
    <w:qFormat/>
    <w:uiPriority w:val="99"/>
    <w:rPr>
      <w:rFonts w:ascii="宋体"/>
      <w:kern w:val="2"/>
      <w:sz w:val="18"/>
      <w:szCs w:val="18"/>
    </w:rPr>
  </w:style>
  <w:style w:type="character" w:customStyle="1" w:styleId="75">
    <w:name w:val="正文文本缩进 3 Char"/>
    <w:semiHidden/>
    <w:qFormat/>
    <w:uiPriority w:val="99"/>
    <w:rPr>
      <w:rFonts w:ascii="宋体"/>
      <w:sz w:val="16"/>
      <w:szCs w:val="16"/>
    </w:rPr>
  </w:style>
  <w:style w:type="character" w:customStyle="1" w:styleId="76">
    <w:name w:val="正文文本 Char"/>
    <w:link w:val="13"/>
    <w:qFormat/>
    <w:uiPriority w:val="0"/>
    <w:rPr>
      <w:rFonts w:ascii="宋体"/>
      <w:sz w:val="34"/>
    </w:rPr>
  </w:style>
  <w:style w:type="character" w:customStyle="1" w:styleId="77">
    <w:name w:val="so-ask-best"/>
    <w:qFormat/>
    <w:uiPriority w:val="0"/>
  </w:style>
  <w:style w:type="character" w:customStyle="1" w:styleId="78">
    <w:name w:val="纯文本 Char1"/>
    <w:qFormat/>
    <w:uiPriority w:val="0"/>
    <w:rPr>
      <w:rFonts w:ascii="宋体" w:hAnsi="Courier New" w:cs="Courier New"/>
      <w:sz w:val="21"/>
      <w:szCs w:val="21"/>
    </w:rPr>
  </w:style>
  <w:style w:type="character" w:customStyle="1" w:styleId="79">
    <w:name w:val="style51"/>
    <w:qFormat/>
    <w:uiPriority w:val="0"/>
    <w:rPr>
      <w:b/>
      <w:bCs/>
      <w:color w:val="FF6600"/>
    </w:rPr>
  </w:style>
  <w:style w:type="paragraph" w:customStyle="1" w:styleId="80">
    <w:name w:val="xl80"/>
    <w:basedOn w:val="1"/>
    <w:qFormat/>
    <w:uiPriority w:val="0"/>
    <w:pPr>
      <w:widowControl/>
      <w:shd w:val="clear" w:color="FFFFFF" w:fill="FFFFFF"/>
      <w:spacing w:before="100" w:beforeAutospacing="1" w:after="100" w:afterAutospacing="1"/>
      <w:jc w:val="left"/>
    </w:pPr>
    <w:rPr>
      <w:rFonts w:hAnsi="宋体" w:cs="宋体"/>
      <w:color w:val="000000"/>
      <w:sz w:val="24"/>
      <w:szCs w:val="24"/>
    </w:rPr>
  </w:style>
  <w:style w:type="paragraph" w:customStyle="1" w:styleId="81">
    <w:name w:val="xl2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b/>
      <w:bCs/>
      <w:sz w:val="20"/>
    </w:rPr>
  </w:style>
  <w:style w:type="paragraph" w:customStyle="1" w:styleId="82">
    <w:name w:val="xl73"/>
    <w:basedOn w:val="1"/>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hAnsi="宋体" w:cs="宋体"/>
      <w:color w:val="000000"/>
      <w:sz w:val="24"/>
      <w:szCs w:val="24"/>
    </w:rPr>
  </w:style>
  <w:style w:type="paragraph" w:customStyle="1" w:styleId="83">
    <w:name w:val="样式3"/>
    <w:basedOn w:val="2"/>
    <w:qFormat/>
    <w:uiPriority w:val="0"/>
  </w:style>
  <w:style w:type="paragraph" w:customStyle="1" w:styleId="84">
    <w:name w:val="Char"/>
    <w:basedOn w:val="1"/>
    <w:qFormat/>
    <w:uiPriority w:val="0"/>
    <w:pPr>
      <w:widowControl/>
      <w:spacing w:after="160" w:line="240" w:lineRule="exact"/>
      <w:jc w:val="left"/>
    </w:pPr>
  </w:style>
  <w:style w:type="paragraph" w:styleId="85">
    <w:name w:val="No Spacing"/>
    <w:qFormat/>
    <w:uiPriority w:val="99"/>
    <w:rPr>
      <w:rFonts w:ascii="Times New Roman" w:hAnsi="Times New Roman" w:eastAsia="宋体" w:cs="Times New Roman"/>
      <w:sz w:val="22"/>
      <w:szCs w:val="22"/>
      <w:lang w:val="en-US" w:eastAsia="zh-CN" w:bidi="ar-SA"/>
    </w:rPr>
  </w:style>
  <w:style w:type="paragraph" w:customStyle="1" w:styleId="86">
    <w:name w:val="xl2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color w:val="000000"/>
      <w:sz w:val="18"/>
      <w:szCs w:val="18"/>
    </w:rPr>
  </w:style>
  <w:style w:type="paragraph" w:customStyle="1" w:styleId="87">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88">
    <w:name w:val="xl218"/>
    <w:basedOn w:val="1"/>
    <w:qFormat/>
    <w:uiPriority w:val="0"/>
    <w:pPr>
      <w:widowControl/>
      <w:spacing w:before="100" w:beforeAutospacing="1" w:after="100" w:afterAutospacing="1"/>
      <w:jc w:val="left"/>
      <w:textAlignment w:val="center"/>
    </w:pPr>
    <w:rPr>
      <w:rFonts w:hAnsi="宋体" w:cs="宋体"/>
      <w:sz w:val="24"/>
      <w:szCs w:val="24"/>
    </w:rPr>
  </w:style>
  <w:style w:type="paragraph" w:customStyle="1" w:styleId="89">
    <w:name w:val="xl24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hAnsi="宋体" w:cs="宋体"/>
      <w:sz w:val="20"/>
    </w:rPr>
  </w:style>
  <w:style w:type="paragraph" w:customStyle="1" w:styleId="90">
    <w:name w:val="xl2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b/>
      <w:bCs/>
      <w:sz w:val="20"/>
    </w:rPr>
  </w:style>
  <w:style w:type="paragraph" w:customStyle="1" w:styleId="91">
    <w:name w:val="xl81"/>
    <w:basedOn w:val="1"/>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hAnsi="宋体" w:cs="宋体"/>
      <w:color w:val="000000"/>
      <w:sz w:val="24"/>
      <w:szCs w:val="24"/>
    </w:rPr>
  </w:style>
  <w:style w:type="paragraph" w:customStyle="1" w:styleId="92">
    <w:name w:val="xl245"/>
    <w:basedOn w:val="1"/>
    <w:qFormat/>
    <w:uiPriority w:val="0"/>
    <w:pPr>
      <w:widowControl/>
      <w:spacing w:before="100" w:beforeAutospacing="1" w:after="100" w:afterAutospacing="1"/>
      <w:jc w:val="left"/>
      <w:textAlignment w:val="center"/>
    </w:pPr>
    <w:rPr>
      <w:rFonts w:hAnsi="宋体" w:cs="宋体"/>
      <w:sz w:val="24"/>
      <w:szCs w:val="24"/>
    </w:rPr>
  </w:style>
  <w:style w:type="paragraph" w:customStyle="1" w:styleId="93">
    <w:name w:val="xl2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color w:val="000000"/>
      <w:sz w:val="20"/>
    </w:rPr>
  </w:style>
  <w:style w:type="paragraph" w:customStyle="1" w:styleId="94">
    <w:name w:val="xl2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sz w:val="20"/>
    </w:rPr>
  </w:style>
  <w:style w:type="paragraph" w:customStyle="1" w:styleId="95">
    <w:name w:val="xl3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b/>
      <w:bCs/>
      <w:color w:val="000000"/>
      <w:sz w:val="20"/>
    </w:rPr>
  </w:style>
  <w:style w:type="paragraph" w:customStyle="1" w:styleId="96">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hAnsi="宋体" w:cs="宋体"/>
      <w:color w:val="000000"/>
      <w:sz w:val="24"/>
      <w:szCs w:val="24"/>
    </w:rPr>
  </w:style>
  <w:style w:type="paragraph" w:customStyle="1" w:styleId="97">
    <w:name w:val="xl77"/>
    <w:basedOn w:val="1"/>
    <w:qFormat/>
    <w:uiPriority w:val="0"/>
    <w:pPr>
      <w:widowControl/>
      <w:shd w:val="clear" w:color="FFFFFF" w:fill="FFFFFF"/>
      <w:spacing w:before="100" w:beforeAutospacing="1" w:after="100" w:afterAutospacing="1"/>
      <w:jc w:val="left"/>
      <w:textAlignment w:val="center"/>
    </w:pPr>
    <w:rPr>
      <w:rFonts w:hAnsi="宋体" w:cs="宋体"/>
      <w:color w:val="000000"/>
      <w:sz w:val="24"/>
      <w:szCs w:val="24"/>
    </w:rPr>
  </w:style>
  <w:style w:type="paragraph" w:customStyle="1" w:styleId="98">
    <w:name w:val="xl68"/>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hAnsi="宋体" w:cs="宋体"/>
      <w:color w:val="000000"/>
      <w:sz w:val="24"/>
      <w:szCs w:val="24"/>
    </w:rPr>
  </w:style>
  <w:style w:type="paragraph" w:customStyle="1" w:styleId="99">
    <w:name w:val="xl2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sz w:val="20"/>
    </w:rPr>
  </w:style>
  <w:style w:type="paragraph" w:customStyle="1" w:styleId="100">
    <w:name w:val="xl2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hAnsi="宋体" w:cs="宋体"/>
      <w:sz w:val="20"/>
    </w:rPr>
  </w:style>
  <w:style w:type="paragraph" w:customStyle="1" w:styleId="101">
    <w:name w:val="xl2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hAnsi="宋体" w:cs="宋体"/>
      <w:sz w:val="20"/>
    </w:rPr>
  </w:style>
  <w:style w:type="paragraph" w:customStyle="1" w:styleId="102">
    <w:name w:val="xl2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hAnsi="宋体" w:cs="宋体"/>
      <w:color w:val="000000"/>
      <w:sz w:val="20"/>
    </w:rPr>
  </w:style>
  <w:style w:type="paragraph" w:customStyle="1" w:styleId="103">
    <w:name w:val="font12"/>
    <w:basedOn w:val="1"/>
    <w:qFormat/>
    <w:uiPriority w:val="0"/>
    <w:pPr>
      <w:widowControl/>
      <w:spacing w:before="100" w:beforeAutospacing="1" w:after="100" w:afterAutospacing="1"/>
      <w:jc w:val="left"/>
    </w:pPr>
    <w:rPr>
      <w:rFonts w:hAnsi="宋体" w:cs="宋体"/>
      <w:sz w:val="18"/>
      <w:szCs w:val="18"/>
    </w:rPr>
  </w:style>
  <w:style w:type="paragraph" w:customStyle="1" w:styleId="104">
    <w:name w:val="xl83"/>
    <w:basedOn w:val="1"/>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hAnsi="宋体" w:cs="宋体"/>
      <w:color w:val="000000"/>
      <w:sz w:val="24"/>
      <w:szCs w:val="24"/>
    </w:rPr>
  </w:style>
  <w:style w:type="paragraph" w:customStyle="1" w:styleId="105">
    <w:name w:val="xl2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b/>
      <w:bCs/>
      <w:sz w:val="20"/>
    </w:rPr>
  </w:style>
  <w:style w:type="paragraph" w:customStyle="1" w:styleId="106">
    <w:name w:val="xl2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sz w:val="20"/>
    </w:rPr>
  </w:style>
  <w:style w:type="paragraph" w:customStyle="1" w:styleId="107">
    <w:name w:val="Char1"/>
    <w:basedOn w:val="1"/>
    <w:qFormat/>
    <w:uiPriority w:val="0"/>
    <w:rPr>
      <w:rFonts w:ascii="仿宋_GB2312" w:eastAsia="仿宋_GB2312"/>
      <w:b/>
      <w:sz w:val="32"/>
      <w:szCs w:val="32"/>
    </w:rPr>
  </w:style>
  <w:style w:type="paragraph" w:customStyle="1" w:styleId="108">
    <w:name w:val="xl2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color w:val="FF0000"/>
      <w:sz w:val="20"/>
    </w:rPr>
  </w:style>
  <w:style w:type="paragraph" w:customStyle="1" w:styleId="109">
    <w:name w:val="纯文本1"/>
    <w:basedOn w:val="1"/>
    <w:qFormat/>
    <w:uiPriority w:val="0"/>
    <w:rPr>
      <w:rFonts w:hAnsi="Courier New" w:cs="宋体"/>
      <w:szCs w:val="21"/>
    </w:rPr>
  </w:style>
  <w:style w:type="paragraph" w:customStyle="1" w:styleId="110">
    <w:name w:val="xl2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sz w:val="20"/>
    </w:rPr>
  </w:style>
  <w:style w:type="paragraph" w:customStyle="1" w:styleId="111">
    <w:name w:val="xl219"/>
    <w:basedOn w:val="1"/>
    <w:qFormat/>
    <w:uiPriority w:val="0"/>
    <w:pPr>
      <w:widowControl/>
      <w:spacing w:before="100" w:beforeAutospacing="1" w:after="100" w:afterAutospacing="1"/>
      <w:jc w:val="left"/>
      <w:textAlignment w:val="center"/>
    </w:pPr>
    <w:rPr>
      <w:rFonts w:hAnsi="宋体" w:cs="宋体"/>
      <w:sz w:val="24"/>
      <w:szCs w:val="24"/>
    </w:rPr>
  </w:style>
  <w:style w:type="paragraph" w:customStyle="1" w:styleId="112">
    <w:name w:val="xl85"/>
    <w:basedOn w:val="1"/>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hAnsi="宋体" w:cs="宋体"/>
      <w:color w:val="000000"/>
      <w:sz w:val="24"/>
      <w:szCs w:val="24"/>
    </w:rPr>
  </w:style>
  <w:style w:type="paragraph" w:customStyle="1" w:styleId="113">
    <w:name w:val="xl2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color w:val="000000"/>
      <w:sz w:val="20"/>
    </w:rPr>
  </w:style>
  <w:style w:type="paragraph" w:customStyle="1" w:styleId="114">
    <w:name w:val="xl2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hAnsi="宋体" w:cs="宋体"/>
      <w:sz w:val="20"/>
    </w:rPr>
  </w:style>
  <w:style w:type="paragraph" w:customStyle="1" w:styleId="115">
    <w:name w:val="xl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hAnsi="宋体" w:cs="宋体"/>
      <w:b/>
      <w:bCs/>
      <w:sz w:val="20"/>
    </w:rPr>
  </w:style>
  <w:style w:type="paragraph" w:customStyle="1" w:styleId="116">
    <w:name w:val="xl2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color w:val="000000"/>
      <w:sz w:val="20"/>
    </w:rPr>
  </w:style>
  <w:style w:type="paragraph" w:customStyle="1" w:styleId="117">
    <w:name w:val="font7"/>
    <w:basedOn w:val="1"/>
    <w:qFormat/>
    <w:uiPriority w:val="0"/>
    <w:pPr>
      <w:widowControl/>
      <w:spacing w:before="100" w:beforeAutospacing="1" w:after="100" w:afterAutospacing="1"/>
      <w:jc w:val="left"/>
    </w:pPr>
    <w:rPr>
      <w:rFonts w:hAnsi="宋体" w:cs="宋体"/>
      <w:sz w:val="18"/>
      <w:szCs w:val="18"/>
    </w:rPr>
  </w:style>
  <w:style w:type="paragraph" w:customStyle="1" w:styleId="118">
    <w:name w:val="xl2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hAnsi="宋体" w:cs="宋体"/>
      <w:color w:val="000000"/>
      <w:sz w:val="20"/>
    </w:rPr>
  </w:style>
  <w:style w:type="paragraph" w:customStyle="1" w:styleId="119">
    <w:name w:val="xl2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hAnsi="宋体" w:cs="宋体"/>
      <w:sz w:val="20"/>
    </w:rPr>
  </w:style>
  <w:style w:type="paragraph" w:customStyle="1" w:styleId="120">
    <w:name w:val="xl2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color w:val="000000"/>
      <w:sz w:val="20"/>
    </w:rPr>
  </w:style>
  <w:style w:type="paragraph" w:customStyle="1" w:styleId="121">
    <w:name w:val="xl2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hAnsi="宋体" w:cs="宋体"/>
      <w:b/>
      <w:bCs/>
      <w:sz w:val="20"/>
    </w:rPr>
  </w:style>
  <w:style w:type="paragraph" w:customStyle="1" w:styleId="122">
    <w:name w:val="xl2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sz w:val="20"/>
    </w:rPr>
  </w:style>
  <w:style w:type="paragraph" w:customStyle="1" w:styleId="123">
    <w:name w:val="Default"/>
    <w:qFormat/>
    <w:uiPriority w:val="0"/>
    <w:pPr>
      <w:widowControl w:val="0"/>
      <w:autoSpaceDE w:val="0"/>
      <w:autoSpaceDN w:val="0"/>
      <w:adjustRightInd w:val="0"/>
    </w:pPr>
    <w:rPr>
      <w:rFonts w:ascii="Arial Unicode MS" w:hAnsi="Times New Roman" w:eastAsia="Arial Unicode MS" w:cs="Arial Unicode MS"/>
      <w:color w:val="000000"/>
      <w:sz w:val="24"/>
      <w:szCs w:val="24"/>
      <w:lang w:val="en-US" w:eastAsia="zh-CN" w:bidi="ar-SA"/>
    </w:rPr>
  </w:style>
  <w:style w:type="paragraph" w:customStyle="1" w:styleId="124">
    <w:name w:val="xl2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b/>
      <w:bCs/>
      <w:sz w:val="20"/>
    </w:rPr>
  </w:style>
  <w:style w:type="paragraph" w:customStyle="1" w:styleId="125">
    <w:name w:val="xl82"/>
    <w:basedOn w:val="1"/>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hAnsi="宋体" w:cs="宋体"/>
      <w:color w:val="000000"/>
      <w:sz w:val="24"/>
      <w:szCs w:val="24"/>
    </w:rPr>
  </w:style>
  <w:style w:type="paragraph" w:customStyle="1" w:styleId="126">
    <w:name w:val="xl70"/>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left"/>
      <w:textAlignment w:val="center"/>
    </w:pPr>
    <w:rPr>
      <w:rFonts w:hAnsi="宋体" w:cs="宋体"/>
      <w:color w:val="000000"/>
      <w:sz w:val="24"/>
      <w:szCs w:val="24"/>
    </w:rPr>
  </w:style>
  <w:style w:type="paragraph" w:customStyle="1" w:styleId="127">
    <w:name w:val="font6"/>
    <w:basedOn w:val="1"/>
    <w:qFormat/>
    <w:uiPriority w:val="0"/>
    <w:pPr>
      <w:widowControl/>
      <w:spacing w:before="100" w:beforeAutospacing="1" w:after="100" w:afterAutospacing="1"/>
      <w:jc w:val="left"/>
    </w:pPr>
    <w:rPr>
      <w:rFonts w:hAnsi="宋体" w:cs="宋体"/>
      <w:sz w:val="18"/>
      <w:szCs w:val="18"/>
    </w:rPr>
  </w:style>
  <w:style w:type="paragraph" w:customStyle="1" w:styleId="128">
    <w:name w:val="xl2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b/>
      <w:bCs/>
      <w:sz w:val="20"/>
    </w:rPr>
  </w:style>
  <w:style w:type="paragraph" w:customStyle="1" w:styleId="129">
    <w:name w:val="xl29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hAnsi="宋体" w:cs="宋体"/>
      <w:b/>
      <w:bCs/>
      <w:color w:val="000000"/>
      <w:sz w:val="20"/>
    </w:rPr>
  </w:style>
  <w:style w:type="paragraph" w:customStyle="1" w:styleId="130">
    <w:name w:val="xl3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hAnsi="宋体" w:cs="宋体"/>
      <w:sz w:val="20"/>
    </w:rPr>
  </w:style>
  <w:style w:type="paragraph" w:customStyle="1" w:styleId="131">
    <w:name w:val="xl2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color w:val="000000"/>
      <w:sz w:val="20"/>
    </w:rPr>
  </w:style>
  <w:style w:type="paragraph" w:customStyle="1" w:styleId="132">
    <w:name w:val="xl29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hAnsi="宋体" w:cs="宋体"/>
      <w:b/>
      <w:bCs/>
      <w:sz w:val="20"/>
    </w:rPr>
  </w:style>
  <w:style w:type="paragraph" w:customStyle="1" w:styleId="133">
    <w:name w:val="font5"/>
    <w:basedOn w:val="1"/>
    <w:qFormat/>
    <w:uiPriority w:val="0"/>
    <w:pPr>
      <w:widowControl/>
      <w:spacing w:before="100" w:beforeAutospacing="1" w:after="100" w:afterAutospacing="1"/>
      <w:jc w:val="left"/>
    </w:pPr>
    <w:rPr>
      <w:rFonts w:hAnsi="宋体" w:cs="宋体"/>
      <w:sz w:val="18"/>
      <w:szCs w:val="18"/>
    </w:rPr>
  </w:style>
  <w:style w:type="paragraph" w:customStyle="1" w:styleId="134">
    <w:name w:val="xl78"/>
    <w:basedOn w:val="1"/>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hAnsi="宋体" w:cs="宋体"/>
      <w:color w:val="000000"/>
      <w:sz w:val="24"/>
      <w:szCs w:val="24"/>
    </w:rPr>
  </w:style>
  <w:style w:type="paragraph" w:customStyle="1" w:styleId="135">
    <w:name w:val="xl2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sz w:val="20"/>
    </w:rPr>
  </w:style>
  <w:style w:type="paragraph" w:customStyle="1" w:styleId="136">
    <w:name w:val="xl260"/>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hAnsi="宋体" w:cs="宋体"/>
      <w:b/>
      <w:bCs/>
      <w:sz w:val="20"/>
    </w:rPr>
  </w:style>
  <w:style w:type="paragraph" w:customStyle="1" w:styleId="137">
    <w:name w:val="xl2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sz w:val="20"/>
    </w:rPr>
  </w:style>
  <w:style w:type="paragraph" w:customStyle="1" w:styleId="138">
    <w:name w:val="xl65"/>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hAnsi="宋体" w:cs="宋体"/>
      <w:color w:val="000000"/>
      <w:sz w:val="24"/>
      <w:szCs w:val="24"/>
    </w:rPr>
  </w:style>
  <w:style w:type="paragraph" w:customStyle="1" w:styleId="139">
    <w:name w:val="xl217"/>
    <w:basedOn w:val="1"/>
    <w:qFormat/>
    <w:uiPriority w:val="0"/>
    <w:pPr>
      <w:widowControl/>
      <w:spacing w:before="100" w:beforeAutospacing="1" w:after="100" w:afterAutospacing="1"/>
      <w:jc w:val="center"/>
      <w:textAlignment w:val="center"/>
    </w:pPr>
    <w:rPr>
      <w:rFonts w:hAnsi="宋体" w:cs="宋体"/>
      <w:sz w:val="24"/>
      <w:szCs w:val="24"/>
    </w:rPr>
  </w:style>
  <w:style w:type="paragraph" w:customStyle="1" w:styleId="140">
    <w:name w:val="xl74"/>
    <w:basedOn w:val="1"/>
    <w:qFormat/>
    <w:uiPriority w:val="0"/>
    <w:pPr>
      <w:widowControl/>
      <w:shd w:val="clear" w:color="FFFFFF" w:fill="FFFFFF"/>
      <w:spacing w:before="100" w:beforeAutospacing="1" w:after="100" w:afterAutospacing="1"/>
      <w:jc w:val="left"/>
      <w:textAlignment w:val="center"/>
    </w:pPr>
    <w:rPr>
      <w:rFonts w:hAnsi="宋体" w:cs="宋体"/>
      <w:color w:val="000000"/>
      <w:sz w:val="24"/>
      <w:szCs w:val="24"/>
    </w:rPr>
  </w:style>
  <w:style w:type="paragraph" w:customStyle="1" w:styleId="141">
    <w:name w:val="xl2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hAnsi="宋体" w:cs="宋体"/>
      <w:color w:val="000000"/>
      <w:sz w:val="18"/>
      <w:szCs w:val="18"/>
    </w:rPr>
  </w:style>
  <w:style w:type="paragraph" w:customStyle="1" w:styleId="142">
    <w:name w:val="xl69"/>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hAnsi="宋体" w:cs="宋体"/>
      <w:color w:val="000000"/>
      <w:sz w:val="24"/>
      <w:szCs w:val="24"/>
    </w:rPr>
  </w:style>
  <w:style w:type="paragraph" w:customStyle="1" w:styleId="143">
    <w:name w:val="Item List in Table"/>
    <w:basedOn w:val="1"/>
    <w:qFormat/>
    <w:uiPriority w:val="0"/>
    <w:pPr>
      <w:tabs>
        <w:tab w:val="left" w:pos="1080"/>
      </w:tabs>
      <w:topLinePunct/>
      <w:adjustRightInd w:val="0"/>
      <w:snapToGrid w:val="0"/>
      <w:spacing w:before="80" w:after="80" w:line="240" w:lineRule="atLeast"/>
      <w:ind w:left="1080" w:hanging="840"/>
      <w:jc w:val="left"/>
    </w:pPr>
    <w:rPr>
      <w:rFonts w:ascii="Arial" w:hAnsi="Arial" w:cs="Arial"/>
      <w:sz w:val="21"/>
      <w:szCs w:val="21"/>
    </w:rPr>
  </w:style>
  <w:style w:type="paragraph" w:customStyle="1" w:styleId="144">
    <w:name w:val="xl2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color w:val="FF0000"/>
      <w:sz w:val="20"/>
    </w:rPr>
  </w:style>
  <w:style w:type="paragraph" w:customStyle="1" w:styleId="145">
    <w:name w:val="xl2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color w:val="000000"/>
      <w:sz w:val="20"/>
    </w:rPr>
  </w:style>
  <w:style w:type="paragraph" w:customStyle="1" w:styleId="146">
    <w:name w:val="xl2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sz w:val="20"/>
    </w:rPr>
  </w:style>
  <w:style w:type="paragraph" w:customStyle="1" w:styleId="147">
    <w:name w:val="xl2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hAnsi="宋体" w:cs="宋体"/>
      <w:sz w:val="20"/>
    </w:rPr>
  </w:style>
  <w:style w:type="paragraph" w:customStyle="1" w:styleId="148">
    <w:name w:val="xl2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hAnsi="宋体" w:cs="宋体"/>
      <w:b/>
      <w:bCs/>
      <w:sz w:val="20"/>
    </w:rPr>
  </w:style>
  <w:style w:type="paragraph" w:customStyle="1" w:styleId="149">
    <w:name w:val="Table Paragraph"/>
    <w:basedOn w:val="1"/>
    <w:qFormat/>
    <w:uiPriority w:val="1"/>
    <w:rPr>
      <w:szCs w:val="21"/>
    </w:rPr>
  </w:style>
  <w:style w:type="paragraph" w:customStyle="1" w:styleId="150">
    <w:name w:val="xl2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sz w:val="20"/>
    </w:rPr>
  </w:style>
  <w:style w:type="paragraph" w:customStyle="1" w:styleId="151">
    <w:name w:val="xl2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sz w:val="20"/>
    </w:rPr>
  </w:style>
  <w:style w:type="paragraph" w:customStyle="1" w:styleId="152">
    <w:name w:val="xl2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sz w:val="20"/>
    </w:rPr>
  </w:style>
  <w:style w:type="paragraph" w:customStyle="1" w:styleId="153">
    <w:name w:val="xl2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sz w:val="20"/>
    </w:rPr>
  </w:style>
  <w:style w:type="paragraph" w:customStyle="1" w:styleId="154">
    <w:name w:val="表格内容"/>
    <w:basedOn w:val="1"/>
    <w:qFormat/>
    <w:uiPriority w:val="0"/>
    <w:pPr>
      <w:tabs>
        <w:tab w:val="left" w:pos="0"/>
      </w:tabs>
      <w:jc w:val="center"/>
    </w:pPr>
    <w:rPr>
      <w:rFonts w:hAnsi="宋体"/>
      <w:sz w:val="24"/>
      <w:szCs w:val="24"/>
    </w:rPr>
  </w:style>
  <w:style w:type="paragraph" w:customStyle="1" w:styleId="155">
    <w:name w:val="xl3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b/>
      <w:bCs/>
      <w:color w:val="000000"/>
      <w:sz w:val="20"/>
    </w:rPr>
  </w:style>
  <w:style w:type="paragraph" w:customStyle="1" w:styleId="156">
    <w:name w:val="xl2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hAnsi="宋体" w:cs="宋体"/>
      <w:color w:val="000000"/>
      <w:sz w:val="20"/>
    </w:rPr>
  </w:style>
  <w:style w:type="paragraph" w:customStyle="1" w:styleId="157">
    <w:name w:val="xl2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hAnsi="宋体" w:cs="宋体"/>
      <w:color w:val="000000"/>
      <w:sz w:val="20"/>
    </w:rPr>
  </w:style>
  <w:style w:type="paragraph" w:customStyle="1" w:styleId="158">
    <w:name w:val="xl2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sz w:val="20"/>
    </w:rPr>
  </w:style>
  <w:style w:type="paragraph" w:customStyle="1" w:styleId="159">
    <w:name w:val="正文1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
    <w:name w:val="font14"/>
    <w:basedOn w:val="1"/>
    <w:qFormat/>
    <w:uiPriority w:val="0"/>
    <w:pPr>
      <w:widowControl/>
      <w:spacing w:before="100" w:beforeAutospacing="1" w:after="100" w:afterAutospacing="1"/>
      <w:jc w:val="left"/>
    </w:pPr>
    <w:rPr>
      <w:rFonts w:hAnsi="宋体" w:cs="宋体"/>
      <w:sz w:val="20"/>
    </w:rPr>
  </w:style>
  <w:style w:type="paragraph" w:customStyle="1" w:styleId="161">
    <w:name w:val="xl2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hAnsi="宋体" w:cs="宋体"/>
      <w:color w:val="000000"/>
      <w:sz w:val="20"/>
    </w:rPr>
  </w:style>
  <w:style w:type="paragraph" w:customStyle="1" w:styleId="162">
    <w:name w:val="font8"/>
    <w:basedOn w:val="1"/>
    <w:qFormat/>
    <w:uiPriority w:val="0"/>
    <w:pPr>
      <w:widowControl/>
      <w:spacing w:before="100" w:beforeAutospacing="1" w:after="100" w:afterAutospacing="1"/>
      <w:jc w:val="left"/>
    </w:pPr>
    <w:rPr>
      <w:rFonts w:hAnsi="宋体" w:cs="宋体"/>
      <w:sz w:val="20"/>
    </w:rPr>
  </w:style>
  <w:style w:type="paragraph" w:styleId="163">
    <w:name w:val="List Paragraph"/>
    <w:basedOn w:val="1"/>
    <w:qFormat/>
    <w:uiPriority w:val="99"/>
    <w:pPr>
      <w:ind w:firstLine="420" w:firstLineChars="200"/>
    </w:pPr>
  </w:style>
  <w:style w:type="paragraph" w:customStyle="1" w:styleId="164">
    <w:name w:val="xl28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hAnsi="宋体" w:cs="宋体"/>
      <w:b/>
      <w:bCs/>
      <w:sz w:val="20"/>
    </w:rPr>
  </w:style>
  <w:style w:type="paragraph" w:customStyle="1" w:styleId="165">
    <w:name w:val="F00"/>
    <w:basedOn w:val="1"/>
    <w:qFormat/>
    <w:uiPriority w:val="0"/>
    <w:pPr>
      <w:tabs>
        <w:tab w:val="left" w:pos="2235"/>
      </w:tabs>
      <w:spacing w:line="500" w:lineRule="exact"/>
      <w:ind w:firstLine="353" w:firstLineChars="147"/>
    </w:pPr>
    <w:rPr>
      <w:rFonts w:hAnsi="宋体"/>
      <w:sz w:val="24"/>
      <w:szCs w:val="24"/>
    </w:rPr>
  </w:style>
  <w:style w:type="paragraph" w:customStyle="1" w:styleId="166">
    <w:name w:val="xl29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hAnsi="宋体" w:cs="宋体"/>
      <w:b/>
      <w:bCs/>
      <w:color w:val="000000"/>
      <w:sz w:val="20"/>
    </w:rPr>
  </w:style>
  <w:style w:type="paragraph" w:customStyle="1" w:styleId="167">
    <w:name w:val="font10"/>
    <w:basedOn w:val="1"/>
    <w:qFormat/>
    <w:uiPriority w:val="0"/>
    <w:pPr>
      <w:widowControl/>
      <w:spacing w:before="100" w:beforeAutospacing="1" w:after="100" w:afterAutospacing="1"/>
      <w:jc w:val="left"/>
    </w:pPr>
    <w:rPr>
      <w:rFonts w:hAnsi="宋体" w:cs="宋体"/>
      <w:sz w:val="18"/>
      <w:szCs w:val="18"/>
    </w:rPr>
  </w:style>
  <w:style w:type="paragraph" w:customStyle="1" w:styleId="168">
    <w:name w:val="xl75"/>
    <w:basedOn w:val="1"/>
    <w:qFormat/>
    <w:uiPriority w:val="0"/>
    <w:pPr>
      <w:widowControl/>
      <w:shd w:val="clear" w:color="FFFFFF" w:fill="FFFFFF"/>
      <w:spacing w:before="100" w:beforeAutospacing="1" w:after="100" w:afterAutospacing="1"/>
      <w:jc w:val="right"/>
      <w:textAlignment w:val="center"/>
    </w:pPr>
    <w:rPr>
      <w:rFonts w:hAnsi="宋体" w:cs="宋体"/>
      <w:color w:val="000000"/>
      <w:sz w:val="24"/>
      <w:szCs w:val="24"/>
    </w:rPr>
  </w:style>
  <w:style w:type="paragraph" w:customStyle="1" w:styleId="169">
    <w:name w:val="xl2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sz w:val="20"/>
    </w:rPr>
  </w:style>
  <w:style w:type="paragraph" w:customStyle="1" w:styleId="170">
    <w:name w:val="xl2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sz w:val="20"/>
    </w:rPr>
  </w:style>
  <w:style w:type="paragraph" w:customStyle="1" w:styleId="171">
    <w:name w:val="xl2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b/>
      <w:bCs/>
      <w:sz w:val="20"/>
    </w:rPr>
  </w:style>
  <w:style w:type="paragraph" w:customStyle="1" w:styleId="172">
    <w:name w:val="列出段落1"/>
    <w:basedOn w:val="1"/>
    <w:qFormat/>
    <w:uiPriority w:val="99"/>
    <w:pPr>
      <w:ind w:firstLine="420" w:firstLineChars="200"/>
    </w:pPr>
    <w:rPr>
      <w:rFonts w:ascii="Calibri" w:hAnsi="Calibri"/>
    </w:rPr>
  </w:style>
  <w:style w:type="paragraph" w:customStyle="1" w:styleId="173">
    <w:name w:val="xl2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b/>
      <w:bCs/>
      <w:sz w:val="20"/>
    </w:rPr>
  </w:style>
  <w:style w:type="paragraph" w:customStyle="1" w:styleId="174">
    <w:name w:val="xl2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color w:val="000000"/>
      <w:sz w:val="20"/>
    </w:rPr>
  </w:style>
  <w:style w:type="paragraph" w:customStyle="1" w:styleId="175">
    <w:name w:val="xl2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color w:val="000000"/>
      <w:sz w:val="20"/>
    </w:rPr>
  </w:style>
  <w:style w:type="paragraph" w:customStyle="1" w:styleId="176">
    <w:name w:val="xl2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sz w:val="20"/>
    </w:rPr>
  </w:style>
  <w:style w:type="paragraph" w:customStyle="1" w:styleId="177">
    <w:name w:val="xl227"/>
    <w:basedOn w:val="1"/>
    <w:qFormat/>
    <w:uiPriority w:val="0"/>
    <w:pPr>
      <w:widowControl/>
      <w:spacing w:before="100" w:beforeAutospacing="1" w:after="100" w:afterAutospacing="1"/>
      <w:jc w:val="left"/>
      <w:textAlignment w:val="center"/>
    </w:pPr>
    <w:rPr>
      <w:rFonts w:hAnsi="宋体" w:cs="宋体"/>
      <w:color w:val="FF0000"/>
      <w:sz w:val="24"/>
      <w:szCs w:val="24"/>
    </w:rPr>
  </w:style>
  <w:style w:type="paragraph" w:customStyle="1" w:styleId="178">
    <w:name w:val="xl24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hAnsi="宋体" w:cs="宋体"/>
      <w:sz w:val="20"/>
    </w:rPr>
  </w:style>
  <w:style w:type="paragraph" w:customStyle="1" w:styleId="179">
    <w:name w:val="缺省文本"/>
    <w:basedOn w:val="1"/>
    <w:qFormat/>
    <w:uiPriority w:val="99"/>
    <w:pPr>
      <w:autoSpaceDE w:val="0"/>
      <w:autoSpaceDN w:val="0"/>
      <w:adjustRightInd w:val="0"/>
      <w:spacing w:before="20" w:after="20" w:line="400" w:lineRule="exact"/>
      <w:ind w:firstLine="504"/>
      <w:jc w:val="left"/>
    </w:pPr>
  </w:style>
  <w:style w:type="paragraph" w:customStyle="1" w:styleId="180">
    <w:name w:val="font9"/>
    <w:basedOn w:val="1"/>
    <w:qFormat/>
    <w:uiPriority w:val="0"/>
    <w:pPr>
      <w:widowControl/>
      <w:spacing w:before="100" w:beforeAutospacing="1" w:after="100" w:afterAutospacing="1"/>
      <w:jc w:val="left"/>
    </w:pPr>
    <w:rPr>
      <w:rFonts w:hAnsi="宋体" w:cs="宋体"/>
      <w:color w:val="000000"/>
      <w:sz w:val="20"/>
    </w:rPr>
  </w:style>
  <w:style w:type="paragraph" w:customStyle="1" w:styleId="181">
    <w:name w:val="xl2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hAnsi="宋体" w:cs="宋体"/>
      <w:sz w:val="20"/>
    </w:rPr>
  </w:style>
  <w:style w:type="paragraph" w:customStyle="1" w:styleId="182">
    <w:name w:val="xl76"/>
    <w:basedOn w:val="1"/>
    <w:qFormat/>
    <w:uiPriority w:val="0"/>
    <w:pPr>
      <w:widowControl/>
      <w:shd w:val="clear" w:color="FFFFFF" w:fill="FFFFFF"/>
      <w:spacing w:before="100" w:beforeAutospacing="1" w:after="100" w:afterAutospacing="1"/>
      <w:jc w:val="center"/>
      <w:textAlignment w:val="center"/>
    </w:pPr>
    <w:rPr>
      <w:rFonts w:hAnsi="宋体" w:cs="宋体"/>
      <w:b/>
      <w:bCs/>
      <w:color w:val="000000"/>
      <w:sz w:val="40"/>
      <w:szCs w:val="40"/>
    </w:rPr>
  </w:style>
  <w:style w:type="paragraph" w:customStyle="1" w:styleId="183">
    <w:name w:val="xl2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sz w:val="20"/>
    </w:rPr>
  </w:style>
  <w:style w:type="paragraph" w:customStyle="1" w:styleId="184">
    <w:name w:val="xl2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sz w:val="20"/>
    </w:rPr>
  </w:style>
  <w:style w:type="paragraph" w:customStyle="1" w:styleId="185">
    <w:name w:val="xl66"/>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hAnsi="宋体" w:cs="宋体"/>
      <w:color w:val="000000"/>
      <w:sz w:val="24"/>
      <w:szCs w:val="24"/>
    </w:rPr>
  </w:style>
  <w:style w:type="paragraph" w:customStyle="1" w:styleId="186">
    <w:name w:val="xl2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sz w:val="20"/>
    </w:rPr>
  </w:style>
  <w:style w:type="paragraph" w:customStyle="1" w:styleId="187">
    <w:name w:val="xl2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hAnsi="宋体" w:cs="宋体"/>
      <w:sz w:val="20"/>
    </w:rPr>
  </w:style>
  <w:style w:type="paragraph" w:customStyle="1" w:styleId="188">
    <w:name w:val="xl2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color w:val="000000"/>
      <w:sz w:val="20"/>
    </w:rPr>
  </w:style>
  <w:style w:type="paragraph" w:customStyle="1" w:styleId="189">
    <w:name w:val="xl2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sz w:val="20"/>
    </w:rPr>
  </w:style>
  <w:style w:type="paragraph" w:customStyle="1" w:styleId="190">
    <w:name w:val="xl293"/>
    <w:basedOn w:val="1"/>
    <w:qFormat/>
    <w:uiPriority w:val="0"/>
    <w:pPr>
      <w:widowControl/>
      <w:shd w:val="clear" w:color="000000" w:fill="FFFFFF"/>
      <w:spacing w:before="100" w:beforeAutospacing="1" w:after="100" w:afterAutospacing="1"/>
      <w:jc w:val="left"/>
      <w:textAlignment w:val="center"/>
    </w:pPr>
    <w:rPr>
      <w:rFonts w:hAnsi="宋体" w:cs="宋体"/>
      <w:sz w:val="24"/>
      <w:szCs w:val="24"/>
    </w:rPr>
  </w:style>
  <w:style w:type="paragraph" w:customStyle="1" w:styleId="191">
    <w:name w:val="正文缩进1"/>
    <w:basedOn w:val="1"/>
    <w:qFormat/>
    <w:uiPriority w:val="0"/>
    <w:pPr>
      <w:ind w:firstLine="200" w:firstLineChars="200"/>
    </w:pPr>
    <w:rPr>
      <w:szCs w:val="24"/>
    </w:rPr>
  </w:style>
  <w:style w:type="paragraph" w:customStyle="1" w:styleId="192">
    <w:name w:val="xl2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b/>
      <w:bCs/>
      <w:sz w:val="20"/>
    </w:rPr>
  </w:style>
  <w:style w:type="paragraph" w:customStyle="1" w:styleId="193">
    <w:name w:val="xl2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color w:val="000000"/>
      <w:sz w:val="20"/>
    </w:rPr>
  </w:style>
  <w:style w:type="paragraph" w:customStyle="1" w:styleId="194">
    <w:name w:val="xl2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hAnsi="宋体" w:cs="宋体"/>
      <w:sz w:val="20"/>
    </w:rPr>
  </w:style>
  <w:style w:type="paragraph" w:customStyle="1" w:styleId="195">
    <w:name w:val="xl2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hAnsi="宋体" w:cs="宋体"/>
      <w:b/>
      <w:bCs/>
      <w:sz w:val="20"/>
    </w:rPr>
  </w:style>
  <w:style w:type="paragraph" w:customStyle="1" w:styleId="196">
    <w:name w:val="xl2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cs="宋体"/>
      <w:color w:val="000000"/>
      <w:sz w:val="20"/>
    </w:rPr>
  </w:style>
  <w:style w:type="paragraph" w:customStyle="1" w:styleId="197">
    <w:name w:val="xl79"/>
    <w:basedOn w:val="1"/>
    <w:qFormat/>
    <w:uiPriority w:val="0"/>
    <w:pPr>
      <w:widowControl/>
      <w:shd w:val="clear" w:color="FFFFFF" w:fill="FFFFFF"/>
      <w:spacing w:before="100" w:beforeAutospacing="1" w:after="100" w:afterAutospacing="1"/>
      <w:jc w:val="left"/>
      <w:textAlignment w:val="top"/>
    </w:pPr>
    <w:rPr>
      <w:rFonts w:hAnsi="宋体" w:cs="宋体"/>
      <w:color w:val="000000"/>
      <w:sz w:val="24"/>
      <w:szCs w:val="24"/>
    </w:rPr>
  </w:style>
  <w:style w:type="paragraph" w:customStyle="1" w:styleId="198">
    <w:name w:val="xl2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sz w:val="20"/>
    </w:rPr>
  </w:style>
  <w:style w:type="paragraph" w:customStyle="1" w:styleId="199">
    <w:name w:val="xl84"/>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hAnsi="宋体" w:cs="宋体"/>
      <w:color w:val="000000"/>
      <w:sz w:val="24"/>
      <w:szCs w:val="24"/>
    </w:rPr>
  </w:style>
  <w:style w:type="paragraph" w:customStyle="1" w:styleId="200">
    <w:name w:val="xl29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hAnsi="宋体" w:cs="宋体"/>
      <w:b/>
      <w:bCs/>
      <w:sz w:val="20"/>
    </w:rPr>
  </w:style>
  <w:style w:type="paragraph" w:customStyle="1" w:styleId="201">
    <w:name w:val="xl2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sz w:val="20"/>
    </w:rPr>
  </w:style>
  <w:style w:type="paragraph" w:customStyle="1" w:styleId="202">
    <w:name w:val="xl2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hAnsi="宋体" w:cs="宋体"/>
      <w:color w:val="000000"/>
      <w:sz w:val="20"/>
    </w:rPr>
  </w:style>
  <w:style w:type="paragraph" w:customStyle="1" w:styleId="203">
    <w:name w:val="NRSection"/>
    <w:basedOn w:val="1"/>
    <w:qFormat/>
    <w:uiPriority w:val="0"/>
    <w:pPr>
      <w:widowControl/>
      <w:jc w:val="left"/>
      <w:outlineLvl w:val="4"/>
    </w:pPr>
    <w:rPr>
      <w:b/>
      <w:sz w:val="24"/>
    </w:rPr>
  </w:style>
  <w:style w:type="paragraph" w:customStyle="1" w:styleId="204">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05">
    <w:name w:val="xl2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color w:val="000000"/>
      <w:sz w:val="20"/>
    </w:rPr>
  </w:style>
  <w:style w:type="paragraph" w:customStyle="1" w:styleId="206">
    <w:name w:val="xl2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color w:val="000000"/>
      <w:sz w:val="20"/>
    </w:rPr>
  </w:style>
  <w:style w:type="paragraph" w:customStyle="1" w:styleId="207">
    <w:name w:val="xl2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sz w:val="20"/>
    </w:rPr>
  </w:style>
  <w:style w:type="paragraph" w:customStyle="1" w:styleId="208">
    <w:name w:val="xl72"/>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hAnsi="宋体" w:cs="宋体"/>
      <w:color w:val="000000"/>
      <w:sz w:val="24"/>
      <w:szCs w:val="24"/>
    </w:rPr>
  </w:style>
  <w:style w:type="paragraph" w:customStyle="1" w:styleId="209">
    <w:name w:val="TOC 标题1"/>
    <w:basedOn w:val="3"/>
    <w:next w:val="1"/>
    <w:qFormat/>
    <w:uiPriority w:val="39"/>
    <w:pPr>
      <w:keepLines/>
      <w:widowControl/>
      <w:spacing w:before="480" w:line="276" w:lineRule="auto"/>
      <w:jc w:val="left"/>
      <w:outlineLvl w:val="9"/>
    </w:pPr>
    <w:rPr>
      <w:rFonts w:ascii="Cambria" w:hAnsi="Cambria"/>
      <w:b/>
      <w:bCs/>
      <w:color w:val="365F91"/>
      <w:szCs w:val="28"/>
    </w:rPr>
  </w:style>
  <w:style w:type="paragraph" w:customStyle="1" w:styleId="210">
    <w:name w:val="xl2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sz w:val="20"/>
    </w:rPr>
  </w:style>
  <w:style w:type="paragraph" w:customStyle="1" w:styleId="211">
    <w:name w:val="xl2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hAnsi="宋体" w:cs="宋体"/>
      <w:color w:val="000000"/>
      <w:sz w:val="20"/>
    </w:rPr>
  </w:style>
  <w:style w:type="paragraph" w:customStyle="1" w:styleId="212">
    <w:name w:val="font13"/>
    <w:basedOn w:val="1"/>
    <w:qFormat/>
    <w:uiPriority w:val="0"/>
    <w:pPr>
      <w:widowControl/>
      <w:spacing w:before="100" w:beforeAutospacing="1" w:after="100" w:afterAutospacing="1"/>
      <w:jc w:val="left"/>
    </w:pPr>
    <w:rPr>
      <w:rFonts w:ascii="Times New Roman"/>
      <w:sz w:val="20"/>
    </w:rPr>
  </w:style>
  <w:style w:type="paragraph" w:customStyle="1" w:styleId="213">
    <w:name w:val="xl71"/>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hAnsi="宋体" w:cs="宋体"/>
      <w:color w:val="000000"/>
      <w:sz w:val="24"/>
      <w:szCs w:val="24"/>
    </w:rPr>
  </w:style>
  <w:style w:type="paragraph" w:customStyle="1" w:styleId="214">
    <w:name w:val="font11"/>
    <w:basedOn w:val="1"/>
    <w:qFormat/>
    <w:uiPriority w:val="0"/>
    <w:pPr>
      <w:widowControl/>
      <w:spacing w:before="100" w:beforeAutospacing="1" w:after="100" w:afterAutospacing="1"/>
      <w:jc w:val="left"/>
    </w:pPr>
    <w:rPr>
      <w:rFonts w:hAnsi="宋体" w:cs="宋体"/>
      <w:color w:val="000000"/>
      <w:sz w:val="20"/>
    </w:rPr>
  </w:style>
  <w:style w:type="paragraph" w:customStyle="1" w:styleId="215">
    <w:name w:val="xl2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hAnsi="宋体" w:cs="宋体"/>
      <w:color w:val="000000"/>
      <w:sz w:val="20"/>
    </w:rPr>
  </w:style>
  <w:style w:type="paragraph" w:customStyle="1" w:styleId="216">
    <w:name w:val="xl2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color w:val="000000"/>
      <w:sz w:val="20"/>
    </w:rPr>
  </w:style>
  <w:style w:type="paragraph" w:customStyle="1" w:styleId="217">
    <w:name w:val="xl3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cs="宋体"/>
      <w:color w:val="000000"/>
      <w:sz w:val="20"/>
    </w:rPr>
  </w:style>
  <w:style w:type="paragraph" w:customStyle="1" w:styleId="218">
    <w:name w:val="WPSOffice手动目录 1"/>
    <w:qFormat/>
    <w:uiPriority w:val="0"/>
    <w:rPr>
      <w:rFonts w:ascii="Times New Roman" w:hAnsi="Times New Roman" w:eastAsia="宋体" w:cs="Times New Roman"/>
      <w:lang w:val="en-US" w:eastAsia="zh-CN" w:bidi="ar-SA"/>
    </w:rPr>
  </w:style>
  <w:style w:type="paragraph" w:customStyle="1" w:styleId="21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20">
    <w:name w:val="Other|1"/>
    <w:basedOn w:val="1"/>
    <w:qFormat/>
    <w:uiPriority w:val="0"/>
    <w:pPr>
      <w:spacing w:line="399" w:lineRule="exact"/>
    </w:pPr>
    <w:rPr>
      <w:rFonts w:ascii="宋体" w:hAnsi="宋体" w:eastAsia="宋体" w:cs="宋体"/>
      <w:color w:val="auto"/>
      <w:kern w:val="2"/>
      <w:sz w:val="22"/>
      <w:szCs w:val="22"/>
      <w:lang w:val="zh-TW" w:eastAsia="zh-TW" w:bidi="zh-TW"/>
    </w:rPr>
  </w:style>
  <w:style w:type="paragraph" w:customStyle="1" w:styleId="221">
    <w:name w:val="Table Text"/>
    <w:basedOn w:val="1"/>
    <w:semiHidden/>
    <w:qFormat/>
    <w:uiPriority w:val="0"/>
    <w:rPr>
      <w:sz w:val="24"/>
      <w:szCs w:val="24"/>
      <w:lang w:val="en-US" w:eastAsia="en-US" w:bidi="ar-SA"/>
    </w:rPr>
  </w:style>
  <w:style w:type="table" w:customStyle="1" w:styleId="222">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1EE265-8A90-4E7E-A8DC-B930297AC54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35</Pages>
  <Words>16347</Words>
  <Characters>17242</Characters>
  <Lines>180</Lines>
  <Paragraphs>50</Paragraphs>
  <TotalTime>5</TotalTime>
  <ScaleCrop>false</ScaleCrop>
  <LinksUpToDate>false</LinksUpToDate>
  <CharactersWithSpaces>17680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2023-06-18T12:21:00Z</dcterms:created>
  <dc:creator>hxw</dc:creator>
  <cp:lastModifiedBy>Clytze</cp:lastModifiedBy>
  <cp:lastPrinted>2024-07-12T07:05:00Z</cp:lastPrinted>
  <dcterms:modified xsi:type="dcterms:W3CDTF">2024-07-15T06:35:31Z</dcterms:modified>
  <dc:title>政府采购招标文件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6A5391488A6041E18C6EFCF7CDE3AEFA_13</vt:lpwstr>
  </property>
  <property fmtid="{D5CDD505-2E9C-101B-9397-08002B2CF9AE}" pid="4" name="_DocHome">
    <vt:i4>-1965369505</vt:i4>
  </property>
</Properties>
</file>