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sz w:val="28"/>
          <w:szCs w:val="28"/>
          <w:lang w:val="en-US" w:eastAsia="zh-CN"/>
        </w:rPr>
        <w:t>附件：</w:t>
      </w:r>
      <w:bookmarkStart w:id="0" w:name="_GoBack"/>
      <w:r>
        <w:rPr>
          <w:rFonts w:hint="eastAsia" w:asciiTheme="minorEastAsia" w:hAnsiTheme="minorEastAsia" w:eastAsiaTheme="minorEastAsia" w:cstheme="minorEastAsia"/>
          <w:b/>
          <w:bCs/>
          <w:color w:val="auto"/>
          <w:sz w:val="28"/>
          <w:szCs w:val="28"/>
          <w:highlight w:val="none"/>
          <w:lang w:val="en-US" w:eastAsia="zh-CN"/>
        </w:rPr>
        <w:t>采购需求、商务条款及评分细则</w:t>
      </w:r>
      <w:bookmarkEnd w:id="0"/>
    </w:p>
    <w:p>
      <w:pPr>
        <w:numPr>
          <w:ilvl w:val="0"/>
          <w:numId w:val="1"/>
        </w:numPr>
        <w:snapToGrid w:val="0"/>
        <w:spacing w:line="336" w:lineRule="auto"/>
        <w:ind w:right="519" w:rightChars="247"/>
        <w:outlineLvl w:val="9"/>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eastAsia="zh-CN"/>
        </w:rPr>
        <w:t>采购需求</w:t>
      </w:r>
    </w:p>
    <w:p>
      <w:pPr>
        <w:snapToGrid w:val="0"/>
        <w:spacing w:line="336" w:lineRule="auto"/>
        <w:ind w:right="519" w:rightChars="247"/>
        <w:outlineLvl w:val="9"/>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详见清单：</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268595" cy="7452360"/>
            <wp:effectExtent l="0" t="0" r="8255" b="15240"/>
            <wp:docPr id="8" name="图片 1" descr="上饶经开区天一尊邸片区两轮电动车、汽车充电桩（棚）项目-劳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上饶经开区天一尊邸片区两轮电动车、汽车充电桩（棚）项目-劳务_01"/>
                    <pic:cNvPicPr>
                      <a:picLocks noChangeAspect="1"/>
                    </pic:cNvPicPr>
                  </pic:nvPicPr>
                  <pic:blipFill>
                    <a:blip r:embed="rId6"/>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7" name="图片 2" descr="上饶经开区天一尊邸片区两轮电动车、汽车充电桩（棚）项目-劳务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上饶经开区天一尊邸片区两轮电动车、汽车充电桩（棚）项目-劳务_02"/>
                    <pic:cNvPicPr>
                      <a:picLocks noChangeAspect="1"/>
                    </pic:cNvPicPr>
                  </pic:nvPicPr>
                  <pic:blipFill>
                    <a:blip r:embed="rId7"/>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9" name="图片 3" descr="上饶经开区天一尊邸片区两轮电动车、汽车充电桩（棚）项目-劳务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上饶经开区天一尊邸片区两轮电动车、汽车充电桩（棚）项目-劳务_03"/>
                    <pic:cNvPicPr>
                      <a:picLocks noChangeAspect="1"/>
                    </pic:cNvPicPr>
                  </pic:nvPicPr>
                  <pic:blipFill>
                    <a:blip r:embed="rId8"/>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6" name="图片 4" descr="上饶经开区天一尊邸片区两轮电动车、汽车充电桩（棚）项目-劳务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上饶经开区天一尊邸片区两轮电动车、汽车充电桩（棚）项目-劳务_04"/>
                    <pic:cNvPicPr>
                      <a:picLocks noChangeAspect="1"/>
                    </pic:cNvPicPr>
                  </pic:nvPicPr>
                  <pic:blipFill>
                    <a:blip r:embed="rId9"/>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1" name="图片 5" descr="上饶经开区天一尊邸片区两轮电动车、汽车充电桩（棚）项目-劳务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上饶经开区天一尊邸片区两轮电动车、汽车充电桩（棚）项目-劳务_05"/>
                    <pic:cNvPicPr>
                      <a:picLocks noChangeAspect="1"/>
                    </pic:cNvPicPr>
                  </pic:nvPicPr>
                  <pic:blipFill>
                    <a:blip r:embed="rId10"/>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4" name="图片 6" descr="上饶经开区天一尊邸片区两轮电动车、汽车充电桩（棚）项目-劳务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上饶经开区天一尊邸片区两轮电动车、汽车充电桩（棚）项目-劳务_06"/>
                    <pic:cNvPicPr>
                      <a:picLocks noChangeAspect="1"/>
                    </pic:cNvPicPr>
                  </pic:nvPicPr>
                  <pic:blipFill>
                    <a:blip r:embed="rId11"/>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0" name="图片 7" descr="上饶经开区天一尊邸片区两轮电动车、汽车充电桩（棚）项目-劳务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上饶经开区天一尊邸片区两轮电动车、汽车充电桩（棚）项目-劳务_07"/>
                    <pic:cNvPicPr>
                      <a:picLocks noChangeAspect="1"/>
                    </pic:cNvPicPr>
                  </pic:nvPicPr>
                  <pic:blipFill>
                    <a:blip r:embed="rId12"/>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5" name="图片 8" descr="上饶经开区天一尊邸片区两轮电动车、汽车充电桩（棚）项目-劳务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上饶经开区天一尊邸片区两轮电动车、汽车充电桩（棚）项目-劳务_08"/>
                    <pic:cNvPicPr>
                      <a:picLocks noChangeAspect="1"/>
                    </pic:cNvPicPr>
                  </pic:nvPicPr>
                  <pic:blipFill>
                    <a:blip r:embed="rId13"/>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2" name="图片 9" descr="上饶经开区天一尊邸片区两轮电动车、汽车充电桩（棚）项目-劳务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上饶经开区天一尊邸片区两轮电动车、汽车充电桩（棚）项目-劳务_09"/>
                    <pic:cNvPicPr>
                      <a:picLocks noChangeAspect="1"/>
                    </pic:cNvPicPr>
                  </pic:nvPicPr>
                  <pic:blipFill>
                    <a:blip r:embed="rId14"/>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3" name="图片 10" descr="上饶经开区天一尊邸片区两轮电动车、汽车充电桩（棚）项目-劳务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上饶经开区天一尊邸片区两轮电动车、汽车充电桩（棚）项目-劳务_10"/>
                    <pic:cNvPicPr>
                      <a:picLocks noChangeAspect="1"/>
                    </pic:cNvPicPr>
                  </pic:nvPicPr>
                  <pic:blipFill>
                    <a:blip r:embed="rId15"/>
                    <a:stretch>
                      <a:fillRect/>
                    </a:stretch>
                  </pic:blipFill>
                  <pic:spPr>
                    <a:xfrm>
                      <a:off x="0" y="0"/>
                      <a:ext cx="5268595" cy="7452360"/>
                    </a:xfrm>
                    <a:prstGeom prst="rect">
                      <a:avLst/>
                    </a:prstGeom>
                    <a:noFill/>
                    <a:ln>
                      <a:noFill/>
                    </a:ln>
                  </pic:spPr>
                </pic:pic>
              </a:graphicData>
            </a:graphic>
          </wp:inline>
        </w:drawing>
      </w:r>
    </w:p>
    <w:p>
      <w:pPr>
        <w:pStyle w:val="2"/>
        <w:numPr>
          <w:ilvl w:val="0"/>
          <w:numId w:val="1"/>
        </w:numPr>
        <w:rPr>
          <w:rFonts w:hint="eastAsia"/>
          <w:lang w:eastAsia="zh-CN"/>
        </w:rPr>
      </w:pPr>
      <w:r>
        <w:rPr>
          <w:rFonts w:hint="eastAsia" w:ascii="宋体" w:hAnsi="宋体" w:eastAsia="宋体" w:cs="宋体"/>
          <w:b/>
          <w:color w:val="auto"/>
          <w:sz w:val="32"/>
          <w:szCs w:val="32"/>
          <w:highlight w:val="none"/>
          <w:lang w:val="en-US" w:eastAsia="zh-CN"/>
        </w:rPr>
        <w:br w:type="page"/>
      </w:r>
    </w:p>
    <w:p>
      <w:pPr>
        <w:pStyle w:val="2"/>
        <w:ind w:left="0" w:leftChars="0" w:firstLine="0" w:firstLineChars="0"/>
        <w:rPr>
          <w:rFonts w:hint="eastAsia" w:asciiTheme="minorEastAsia" w:hAnsiTheme="minorEastAsia" w:eastAsiaTheme="minorEastAsia" w:cstheme="minorEastAsia"/>
          <w:sz w:val="24"/>
          <w:szCs w:val="24"/>
          <w:lang w:val="en-US" w:eastAsia="zh-CN"/>
        </w:rPr>
      </w:pPr>
    </w:p>
    <w:p>
      <w:pPr>
        <w:pStyle w:val="4"/>
        <w:numPr>
          <w:ilvl w:val="0"/>
          <w:numId w:val="0"/>
        </w:numPr>
        <w:spacing w:line="440" w:lineRule="exact"/>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二、</w:t>
      </w:r>
      <w:r>
        <w:rPr>
          <w:rFonts w:hint="eastAsia" w:ascii="宋体" w:hAnsi="宋体" w:eastAsia="宋体" w:cs="宋体"/>
          <w:b/>
          <w:color w:val="auto"/>
          <w:sz w:val="32"/>
          <w:szCs w:val="32"/>
          <w:highlight w:val="none"/>
        </w:rPr>
        <w:t>商务条款</w:t>
      </w:r>
    </w:p>
    <w:p>
      <w:pPr>
        <w:spacing w:line="360" w:lineRule="auto"/>
        <w:ind w:firstLine="482"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（一）服务地点：</w:t>
      </w:r>
      <w:r>
        <w:rPr>
          <w:rFonts w:hint="eastAsia" w:asciiTheme="minorEastAsia" w:hAnsiTheme="minorEastAsia" w:eastAsiaTheme="minorEastAsia" w:cstheme="minorEastAsia"/>
          <w:color w:val="auto"/>
          <w:sz w:val="24"/>
          <w:szCs w:val="24"/>
          <w:highlight w:val="none"/>
          <w:lang w:val="en-US" w:eastAsia="zh-CN"/>
        </w:rPr>
        <w:t>上饶经济技术开发区。</w:t>
      </w:r>
    </w:p>
    <w:p>
      <w:pPr>
        <w:spacing w:line="360" w:lineRule="auto"/>
        <w:ind w:firstLine="482"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（二）服务期限：</w:t>
      </w:r>
      <w:r>
        <w:rPr>
          <w:rFonts w:hint="eastAsia" w:asciiTheme="minorEastAsia" w:hAnsiTheme="minorEastAsia" w:eastAsiaTheme="minorEastAsia" w:cstheme="minorEastAsia"/>
          <w:color w:val="auto"/>
          <w:sz w:val="24"/>
          <w:szCs w:val="24"/>
          <w:highlight w:val="none"/>
          <w:lang w:val="en-US" w:eastAsia="zh-CN"/>
        </w:rPr>
        <w:t>自合同签订之日起至本项目结束为止。</w:t>
      </w:r>
    </w:p>
    <w:p>
      <w:pPr>
        <w:spacing w:line="360" w:lineRule="auto"/>
        <w:ind w:firstLine="482"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（三）付款方式：</w:t>
      </w:r>
      <w:r>
        <w:rPr>
          <w:rFonts w:hint="eastAsia" w:asciiTheme="minorEastAsia" w:hAnsiTheme="minorEastAsia" w:eastAsiaTheme="minorEastAsia" w:cstheme="minorEastAsia"/>
          <w:color w:val="auto"/>
          <w:sz w:val="24"/>
          <w:szCs w:val="24"/>
          <w:highlight w:val="none"/>
          <w:lang w:val="en-US" w:eastAsia="zh-CN"/>
        </w:rPr>
        <w:t>项目竣工验收前，支付金额不超过合同价的80%；项目竣工验收合格并出具验收报告，支付金额不超过合同价的90%，项目二审结束并出具二审报告后支付至结算价款的97%工程款，剩余3%在质保期满后(质保期为竣工验收后一年)两个月内一次性支付，每次付款前乙方应开具合法、有效、完整、准确的增值税专用发票至甲方。</w:t>
      </w:r>
    </w:p>
    <w:p>
      <w:pPr>
        <w:spacing w:line="360" w:lineRule="auto"/>
        <w:ind w:firstLine="482"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zh-CN" w:eastAsia="zh-CN"/>
        </w:rPr>
        <w:t>（四）</w:t>
      </w:r>
      <w:r>
        <w:rPr>
          <w:rFonts w:hint="eastAsia" w:asciiTheme="minorEastAsia" w:hAnsiTheme="minorEastAsia" w:eastAsiaTheme="minorEastAsia" w:cstheme="minorEastAsia"/>
          <w:b/>
          <w:bCs/>
          <w:color w:val="auto"/>
          <w:sz w:val="24"/>
          <w:szCs w:val="24"/>
          <w:highlight w:val="none"/>
          <w:lang w:val="en-US" w:eastAsia="zh-CN"/>
        </w:rPr>
        <w:t>质保期：</w:t>
      </w:r>
      <w:r>
        <w:rPr>
          <w:rFonts w:hint="eastAsia" w:asciiTheme="minorEastAsia" w:hAnsiTheme="minorEastAsia" w:eastAsiaTheme="minorEastAsia" w:cstheme="minorEastAsia"/>
          <w:color w:val="auto"/>
          <w:sz w:val="24"/>
          <w:szCs w:val="24"/>
          <w:highlight w:val="none"/>
          <w:lang w:val="en-US" w:eastAsia="zh-CN"/>
        </w:rPr>
        <w:t>质保期为竣工验收后一年。</w:t>
      </w:r>
    </w:p>
    <w:p>
      <w:pPr>
        <w:spacing w:line="360" w:lineRule="auto"/>
        <w:ind w:firstLine="482"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五</w:t>
      </w: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项目完成期限：</w:t>
      </w:r>
      <w:r>
        <w:rPr>
          <w:rFonts w:hint="eastAsia" w:asciiTheme="minorEastAsia" w:hAnsiTheme="minorEastAsia" w:eastAsiaTheme="minorEastAsia" w:cstheme="minorEastAsia"/>
          <w:color w:val="auto"/>
          <w:sz w:val="24"/>
          <w:szCs w:val="24"/>
          <w:highlight w:val="none"/>
          <w:lang w:val="en-US" w:eastAsia="zh-CN"/>
        </w:rPr>
        <w:t>20天。</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六</w:t>
      </w:r>
      <w:r>
        <w:rPr>
          <w:rFonts w:hint="eastAsia" w:asciiTheme="minorEastAsia" w:hAnsiTheme="minorEastAsia" w:eastAsiaTheme="minorEastAsia" w:cstheme="minorEastAsia"/>
          <w:b/>
          <w:bCs/>
          <w:color w:val="auto"/>
          <w:sz w:val="24"/>
          <w:szCs w:val="24"/>
          <w:highlight w:val="none"/>
          <w:lang w:val="zh-CN" w:eastAsia="zh-CN"/>
        </w:rPr>
        <w:t>）服务质量要求及违约责任：</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1.成交供应商所提供的服务必须符合国家相关规定标准，否则采购人有权拒绝，因此产生的一切经济损失由成交供应商承担。</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2.成交供应商无正当理由不承担本项目约定的委托事项或者违反本项目规定义务，采购人有权要求成交供应商退还部分或者全部费用。</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3.采购人无正当理由不支付费用或者无故终止合同， 成交供应商已收的费用不予退还。</w:t>
      </w:r>
    </w:p>
    <w:p>
      <w:pPr>
        <w:spacing w:line="360" w:lineRule="auto"/>
        <w:ind w:firstLine="482"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七</w:t>
      </w:r>
      <w:r>
        <w:rPr>
          <w:rFonts w:hint="eastAsia" w:asciiTheme="minorEastAsia" w:hAnsiTheme="minorEastAsia" w:eastAsiaTheme="minorEastAsia" w:cstheme="minorEastAsia"/>
          <w:b/>
          <w:bCs/>
          <w:color w:val="auto"/>
          <w:sz w:val="24"/>
          <w:szCs w:val="24"/>
          <w:highlight w:val="none"/>
          <w:lang w:val="zh-CN" w:eastAsia="zh-CN"/>
        </w:rPr>
        <w:t>）其它要求：</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1.成交供应商在服务期内存在以下情况，采购人有权终止服务并更换供应商，且不再对其进行业务委托：</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①在响应中有故意隐瞒与响应文件中不符的重大事实的。</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②未经批准将所中标业务再转包或分包给其它供应商的。</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③被国家有关部门予以处罚的。</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④在为本项目服务工作中与企业串通、违反职业道德的。</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⑤未能保证服务质量的。</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⑥严重违反保密承诺的。</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2.供应商应该认真咨询、实地勘察，了解标的现状，并仔细阅读本次采购所提供的相关资料及特别规定。供应商参加投标，即表明供应商对标的的情况和特别规定的认可，投标成功后不得以未咨询或对标的不了解而提出异议或反悔。</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3.供应商应保证其提供的服务不违反关法律、行政法规的规定。</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4.成交供应商在履行合同期间，应对成交供应商（或其雇佣人员）的疏忽、故意或过失而造成采购人的直接或间接损失、第三者的财产损失及安全责任事故等负责，并承担相应费用。</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 xml:space="preserve">5.其他未尽事宜可在合同中约定 </w:t>
      </w:r>
    </w:p>
    <w:p>
      <w:pPr>
        <w:spacing w:line="360" w:lineRule="auto"/>
        <w:ind w:firstLine="482" w:firstLineChars="200"/>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 xml:space="preserve">注：以上采购需求、商务条款为必须满足项，否则作无效响应处理。  </w:t>
      </w:r>
    </w:p>
    <w:p>
      <w:pPr>
        <w:numPr>
          <w:ilvl w:val="0"/>
          <w:numId w:val="2"/>
        </w:numPr>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评分细则</w:t>
      </w:r>
    </w:p>
    <w:p>
      <w:pPr>
        <w:pStyle w:val="10"/>
        <w:shd w:val="clear" w:color="auto" w:fill="auto"/>
        <w:snapToGrid w:val="0"/>
        <w:spacing w:line="336" w:lineRule="auto"/>
        <w:jc w:val="left"/>
        <w:outlineLvl w:val="9"/>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、评分方法:综合评分法（总分100分），评分细则（计分办法保留两位小数，四舍五入）</w:t>
      </w:r>
    </w:p>
    <w:p>
      <w:pPr>
        <w:widowControl/>
        <w:shd w:val="clear" w:color="auto" w:fill="auto"/>
        <w:snapToGrid w:val="0"/>
        <w:spacing w:line="336" w:lineRule="auto"/>
        <w:outlineLvl w:val="9"/>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2</w:t>
      </w:r>
      <w:r>
        <w:rPr>
          <w:rFonts w:hint="eastAsia" w:asciiTheme="minorEastAsia" w:hAnsiTheme="minorEastAsia" w:eastAsiaTheme="minorEastAsia" w:cstheme="minorEastAsia"/>
          <w:color w:val="auto"/>
          <w:spacing w:val="6"/>
          <w:sz w:val="24"/>
          <w:szCs w:val="24"/>
          <w:highlight w:val="none"/>
          <w:lang w:val="en-US" w:eastAsia="zh-CN"/>
        </w:rPr>
        <w:t>4</w:t>
      </w:r>
      <w:r>
        <w:rPr>
          <w:rFonts w:hint="eastAsia" w:asciiTheme="minorEastAsia" w:hAnsiTheme="minorEastAsia" w:eastAsiaTheme="minorEastAsia" w:cstheme="minorEastAsia"/>
          <w:color w:val="auto"/>
          <w:spacing w:val="6"/>
          <w:sz w:val="24"/>
          <w:szCs w:val="24"/>
          <w:highlight w:val="none"/>
        </w:rPr>
        <w:t>.1 计分细则如下：</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标委员会应当按照招标文件中规定的评标方法和标准，对符合性审查合格的投标文件进行商务和技术评估，综合比较与评价。评标委员会应当按照招标文件中规定的评标方法和标准，对符合性审查合格的投标文件进行商务和技术评估，综合比较与评价。</w:t>
      </w:r>
    </w:p>
    <w:tbl>
      <w:tblPr>
        <w:tblStyle w:val="16"/>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568"/>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290"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细则</w:t>
            </w:r>
          </w:p>
          <w:p>
            <w:pPr>
              <w:spacing w:line="360" w:lineRule="auto"/>
              <w:rPr>
                <w:rFonts w:hint="eastAsia" w:asciiTheme="minorEastAsia" w:hAnsiTheme="minorEastAsia" w:eastAsiaTheme="minorEastAsia" w:cstheme="minorEastAsia"/>
                <w:sz w:val="24"/>
                <w:szCs w:val="24"/>
              </w:rPr>
            </w:pPr>
            <w:r>
              <w:rPr>
                <w:rFonts w:hint="eastAsia" w:ascii="宋体" w:hAnsi="宋体" w:eastAsia="宋体" w:cs="宋体"/>
                <w:sz w:val="24"/>
                <w:szCs w:val="24"/>
              </w:rPr>
              <w:t>项目</w:t>
            </w:r>
          </w:p>
        </w:tc>
        <w:tc>
          <w:tcPr>
            <w:tcW w:w="756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宋体" w:hAnsi="宋体" w:eastAsia="宋体" w:cs="宋体"/>
                <w:sz w:val="24"/>
                <w:szCs w:val="24"/>
              </w:rPr>
              <w:t>分值细则</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宋体" w:hAnsi="宋体" w:eastAsia="宋体" w:cs="宋体"/>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290" w:type="dxa"/>
            <w:tcBorders>
              <w:top w:val="single" w:color="auto" w:sz="4" w:space="0"/>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lang w:val="en-US" w:eastAsia="zh-CN"/>
              </w:rPr>
              <w:t>价格评分（60分）</w:t>
            </w:r>
          </w:p>
        </w:tc>
        <w:tc>
          <w:tcPr>
            <w:tcW w:w="7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1、价格分采用低价优先法计算、即满足招标文件要求且投标</w:t>
            </w:r>
            <w:r>
              <w:rPr>
                <w:rFonts w:hint="eastAsia" w:ascii="宋体" w:hAnsi="宋体" w:eastAsia="宋体" w:cs="宋体"/>
                <w:color w:val="auto"/>
                <w:sz w:val="24"/>
                <w:szCs w:val="24"/>
                <w:highlight w:val="none"/>
                <w:lang w:val="en-US" w:eastAsia="zh-CN"/>
              </w:rPr>
              <w:t>折扣</w:t>
            </w:r>
            <w:r>
              <w:rPr>
                <w:rFonts w:hint="eastAsia" w:ascii="宋体" w:hAnsi="宋体" w:eastAsia="宋体" w:cs="宋体"/>
                <w:color w:val="auto"/>
                <w:sz w:val="24"/>
                <w:szCs w:val="24"/>
                <w:highlight w:val="none"/>
              </w:rPr>
              <w:t>最低的投标报价为评标基准价、其价格分为满分。</w:t>
            </w:r>
            <w:r>
              <w:rPr>
                <w:rFonts w:hint="eastAsia" w:ascii="宋体" w:hAnsi="宋体" w:eastAsia="宋体" w:cs="宋体"/>
                <w:b/>
                <w:bCs/>
                <w:color w:val="auto"/>
                <w:sz w:val="24"/>
                <w:szCs w:val="24"/>
                <w:highlight w:val="none"/>
              </w:rPr>
              <w:t>其他投标人的价格分统一按照下列公式计算∶投标报价得分=（评标基准</w:t>
            </w:r>
            <w:r>
              <w:rPr>
                <w:rFonts w:hint="eastAsia" w:ascii="宋体" w:hAnsi="宋体" w:eastAsia="宋体" w:cs="宋体"/>
                <w:b/>
                <w:bCs/>
                <w:color w:val="auto"/>
                <w:sz w:val="24"/>
                <w:szCs w:val="24"/>
                <w:highlight w:val="none"/>
                <w:lang w:val="en-US" w:eastAsia="zh-CN"/>
              </w:rPr>
              <w:t>折扣</w:t>
            </w:r>
            <w:r>
              <w:rPr>
                <w:rFonts w:hint="eastAsia" w:ascii="宋体" w:hAnsi="宋体" w:eastAsia="宋体" w:cs="宋体"/>
                <w:b/>
                <w:bCs/>
                <w:color w:val="auto"/>
                <w:sz w:val="24"/>
                <w:szCs w:val="24"/>
                <w:highlight w:val="none"/>
              </w:rPr>
              <w:t>/投标</w:t>
            </w:r>
            <w:r>
              <w:rPr>
                <w:rFonts w:hint="eastAsia" w:ascii="宋体" w:hAnsi="宋体" w:eastAsia="宋体" w:cs="宋体"/>
                <w:b/>
                <w:bCs/>
                <w:color w:val="auto"/>
                <w:sz w:val="24"/>
                <w:szCs w:val="24"/>
                <w:highlight w:val="none"/>
                <w:lang w:val="en-US" w:eastAsia="zh-CN"/>
              </w:rPr>
              <w:t>折扣</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60</w:t>
            </w:r>
            <w:r>
              <w:rPr>
                <w:rFonts w:hint="eastAsia" w:ascii="宋体" w:hAnsi="宋体" w:eastAsia="宋体" w:cs="宋体"/>
                <w:b/>
                <w:bCs/>
                <w:color w:val="auto"/>
                <w:sz w:val="24"/>
                <w:szCs w:val="24"/>
                <w:highlight w:val="none"/>
              </w:rPr>
              <w:t>，计算价格分数时四舍五入取小数点后两位。</w:t>
            </w:r>
          </w:p>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2、若投标人投标价格超出采购预算，则该投标人被视为无效投标。</w:t>
            </w:r>
          </w:p>
          <w:p>
            <w:pPr>
              <w:snapToGrid w:val="0"/>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color w:val="auto"/>
                <w:sz w:val="24"/>
                <w:szCs w:val="24"/>
                <w:highlight w:val="none"/>
              </w:rPr>
              <w:t>3、投标人应结合实际情况合理进行报价，如评标委员会认为投标人报价明显低于其他通过符合性审查投标人的报价，有可能影响产品质量或者不能诚信履约，应当要求其在现场合理时间内提供书面说明，必要时提供相关证明材料，投标人不能证明其报价合理的，评标委员会应当将其作为无效投标处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kern w:val="2"/>
                <w:sz w:val="24"/>
                <w:szCs w:val="24"/>
                <w:lang w:val="zh-CN" w:eastAsia="zh-CN" w:bidi="ar-SA"/>
              </w:rPr>
            </w:pPr>
            <w:r>
              <w:rPr>
                <w:rFonts w:hint="eastAsia" w:ascii="宋体" w:hAnsi="宋体" w:eastAsia="宋体" w:cs="宋体"/>
                <w:sz w:val="24"/>
                <w:szCs w:val="24"/>
                <w:lang w:val="en-US" w:eastAsia="zh-CN"/>
              </w:rPr>
              <w:t>60</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290" w:type="dxa"/>
            <w:vMerge w:val="restart"/>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zh-CN"/>
              </w:rPr>
            </w:pPr>
            <w:r>
              <w:rPr>
                <w:rFonts w:hint="eastAsia" w:ascii="宋体" w:hAnsi="宋体" w:eastAsia="宋体" w:cs="宋体"/>
                <w:sz w:val="24"/>
                <w:szCs w:val="24"/>
                <w:lang w:val="zh-CN"/>
              </w:rPr>
              <w:t>技术评分</w:t>
            </w:r>
          </w:p>
          <w:p>
            <w:pPr>
              <w:spacing w:line="360" w:lineRule="auto"/>
              <w:rPr>
                <w:rFonts w:hint="eastAsia" w:asciiTheme="minorEastAsia" w:hAnsiTheme="minorEastAsia" w:eastAsiaTheme="minorEastAsia" w:cstheme="minorEastAsia"/>
                <w:sz w:val="24"/>
                <w:szCs w:val="24"/>
                <w:lang w:val="zh-CN"/>
              </w:rPr>
            </w:pPr>
            <w:r>
              <w:rPr>
                <w:rFonts w:hint="eastAsia" w:ascii="宋体" w:hAnsi="宋体" w:eastAsia="宋体" w:cs="宋体"/>
                <w:sz w:val="24"/>
                <w:szCs w:val="24"/>
                <w:lang w:val="zh-CN"/>
              </w:rPr>
              <w:t>（</w:t>
            </w:r>
            <w:r>
              <w:rPr>
                <w:rFonts w:hint="eastAsia" w:ascii="宋体" w:hAnsi="宋体" w:eastAsia="宋体" w:cs="宋体"/>
                <w:sz w:val="24"/>
                <w:szCs w:val="24"/>
                <w:lang w:val="en-US" w:eastAsia="zh-CN"/>
              </w:rPr>
              <w:t>20</w:t>
            </w:r>
            <w:r>
              <w:rPr>
                <w:rFonts w:hint="eastAsia" w:ascii="宋体" w:hAnsi="宋体" w:eastAsia="宋体" w:cs="宋体"/>
                <w:sz w:val="24"/>
                <w:szCs w:val="24"/>
                <w:lang w:val="zh-CN"/>
              </w:rPr>
              <w:t>分）</w:t>
            </w:r>
          </w:p>
        </w:tc>
        <w:tc>
          <w:tcPr>
            <w:tcW w:w="8551" w:type="dxa"/>
            <w:gridSpan w:val="2"/>
            <w:tcBorders>
              <w:top w:val="single" w:color="auto" w:sz="4" w:space="0"/>
              <w:left w:val="single" w:color="auto" w:sz="4" w:space="0"/>
              <w:bottom w:val="single" w:color="auto" w:sz="4" w:space="0"/>
              <w:right w:val="single" w:color="auto" w:sz="4" w:space="0"/>
            </w:tcBorders>
            <w:noWrap w:val="0"/>
            <w:vAlign w:val="center"/>
          </w:tcPr>
          <w:p>
            <w:pPr>
              <w:pStyle w:val="26"/>
              <w:numPr>
                <w:ilvl w:val="0"/>
                <w:numId w:val="0"/>
              </w:numPr>
              <w:spacing w:line="360" w:lineRule="auto"/>
              <w:rPr>
                <w:rFonts w:hint="eastAsia" w:ascii="宋体" w:hAnsi="宋体" w:eastAsia="宋体" w:cs="宋体"/>
                <w:sz w:val="24"/>
                <w:szCs w:val="24"/>
              </w:rPr>
            </w:pPr>
            <w:r>
              <w:rPr>
                <w:rFonts w:hint="eastAsia" w:hAnsi="宋体" w:cs="宋体"/>
                <w:sz w:val="24"/>
                <w:szCs w:val="24"/>
                <w:lang w:val="en-US" w:eastAsia="zh-CN"/>
              </w:rPr>
              <w:t>1.投标人</w:t>
            </w:r>
            <w:r>
              <w:rPr>
                <w:rFonts w:hint="eastAsia" w:ascii="宋体" w:hAnsi="宋体" w:eastAsia="宋体" w:cs="宋体"/>
                <w:sz w:val="24"/>
                <w:szCs w:val="24"/>
              </w:rPr>
              <w:t>全部满足</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第五章</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eastAsia="zh-CN"/>
              </w:rPr>
              <w:t>采购需求</w:t>
            </w:r>
            <w:r>
              <w:rPr>
                <w:rFonts w:hint="eastAsia" w:ascii="宋体" w:hAnsi="宋体" w:eastAsia="宋体" w:cs="宋体"/>
                <w:b/>
                <w:bCs/>
                <w:sz w:val="24"/>
                <w:szCs w:val="24"/>
              </w:rPr>
              <w:t>及商务条款</w:t>
            </w:r>
            <w:r>
              <w:rPr>
                <w:rFonts w:hint="eastAsia" w:ascii="宋体" w:hAnsi="宋体" w:eastAsia="宋体" w:cs="宋体"/>
                <w:b/>
                <w:bCs/>
                <w:sz w:val="24"/>
                <w:szCs w:val="24"/>
                <w:lang w:val="en-US" w:eastAsia="zh-CN"/>
              </w:rPr>
              <w:t xml:space="preserve"> 一、采购需求”</w:t>
            </w:r>
            <w:r>
              <w:rPr>
                <w:rFonts w:hint="eastAsia" w:ascii="宋体" w:hAnsi="宋体" w:eastAsia="宋体" w:cs="宋体"/>
                <w:sz w:val="24"/>
                <w:szCs w:val="24"/>
              </w:rPr>
              <w:t>，</w:t>
            </w:r>
            <w:r>
              <w:rPr>
                <w:rFonts w:hint="eastAsia" w:hAnsi="宋体" w:cs="宋体"/>
                <w:sz w:val="24"/>
                <w:szCs w:val="24"/>
                <w:lang w:val="en-US" w:eastAsia="zh-CN"/>
              </w:rPr>
              <w:t>有</w:t>
            </w:r>
            <w:r>
              <w:rPr>
                <w:rFonts w:hint="eastAsia" w:ascii="宋体" w:hAnsi="宋体" w:eastAsia="宋体" w:cs="宋体"/>
                <w:sz w:val="24"/>
                <w:szCs w:val="24"/>
              </w:rPr>
              <w:t>任意一项不满足</w:t>
            </w:r>
            <w:r>
              <w:rPr>
                <w:rFonts w:hint="eastAsia" w:ascii="宋体" w:hAnsi="宋体" w:eastAsia="宋体" w:cs="宋体"/>
                <w:sz w:val="24"/>
                <w:szCs w:val="24"/>
                <w:lang w:val="en-US" w:eastAsia="zh-CN"/>
              </w:rPr>
              <w:t>或负偏离</w:t>
            </w:r>
            <w:r>
              <w:rPr>
                <w:rFonts w:hint="eastAsia" w:ascii="宋体" w:hAnsi="宋体" w:eastAsia="宋体" w:cs="宋体"/>
                <w:sz w:val="24"/>
                <w:szCs w:val="24"/>
              </w:rPr>
              <w:t>的作无效</w:t>
            </w:r>
            <w:r>
              <w:rPr>
                <w:rFonts w:hint="eastAsia" w:ascii="宋体" w:hAnsi="宋体" w:eastAsia="宋体" w:cs="宋体"/>
                <w:sz w:val="24"/>
                <w:szCs w:val="24"/>
                <w:lang w:val="en-US" w:eastAsia="zh-CN"/>
              </w:rPr>
              <w:t>投标</w:t>
            </w:r>
            <w:r>
              <w:rPr>
                <w:rFonts w:hint="eastAsia" w:ascii="宋体" w:hAnsi="宋体" w:eastAsia="宋体" w:cs="宋体"/>
                <w:sz w:val="24"/>
                <w:szCs w:val="24"/>
              </w:rPr>
              <w:t>处理。</w:t>
            </w:r>
          </w:p>
          <w:p>
            <w:pPr>
              <w:spacing w:line="360" w:lineRule="auto"/>
              <w:jc w:val="both"/>
              <w:rPr>
                <w:rFonts w:hint="eastAsia" w:asciiTheme="minorEastAsia" w:hAnsiTheme="minorEastAsia" w:eastAsiaTheme="minorEastAsia" w:cstheme="minorEastAsia"/>
                <w:sz w:val="24"/>
                <w:szCs w:val="24"/>
                <w:lang w:val="zh-CN"/>
              </w:rPr>
            </w:pPr>
            <w:r>
              <w:rPr>
                <w:rFonts w:hint="eastAsia" w:ascii="宋体" w:hAnsi="宋体" w:eastAsia="宋体" w:cs="宋体"/>
                <w:b/>
                <w:bCs/>
                <w:sz w:val="24"/>
                <w:szCs w:val="24"/>
              </w:rPr>
              <w:t>评审依据：</w:t>
            </w:r>
            <w:r>
              <w:rPr>
                <w:rFonts w:hint="eastAsia" w:ascii="宋体" w:hAnsi="宋体" w:cs="宋体"/>
                <w:b/>
                <w:bCs/>
                <w:sz w:val="24"/>
                <w:szCs w:val="24"/>
                <w:lang w:val="en-US" w:eastAsia="zh-CN"/>
              </w:rPr>
              <w:t>投标文件中</w:t>
            </w:r>
            <w:r>
              <w:rPr>
                <w:rFonts w:hint="eastAsia" w:ascii="宋体" w:hAnsi="宋体" w:eastAsia="宋体" w:cs="宋体"/>
                <w:b/>
                <w:bCs/>
                <w:sz w:val="24"/>
                <w:szCs w:val="24"/>
              </w:rPr>
              <w:t>提供</w:t>
            </w:r>
            <w:r>
              <w:rPr>
                <w:rFonts w:hint="eastAsia" w:ascii="宋体" w:hAnsi="宋体" w:eastAsia="宋体" w:cs="宋体"/>
                <w:b/>
                <w:bCs/>
                <w:sz w:val="24"/>
                <w:szCs w:val="24"/>
                <w:lang w:val="en-US" w:eastAsia="zh-CN"/>
              </w:rPr>
              <w:t>服务</w:t>
            </w:r>
            <w:r>
              <w:rPr>
                <w:rFonts w:hint="eastAsia" w:ascii="宋体" w:hAnsi="宋体" w:eastAsia="宋体" w:cs="宋体"/>
                <w:b/>
                <w:bCs/>
                <w:sz w:val="24"/>
                <w:szCs w:val="24"/>
              </w:rPr>
              <w:t>响应/偏离表</w:t>
            </w:r>
            <w:r>
              <w:rPr>
                <w:rFonts w:hint="eastAsia" w:ascii="宋体" w:hAnsi="宋体" w:eastAsia="宋体" w:cs="宋体"/>
                <w:b/>
                <w:bCs/>
                <w:sz w:val="24"/>
                <w:szCs w:val="24"/>
                <w:lang w:eastAsia="zh-CN"/>
              </w:rPr>
              <w:t>。</w:t>
            </w:r>
            <w:r>
              <w:rPr>
                <w:rFonts w:hint="default" w:ascii="宋体" w:hAnsi="宋体" w:eastAsia="宋体" w:cs="宋体"/>
                <w:b/>
                <w:bCs/>
                <w:color w:val="auto"/>
                <w:sz w:val="24"/>
                <w:szCs w:val="24"/>
                <w:highlight w:val="none"/>
                <w:lang w:val="en-US" w:eastAsia="zh-CN"/>
              </w:rPr>
              <w:t>文件另有约定的从其约定。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lang w:val="zh-CN"/>
              </w:rPr>
            </w:pPr>
          </w:p>
        </w:tc>
        <w:tc>
          <w:tcPr>
            <w:tcW w:w="756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2.</w:t>
            </w:r>
            <w:r>
              <w:rPr>
                <w:rFonts w:hint="eastAsia" w:ascii="宋体" w:hAnsi="宋体" w:eastAsia="宋体" w:cs="宋体"/>
                <w:b/>
                <w:bCs/>
                <w:sz w:val="24"/>
                <w:szCs w:val="24"/>
                <w:lang w:val="en-US" w:eastAsia="zh-CN"/>
              </w:rPr>
              <w:t>施工组织方案</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投标人提</w:t>
            </w:r>
            <w:r>
              <w:rPr>
                <w:rFonts w:hint="eastAsia" w:ascii="宋体" w:hAnsi="宋体" w:eastAsia="宋体" w:cs="宋体"/>
                <w:sz w:val="24"/>
                <w:szCs w:val="24"/>
                <w:highlight w:val="none"/>
                <w:lang w:val="en-US" w:eastAsia="zh-CN"/>
              </w:rPr>
              <w:t>供施工组织方案包括：</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highlight w:val="none"/>
                <w:lang w:val="en-US" w:eastAsia="zh-CN"/>
              </w:rPr>
              <w:t>①</w:t>
            </w:r>
            <w:r>
              <w:rPr>
                <w:rFonts w:hint="eastAsia" w:ascii="宋体" w:hAnsi="宋体" w:eastAsia="宋体" w:cs="宋体"/>
                <w:sz w:val="24"/>
                <w:szCs w:val="24"/>
                <w:highlight w:val="none"/>
                <w:lang w:val="en-US" w:eastAsia="zh-CN"/>
              </w:rPr>
              <w:t>施工组织</w:t>
            </w:r>
            <w:r>
              <w:rPr>
                <w:rFonts w:hint="eastAsia" w:ascii="宋体" w:hAnsi="宋体" w:cs="宋体"/>
                <w:sz w:val="24"/>
                <w:szCs w:val="24"/>
                <w:highlight w:val="none"/>
                <w:lang w:val="en-US" w:eastAsia="zh-CN"/>
              </w:rPr>
              <w:t>架构</w:t>
            </w:r>
            <w:r>
              <w:rPr>
                <w:rFonts w:hint="eastAsia" w:ascii="宋体" w:hAnsi="宋体" w:eastAsia="宋体" w:cs="宋体"/>
                <w:sz w:val="24"/>
                <w:szCs w:val="24"/>
                <w:lang w:val="en-US" w:eastAsia="zh-CN"/>
              </w:rPr>
              <w:t>；</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②</w:t>
            </w:r>
            <w:r>
              <w:rPr>
                <w:rFonts w:hint="eastAsia" w:ascii="宋体" w:hAnsi="宋体" w:eastAsia="宋体" w:cs="宋体"/>
                <w:sz w:val="24"/>
                <w:szCs w:val="24"/>
                <w:lang w:val="en-US" w:eastAsia="zh-CN"/>
              </w:rPr>
              <w:t>劳动力配备计划；</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③</w:t>
            </w:r>
            <w:r>
              <w:rPr>
                <w:rFonts w:hint="eastAsia" w:ascii="宋体" w:hAnsi="宋体" w:eastAsia="宋体" w:cs="宋体"/>
                <w:sz w:val="24"/>
                <w:szCs w:val="24"/>
                <w:lang w:val="en-US" w:eastAsia="zh-CN"/>
              </w:rPr>
              <w:t>劳动保障措施；</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方案包含以上3点且</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详实、描述清晰完整、合理、可行性高的得分</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分；方案包含以上3点</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基本详实、描述基本完整、合理、具备可行性的得</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分；方案包含以上3点但内容简单、描述不够清晰完整、合理性可行性低的得分</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分；方案未完全包含以上3点不得分。</w:t>
            </w:r>
          </w:p>
          <w:p>
            <w:pPr>
              <w:spacing w:line="360" w:lineRule="auto"/>
              <w:rPr>
                <w:rFonts w:hint="eastAsia" w:asciiTheme="minorEastAsia" w:hAnsiTheme="minorEastAsia" w:eastAsiaTheme="minorEastAsia" w:cstheme="minorEastAsia"/>
                <w:sz w:val="24"/>
                <w:szCs w:val="24"/>
                <w:lang w:val="en-US"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en-US" w:eastAsia="zh-CN"/>
              </w:rPr>
              <w:t>根据供应商提供的施工组织方案加盖供应商公章进行评分，未提供不得分。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rPr>
            </w:pPr>
          </w:p>
        </w:tc>
        <w:tc>
          <w:tcPr>
            <w:tcW w:w="7568" w:type="dxa"/>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3.</w:t>
            </w:r>
            <w:r>
              <w:rPr>
                <w:rFonts w:hint="eastAsia" w:ascii="宋体" w:hAnsi="宋体" w:eastAsia="宋体" w:cs="宋体"/>
                <w:b/>
                <w:bCs/>
                <w:sz w:val="24"/>
                <w:szCs w:val="24"/>
                <w:lang w:val="en-US" w:eastAsia="zh-CN"/>
              </w:rPr>
              <w:t>文明保障措施方案</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投标人提供文明保障措施方案包括：</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①</w:t>
            </w:r>
            <w:r>
              <w:rPr>
                <w:rFonts w:hint="eastAsia" w:ascii="宋体" w:hAnsi="宋体" w:eastAsia="宋体" w:cs="宋体"/>
                <w:sz w:val="24"/>
                <w:szCs w:val="24"/>
                <w:lang w:val="en-US" w:eastAsia="zh-CN"/>
              </w:rPr>
              <w:t>文明施工制度及措施</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②</w:t>
            </w:r>
            <w:r>
              <w:rPr>
                <w:rFonts w:hint="eastAsia" w:ascii="宋体" w:hAnsi="宋体" w:eastAsia="宋体" w:cs="宋体"/>
                <w:sz w:val="24"/>
                <w:szCs w:val="24"/>
                <w:lang w:val="en-US" w:eastAsia="zh-CN"/>
              </w:rPr>
              <w:t>环境保护制度及措施</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方案包含以上2点且</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详实、描述清晰完整、合理、可行性高的得分</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分；方案包含以上2点</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基本详实、描述基本完整、合理、具备可行性的得</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分；方案包含以上2点但内容简单、描述不够清晰完整、合理性可行性低的得分</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分；方案未完全包含以上2点不得分。</w:t>
            </w:r>
          </w:p>
          <w:p>
            <w:pPr>
              <w:spacing w:line="360" w:lineRule="auto"/>
              <w:rPr>
                <w:rFonts w:hint="eastAsia" w:asciiTheme="minorEastAsia" w:hAnsiTheme="minorEastAsia" w:eastAsiaTheme="minorEastAsia" w:cstheme="minorEastAsia"/>
                <w:sz w:val="24"/>
                <w:szCs w:val="24"/>
                <w:lang w:val="en-US"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en-US" w:eastAsia="zh-CN"/>
              </w:rPr>
              <w:t>根据供应商提供的文明保障措施方案加盖供应商公章进行评分，未提供不得分。</w:t>
            </w:r>
          </w:p>
        </w:tc>
        <w:tc>
          <w:tcPr>
            <w:tcW w:w="983" w:type="dxa"/>
            <w:tcBorders>
              <w:left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rPr>
            </w:pPr>
          </w:p>
        </w:tc>
        <w:tc>
          <w:tcPr>
            <w:tcW w:w="7568" w:type="dxa"/>
            <w:tcBorders>
              <w:top w:val="single" w:color="auto" w:sz="4" w:space="0"/>
              <w:left w:val="single" w:color="auto" w:sz="4" w:space="0"/>
              <w:right w:val="single" w:color="auto" w:sz="4" w:space="0"/>
            </w:tcBorders>
            <w:noWrap w:val="0"/>
            <w:vAlign w:val="center"/>
          </w:tcPr>
          <w:p>
            <w:pPr>
              <w:pStyle w:val="22"/>
              <w:numPr>
                <w:ilvl w:val="0"/>
                <w:numId w:val="0"/>
              </w:numPr>
              <w:spacing w:line="360" w:lineRule="auto"/>
              <w:rPr>
                <w:rFonts w:hint="eastAsia" w:ascii="宋体" w:hAnsi="宋体" w:eastAsia="宋体" w:cs="宋体"/>
                <w:kern w:val="2"/>
                <w:sz w:val="24"/>
                <w:szCs w:val="24"/>
                <w:lang w:val="en-US" w:eastAsia="zh-CN" w:bidi="ar-SA"/>
              </w:rPr>
            </w:pPr>
            <w:r>
              <w:rPr>
                <w:rFonts w:hint="eastAsia" w:cs="宋体"/>
                <w:kern w:val="2"/>
                <w:sz w:val="24"/>
                <w:szCs w:val="24"/>
                <w:lang w:val="en-US" w:eastAsia="zh-CN" w:bidi="ar-SA"/>
              </w:rPr>
              <w:t>4.</w:t>
            </w:r>
            <w:r>
              <w:rPr>
                <w:rFonts w:hint="eastAsia" w:ascii="宋体" w:hAnsi="宋体" w:eastAsia="宋体" w:cs="宋体"/>
                <w:kern w:val="2"/>
                <w:sz w:val="24"/>
                <w:szCs w:val="24"/>
                <w:lang w:val="en-US" w:eastAsia="zh-CN" w:bidi="ar-SA"/>
              </w:rPr>
              <w:t>拟派施工团队</w:t>
            </w:r>
            <w:r>
              <w:rPr>
                <w:rFonts w:hint="eastAsia" w:cs="宋体"/>
                <w:kern w:val="2"/>
                <w:sz w:val="24"/>
                <w:szCs w:val="24"/>
                <w:lang w:val="en-US" w:eastAsia="zh-CN" w:bidi="ar-SA"/>
              </w:rPr>
              <w:t>具有：</w:t>
            </w:r>
            <w:r>
              <w:rPr>
                <w:rFonts w:hint="eastAsia" w:ascii="宋体" w:hAnsi="宋体" w:eastAsia="宋体" w:cs="宋体"/>
                <w:kern w:val="2"/>
                <w:sz w:val="24"/>
                <w:szCs w:val="24"/>
                <w:lang w:val="en-US" w:eastAsia="zh-CN" w:bidi="ar-SA"/>
              </w:rPr>
              <w:t>施工员、安全员、质量员、材料员、标准员、机械员、劳务员、资料员的，</w:t>
            </w:r>
            <w:r>
              <w:rPr>
                <w:rFonts w:hint="eastAsia" w:cs="宋体"/>
                <w:kern w:val="2"/>
                <w:sz w:val="24"/>
                <w:szCs w:val="24"/>
                <w:lang w:val="en-US" w:eastAsia="zh-CN" w:bidi="ar-SA"/>
              </w:rPr>
              <w:t>全部满足</w:t>
            </w:r>
            <w:r>
              <w:rPr>
                <w:rFonts w:hint="eastAsia" w:ascii="宋体" w:hAnsi="宋体" w:eastAsia="宋体" w:cs="宋体"/>
                <w:kern w:val="2"/>
                <w:sz w:val="24"/>
                <w:szCs w:val="24"/>
                <w:lang w:val="en-US" w:eastAsia="zh-CN" w:bidi="ar-SA"/>
              </w:rPr>
              <w:t>得</w:t>
            </w:r>
            <w:r>
              <w:rPr>
                <w:rFonts w:hint="eastAsia" w:cs="宋体"/>
                <w:kern w:val="2"/>
                <w:sz w:val="24"/>
                <w:szCs w:val="24"/>
                <w:lang w:val="en-US" w:eastAsia="zh-CN" w:bidi="ar-SA"/>
              </w:rPr>
              <w:t>8</w:t>
            </w:r>
            <w:r>
              <w:rPr>
                <w:rFonts w:hint="eastAsia" w:ascii="宋体" w:hAnsi="宋体" w:eastAsia="宋体" w:cs="宋体"/>
                <w:kern w:val="2"/>
                <w:sz w:val="24"/>
                <w:szCs w:val="24"/>
                <w:lang w:val="en-US" w:eastAsia="zh-CN" w:bidi="ar-SA"/>
              </w:rPr>
              <w:t>分，</w:t>
            </w:r>
            <w:r>
              <w:rPr>
                <w:rFonts w:hint="eastAsia" w:cs="宋体"/>
                <w:kern w:val="2"/>
                <w:sz w:val="24"/>
                <w:szCs w:val="24"/>
                <w:lang w:val="en-US" w:eastAsia="zh-CN" w:bidi="ar-SA"/>
              </w:rPr>
              <w:t>每少一项扣1分</w:t>
            </w:r>
            <w:r>
              <w:rPr>
                <w:rFonts w:hint="eastAsia" w:ascii="宋体" w:hAnsi="宋体" w:eastAsia="宋体" w:cs="宋体"/>
                <w:kern w:val="2"/>
                <w:sz w:val="24"/>
                <w:szCs w:val="24"/>
                <w:lang w:val="en-US" w:eastAsia="zh-CN" w:bidi="ar-SA"/>
              </w:rPr>
              <w:t>。</w:t>
            </w:r>
          </w:p>
          <w:p>
            <w:pPr>
              <w:spacing w:line="360" w:lineRule="auto"/>
              <w:rPr>
                <w:rFonts w:hint="eastAsia" w:asciiTheme="minorEastAsia" w:hAnsiTheme="minorEastAsia" w:eastAsiaTheme="minorEastAsia" w:cstheme="minorEastAsia"/>
                <w:b/>
                <w:bCs/>
                <w:sz w:val="24"/>
                <w:szCs w:val="24"/>
              </w:rPr>
            </w:pPr>
            <w:r>
              <w:rPr>
                <w:rFonts w:hint="eastAsia" w:ascii="宋体" w:hAnsi="宋体" w:eastAsia="宋体" w:cs="宋体"/>
                <w:b/>
                <w:bCs/>
                <w:kern w:val="2"/>
                <w:sz w:val="24"/>
                <w:szCs w:val="24"/>
                <w:lang w:val="en-US" w:eastAsia="zh-CN" w:bidi="ar-SA"/>
              </w:rPr>
              <w:t>评审依据：</w:t>
            </w:r>
            <w:r>
              <w:rPr>
                <w:rFonts w:hint="eastAsia" w:ascii="宋体" w:hAnsi="宋体" w:cs="宋体"/>
                <w:b/>
                <w:bCs/>
                <w:sz w:val="24"/>
                <w:szCs w:val="24"/>
                <w:lang w:val="en-US" w:eastAsia="zh-CN"/>
              </w:rPr>
              <w:t>投</w:t>
            </w:r>
            <w:r>
              <w:rPr>
                <w:rFonts w:hint="eastAsia" w:ascii="宋体" w:hAnsi="宋体" w:eastAsia="宋体" w:cs="宋体"/>
                <w:b/>
                <w:bCs/>
                <w:kern w:val="2"/>
                <w:sz w:val="24"/>
                <w:szCs w:val="24"/>
                <w:lang w:val="en-US" w:eastAsia="zh-CN" w:bidi="ar-SA"/>
              </w:rPr>
              <w:t>标文件中提供有效的岗位证书，劳动合同，拟派人员在本单位缴纳开标前（不含开标当月）</w:t>
            </w:r>
            <w:r>
              <w:rPr>
                <w:rFonts w:hint="eastAsia" w:ascii="宋体" w:hAnsi="宋体" w:cs="宋体"/>
                <w:b/>
                <w:bCs/>
                <w:kern w:val="2"/>
                <w:sz w:val="24"/>
                <w:szCs w:val="24"/>
                <w:lang w:val="en-US" w:eastAsia="zh-CN" w:bidi="ar-SA"/>
              </w:rPr>
              <w:t>近3</w:t>
            </w:r>
            <w:r>
              <w:rPr>
                <w:rFonts w:hint="eastAsia" w:ascii="宋体" w:hAnsi="宋体" w:eastAsia="宋体" w:cs="宋体"/>
                <w:b/>
                <w:bCs/>
                <w:kern w:val="2"/>
                <w:sz w:val="24"/>
                <w:szCs w:val="24"/>
                <w:lang w:val="en-US" w:eastAsia="zh-CN" w:bidi="ar-SA"/>
              </w:rPr>
              <w:t>个月</w:t>
            </w:r>
            <w:r>
              <w:rPr>
                <w:rFonts w:hint="eastAsia" w:ascii="宋体" w:hAnsi="宋体" w:cs="宋体"/>
                <w:b/>
                <w:bCs/>
                <w:kern w:val="2"/>
                <w:sz w:val="24"/>
                <w:szCs w:val="24"/>
                <w:lang w:val="en-US" w:eastAsia="zh-CN" w:bidi="ar-SA"/>
              </w:rPr>
              <w:t>内任意一个月</w:t>
            </w:r>
            <w:r>
              <w:rPr>
                <w:rFonts w:hint="eastAsia" w:ascii="宋体" w:hAnsi="宋体" w:eastAsia="宋体" w:cs="宋体"/>
                <w:b/>
                <w:bCs/>
                <w:kern w:val="2"/>
                <w:sz w:val="24"/>
                <w:szCs w:val="24"/>
                <w:lang w:val="en-US" w:eastAsia="zh-CN" w:bidi="ar-SA"/>
              </w:rPr>
              <w:t>的社保证明复印件。</w:t>
            </w:r>
          </w:p>
        </w:tc>
        <w:tc>
          <w:tcPr>
            <w:tcW w:w="983" w:type="dxa"/>
            <w:tcBorders>
              <w:left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宋体" w:hAnsi="宋体" w:cs="宋体"/>
                <w:kern w:val="2"/>
                <w:sz w:val="24"/>
                <w:szCs w:val="24"/>
                <w:lang w:val="en-US" w:eastAsia="zh-CN" w:bidi="ar-SA"/>
              </w:rPr>
              <w:t>8</w:t>
            </w:r>
            <w:r>
              <w:rPr>
                <w:rFonts w:hint="eastAsia" w:ascii="宋体" w:hAnsi="宋体" w:eastAsia="宋体" w:cs="宋体"/>
                <w:kern w:val="2"/>
                <w:sz w:val="24"/>
                <w:szCs w:val="24"/>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0" w:type="dxa"/>
            <w:vMerge w:val="restart"/>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商务评分</w:t>
            </w:r>
          </w:p>
          <w:p>
            <w:pPr>
              <w:spacing w:line="360" w:lineRule="auto"/>
              <w:rPr>
                <w:rFonts w:hint="eastAsia" w:asciiTheme="minorEastAsia" w:hAnsiTheme="minorEastAsia" w:eastAsiaTheme="minorEastAsia" w:cstheme="minorEastAsia"/>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c>
          <w:tcPr>
            <w:tcW w:w="855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r>
              <w:rPr>
                <w:rFonts w:hint="eastAsia" w:ascii="宋体" w:hAnsi="宋体" w:cs="宋体"/>
                <w:sz w:val="24"/>
                <w:szCs w:val="24"/>
                <w:lang w:val="en-US" w:eastAsia="zh-CN"/>
              </w:rPr>
              <w:t>1.投标人全部</w:t>
            </w:r>
            <w:r>
              <w:rPr>
                <w:rFonts w:hint="eastAsia" w:ascii="宋体" w:hAnsi="宋体" w:eastAsia="宋体" w:cs="宋体"/>
                <w:sz w:val="24"/>
                <w:szCs w:val="24"/>
              </w:rPr>
              <w:t>满足</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第五章</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eastAsia="zh-CN"/>
              </w:rPr>
              <w:t>采购需求</w:t>
            </w:r>
            <w:r>
              <w:rPr>
                <w:rFonts w:hint="eastAsia" w:ascii="宋体" w:hAnsi="宋体" w:eastAsia="宋体" w:cs="宋体"/>
                <w:b/>
                <w:bCs/>
                <w:sz w:val="24"/>
                <w:szCs w:val="24"/>
              </w:rPr>
              <w:t>及商务条款</w:t>
            </w:r>
            <w:r>
              <w:rPr>
                <w:rFonts w:hint="eastAsia" w:ascii="宋体" w:hAnsi="宋体" w:eastAsia="宋体" w:cs="宋体"/>
                <w:b/>
                <w:bCs/>
                <w:sz w:val="24"/>
                <w:szCs w:val="24"/>
                <w:lang w:val="en-US" w:eastAsia="zh-CN"/>
              </w:rPr>
              <w:t xml:space="preserve"> 一、</w:t>
            </w:r>
            <w:r>
              <w:rPr>
                <w:rFonts w:hint="eastAsia" w:ascii="宋体" w:hAnsi="宋体" w:eastAsia="宋体" w:cs="宋体"/>
                <w:b/>
                <w:bCs/>
                <w:sz w:val="24"/>
                <w:szCs w:val="24"/>
              </w:rPr>
              <w:t>商务条款</w:t>
            </w:r>
            <w:r>
              <w:rPr>
                <w:rFonts w:hint="eastAsia" w:ascii="宋体" w:hAnsi="宋体" w:eastAsia="宋体" w:cs="宋体"/>
                <w:b/>
                <w:bCs/>
                <w:sz w:val="24"/>
                <w:szCs w:val="24"/>
                <w:lang w:val="en-US" w:eastAsia="zh-CN"/>
              </w:rPr>
              <w:t>”</w:t>
            </w:r>
            <w:r>
              <w:rPr>
                <w:rFonts w:hint="eastAsia" w:ascii="宋体" w:hAnsi="宋体" w:eastAsia="宋体" w:cs="宋体"/>
                <w:sz w:val="24"/>
                <w:szCs w:val="24"/>
              </w:rPr>
              <w:t>，</w:t>
            </w:r>
            <w:r>
              <w:rPr>
                <w:rFonts w:hint="eastAsia" w:hAnsi="宋体" w:cs="宋体"/>
                <w:sz w:val="24"/>
                <w:szCs w:val="24"/>
                <w:lang w:val="en-US" w:eastAsia="zh-CN"/>
              </w:rPr>
              <w:t>有</w:t>
            </w:r>
            <w:r>
              <w:rPr>
                <w:rFonts w:hint="eastAsia" w:ascii="宋体" w:hAnsi="宋体" w:eastAsia="宋体" w:cs="宋体"/>
                <w:sz w:val="24"/>
                <w:szCs w:val="24"/>
              </w:rPr>
              <w:t>任意一项不满足</w:t>
            </w:r>
            <w:r>
              <w:rPr>
                <w:rFonts w:hint="eastAsia" w:ascii="宋体" w:hAnsi="宋体" w:eastAsia="宋体" w:cs="宋体"/>
                <w:sz w:val="24"/>
                <w:szCs w:val="24"/>
                <w:lang w:val="en-US" w:eastAsia="zh-CN"/>
              </w:rPr>
              <w:t>或负偏离</w:t>
            </w:r>
            <w:r>
              <w:rPr>
                <w:rFonts w:hint="eastAsia" w:ascii="宋体" w:hAnsi="宋体" w:eastAsia="宋体" w:cs="宋体"/>
                <w:sz w:val="24"/>
                <w:szCs w:val="24"/>
              </w:rPr>
              <w:t>的作无效</w:t>
            </w:r>
            <w:r>
              <w:rPr>
                <w:rFonts w:hint="eastAsia" w:ascii="宋体" w:hAnsi="宋体" w:eastAsia="宋体" w:cs="宋体"/>
                <w:sz w:val="24"/>
                <w:szCs w:val="24"/>
                <w:lang w:val="en-US" w:eastAsia="zh-CN"/>
              </w:rPr>
              <w:t>投标</w:t>
            </w:r>
            <w:r>
              <w:rPr>
                <w:rFonts w:hint="eastAsia" w:ascii="宋体" w:hAnsi="宋体" w:eastAsia="宋体" w:cs="宋体"/>
                <w:sz w:val="24"/>
                <w:szCs w:val="24"/>
              </w:rPr>
              <w:t>处理。</w:t>
            </w:r>
          </w:p>
          <w:p>
            <w:pPr>
              <w:spacing w:line="360" w:lineRule="auto"/>
              <w:jc w:val="both"/>
              <w:rPr>
                <w:rFonts w:hint="eastAsia" w:asciiTheme="minorEastAsia" w:hAnsiTheme="minorEastAsia" w:eastAsiaTheme="minorEastAsia" w:cstheme="minorEastAsia"/>
                <w:sz w:val="24"/>
                <w:szCs w:val="24"/>
              </w:rPr>
            </w:pPr>
            <w:r>
              <w:rPr>
                <w:rFonts w:hint="eastAsia" w:ascii="宋体" w:hAnsi="宋体" w:eastAsia="宋体" w:cs="宋体"/>
                <w:b/>
                <w:bCs/>
                <w:sz w:val="24"/>
                <w:szCs w:val="24"/>
              </w:rPr>
              <w:t>评分依据：</w:t>
            </w:r>
            <w:r>
              <w:rPr>
                <w:rFonts w:hint="eastAsia" w:ascii="宋体" w:hAnsi="宋体" w:cs="宋体"/>
                <w:b/>
                <w:bCs/>
                <w:sz w:val="24"/>
                <w:szCs w:val="24"/>
                <w:lang w:val="en-US" w:eastAsia="zh-CN"/>
              </w:rPr>
              <w:t>投标文件中提供</w:t>
            </w:r>
            <w:r>
              <w:rPr>
                <w:rFonts w:hint="eastAsia" w:ascii="宋体" w:hAnsi="宋体" w:eastAsia="宋体" w:cs="宋体"/>
                <w:b/>
                <w:bCs/>
                <w:sz w:val="24"/>
                <w:szCs w:val="24"/>
              </w:rPr>
              <w:t>商务条款响应/偏离表</w:t>
            </w:r>
            <w:r>
              <w:rPr>
                <w:rFonts w:hint="eastAsia" w:ascii="宋体" w:hAnsi="宋体" w:eastAsia="宋体" w:cs="宋体"/>
                <w:b/>
                <w:bCs/>
                <w:sz w:val="24"/>
                <w:szCs w:val="24"/>
                <w:lang w:eastAsia="zh-CN"/>
              </w:rPr>
              <w:t>。</w:t>
            </w:r>
            <w:r>
              <w:rPr>
                <w:rFonts w:hint="default" w:ascii="宋体" w:hAnsi="宋体" w:eastAsia="宋体" w:cs="宋体"/>
                <w:b/>
                <w:bCs/>
                <w:color w:val="auto"/>
                <w:sz w:val="24"/>
                <w:szCs w:val="24"/>
                <w:highlight w:val="none"/>
                <w:lang w:val="en-US" w:eastAsia="zh-CN"/>
              </w:rPr>
              <w:t>文件另有约定的从其约定。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rPr>
            </w:pPr>
          </w:p>
        </w:tc>
        <w:tc>
          <w:tcPr>
            <w:tcW w:w="756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业绩</w:t>
            </w:r>
          </w:p>
          <w:p>
            <w:pPr>
              <w:spacing w:line="360" w:lineRule="auto"/>
              <w:rPr>
                <w:rFonts w:hint="eastAsia" w:ascii="宋体" w:hAnsi="宋体" w:eastAsia="宋体" w:cs="宋体"/>
                <w:sz w:val="24"/>
                <w:szCs w:val="24"/>
              </w:rPr>
            </w:pPr>
            <w:r>
              <w:rPr>
                <w:rFonts w:hint="eastAsia" w:ascii="宋体" w:hAnsi="宋体" w:eastAsia="宋体" w:cs="宋体"/>
                <w:sz w:val="24"/>
                <w:szCs w:val="24"/>
              </w:rPr>
              <w:t>投标人20</w:t>
            </w:r>
            <w:r>
              <w:rPr>
                <w:rFonts w:hint="eastAsia" w:ascii="宋体" w:hAnsi="宋体" w:cs="宋体"/>
                <w:sz w:val="24"/>
                <w:szCs w:val="24"/>
                <w:lang w:val="en-US" w:eastAsia="zh-CN"/>
              </w:rPr>
              <w:t>21</w:t>
            </w:r>
            <w:r>
              <w:rPr>
                <w:rFonts w:hint="eastAsia" w:ascii="宋体" w:hAnsi="宋体" w:eastAsia="宋体" w:cs="宋体"/>
                <w:sz w:val="24"/>
                <w:szCs w:val="24"/>
              </w:rPr>
              <w:t>年</w:t>
            </w:r>
            <w:r>
              <w:rPr>
                <w:rFonts w:hint="eastAsia" w:ascii="宋体" w:hAnsi="宋体" w:eastAsia="宋体" w:cs="宋体"/>
                <w:sz w:val="24"/>
                <w:szCs w:val="24"/>
                <w:lang w:val="en-US" w:eastAsia="zh-CN"/>
              </w:rPr>
              <w:t>6</w:t>
            </w:r>
            <w:r>
              <w:rPr>
                <w:rFonts w:hint="eastAsia" w:ascii="宋体" w:hAnsi="宋体" w:eastAsia="宋体" w:cs="宋体"/>
                <w:sz w:val="24"/>
                <w:szCs w:val="24"/>
              </w:rPr>
              <w:t>月1日至</w:t>
            </w:r>
            <w:r>
              <w:rPr>
                <w:rFonts w:hint="eastAsia" w:ascii="宋体" w:hAnsi="宋体" w:cs="宋体"/>
                <w:sz w:val="24"/>
                <w:szCs w:val="24"/>
                <w:lang w:val="en-US" w:eastAsia="zh-CN"/>
              </w:rPr>
              <w:t>开标当日</w:t>
            </w:r>
            <w:r>
              <w:rPr>
                <w:rFonts w:hint="eastAsia" w:ascii="宋体" w:hAnsi="宋体" w:eastAsia="宋体" w:cs="宋体"/>
                <w:sz w:val="24"/>
                <w:szCs w:val="24"/>
              </w:rPr>
              <w:t>，承担过含有钢架结构的类似劳务业绩，每提供一份得</w:t>
            </w:r>
            <w:r>
              <w:rPr>
                <w:rFonts w:hint="eastAsia" w:ascii="宋体" w:hAnsi="宋体" w:eastAsia="宋体" w:cs="宋体"/>
                <w:sz w:val="24"/>
                <w:szCs w:val="24"/>
                <w:lang w:val="en-US" w:eastAsia="zh-CN"/>
              </w:rPr>
              <w:t>2.5</w:t>
            </w:r>
            <w:r>
              <w:rPr>
                <w:rFonts w:hint="eastAsia" w:ascii="宋体" w:hAnsi="宋体" w:eastAsia="宋体" w:cs="宋体"/>
                <w:sz w:val="24"/>
                <w:szCs w:val="24"/>
              </w:rPr>
              <w:t>分，最高得</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p>
            <w:pPr>
              <w:spacing w:line="360" w:lineRule="auto"/>
              <w:rPr>
                <w:rFonts w:hint="eastAsia" w:asciiTheme="minorEastAsia" w:hAnsiTheme="minorEastAsia" w:eastAsiaTheme="minorEastAsia" w:cstheme="minorEastAsia"/>
                <w:sz w:val="24"/>
                <w:szCs w:val="24"/>
                <w:lang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zh-CN"/>
              </w:rPr>
              <w:t>投标文件中提供中标通知书</w:t>
            </w:r>
            <w:r>
              <w:rPr>
                <w:rFonts w:hint="eastAsia" w:ascii="宋体" w:hAnsi="宋体" w:eastAsia="宋体" w:cs="宋体"/>
                <w:b/>
                <w:bCs/>
                <w:sz w:val="24"/>
                <w:szCs w:val="24"/>
              </w:rPr>
              <w:t>(</w:t>
            </w:r>
            <w:r>
              <w:rPr>
                <w:rFonts w:hint="eastAsia" w:ascii="宋体" w:hAnsi="宋体" w:eastAsia="宋体" w:cs="宋体"/>
                <w:b/>
                <w:bCs/>
                <w:sz w:val="24"/>
                <w:szCs w:val="24"/>
                <w:lang w:val="zh-CN"/>
              </w:rPr>
              <w:t>或成交通知书</w:t>
            </w:r>
            <w:r>
              <w:rPr>
                <w:rFonts w:hint="eastAsia" w:ascii="宋体" w:hAnsi="宋体" w:eastAsia="宋体" w:cs="宋体"/>
                <w:b/>
                <w:bCs/>
                <w:sz w:val="24"/>
                <w:szCs w:val="24"/>
              </w:rPr>
              <w:t>)</w:t>
            </w:r>
            <w:r>
              <w:rPr>
                <w:rFonts w:hint="eastAsia" w:ascii="宋体" w:hAnsi="宋体" w:cs="宋体"/>
                <w:b/>
                <w:bCs/>
                <w:sz w:val="24"/>
                <w:szCs w:val="24"/>
                <w:lang w:eastAsia="zh-CN"/>
              </w:rPr>
              <w:t>、</w:t>
            </w:r>
            <w:r>
              <w:rPr>
                <w:rFonts w:hint="eastAsia" w:ascii="宋体" w:hAnsi="宋体" w:eastAsia="宋体" w:cs="宋体"/>
                <w:b/>
                <w:bCs/>
                <w:sz w:val="24"/>
                <w:szCs w:val="24"/>
                <w:lang w:val="zh-CN"/>
              </w:rPr>
              <w:t>合同</w:t>
            </w:r>
            <w:r>
              <w:rPr>
                <w:rFonts w:hint="eastAsia" w:ascii="宋体" w:hAnsi="宋体" w:cs="宋体"/>
                <w:b/>
                <w:bCs/>
                <w:sz w:val="24"/>
                <w:szCs w:val="24"/>
                <w:lang w:val="zh-CN"/>
              </w:rPr>
              <w:t>（</w:t>
            </w:r>
            <w:r>
              <w:rPr>
                <w:rFonts w:hint="eastAsia" w:ascii="宋体" w:hAnsi="宋体" w:cs="宋体"/>
                <w:b/>
                <w:bCs/>
                <w:sz w:val="24"/>
                <w:szCs w:val="24"/>
                <w:lang w:val="en-US" w:eastAsia="zh-CN"/>
              </w:rPr>
              <w:t>提供相关材料，证明实施过类似含有钢结构的服务内容）</w:t>
            </w:r>
            <w:r>
              <w:rPr>
                <w:rFonts w:hint="eastAsia" w:ascii="宋体" w:hAnsi="宋体" w:eastAsia="宋体" w:cs="宋体"/>
                <w:b/>
                <w:bCs/>
                <w:sz w:val="24"/>
                <w:szCs w:val="24"/>
                <w:lang w:val="zh-CN"/>
              </w:rPr>
              <w:t>复印件</w:t>
            </w:r>
            <w:r>
              <w:rPr>
                <w:rFonts w:hint="eastAsia" w:ascii="宋体" w:hAnsi="宋体" w:cs="宋体"/>
                <w:b/>
                <w:bCs/>
                <w:sz w:val="24"/>
                <w:szCs w:val="24"/>
                <w:lang w:val="en-US" w:eastAsia="zh-CN"/>
              </w:rPr>
              <w:t>及结算发票（发票可为部分结算金额）复印件</w:t>
            </w:r>
            <w:r>
              <w:rPr>
                <w:rFonts w:hint="eastAsia" w:ascii="宋体" w:hAnsi="宋体" w:eastAsia="宋体" w:cs="宋体"/>
                <w:b/>
                <w:bCs/>
                <w:sz w:val="24"/>
                <w:szCs w:val="24"/>
                <w:lang w:val="zh-CN"/>
              </w:rPr>
              <w:t>加盖投标人公章，并提供原件现场查验，未提供不得分。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Theme="minorEastAsia" w:hAnsiTheme="minorEastAsia" w:eastAsiaTheme="minorEastAsia" w:cstheme="minorEastAsia"/>
                <w:sz w:val="24"/>
                <w:szCs w:val="24"/>
              </w:rPr>
            </w:pPr>
          </w:p>
        </w:tc>
        <w:tc>
          <w:tcPr>
            <w:tcW w:w="756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rPr>
              <w:t>售后服务：</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 xml:space="preserve">投标人承诺接到采购人故障通知后 3 小时内响应， 12 小时内解决售后 问题的得 5 分；投标人能在 2 小时内响应，8 小时内解决售后问题的得 10 分。 </w:t>
            </w:r>
          </w:p>
          <w:p>
            <w:pPr>
              <w:numPr>
                <w:ilvl w:val="0"/>
                <w:numId w:val="0"/>
              </w:numPr>
              <w:spacing w:line="360" w:lineRule="auto"/>
              <w:ind w:left="0" w:leftChars="0" w:firstLine="0" w:firstLineChars="0"/>
              <w:rPr>
                <w:rFonts w:hint="eastAsia" w:asciiTheme="minorEastAsia" w:hAnsiTheme="minorEastAsia" w:eastAsiaTheme="minorEastAsia" w:cstheme="minorEastAsia"/>
                <w:b/>
                <w:bCs/>
                <w:sz w:val="24"/>
                <w:szCs w:val="24"/>
                <w:lang w:val="en-US" w:eastAsia="zh-CN"/>
              </w:rPr>
            </w:pPr>
            <w:r>
              <w:rPr>
                <w:rFonts w:hint="eastAsia" w:ascii="宋体" w:hAnsi="宋体" w:eastAsia="宋体" w:cs="宋体"/>
                <w:b/>
                <w:bCs/>
                <w:sz w:val="24"/>
                <w:szCs w:val="24"/>
              </w:rPr>
              <w:t>评审依据：提供售后服务承诺并加盖公章，未提供不得</w:t>
            </w:r>
            <w:r>
              <w:rPr>
                <w:rFonts w:hint="eastAsia" w:ascii="宋体" w:hAnsi="宋体" w:eastAsia="宋体" w:cs="宋体"/>
                <w:b/>
                <w:bCs/>
                <w:sz w:val="24"/>
                <w:szCs w:val="24"/>
                <w:lang w:val="en-US" w:eastAsia="zh-CN"/>
              </w:rPr>
              <w:t>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rPr>
              <w:t>10 分</w:t>
            </w:r>
          </w:p>
        </w:tc>
      </w:tr>
    </w:tbl>
    <w:p>
      <w:pPr>
        <w:rPr>
          <w:rFonts w:hint="eastAsia" w:asciiTheme="minorEastAsia" w:hAnsiTheme="minorEastAsia" w:eastAsiaTheme="minorEastAsia" w:cstheme="minorEastAsia"/>
          <w:i/>
          <w:color w:val="auto"/>
          <w:sz w:val="24"/>
          <w:szCs w:val="24"/>
          <w:highlight w:val="none"/>
        </w:rPr>
      </w:pPr>
    </w:p>
    <w:p>
      <w:pPr>
        <w:widowControl/>
        <w:shd w:val="clear" w:color="auto" w:fill="auto"/>
        <w:snapToGrid w:val="0"/>
        <w:spacing w:line="336" w:lineRule="auto"/>
        <w:outlineLvl w:val="9"/>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b/>
          <w:bCs/>
          <w:color w:val="auto"/>
          <w:sz w:val="24"/>
          <w:szCs w:val="24"/>
          <w:highlight w:val="none"/>
        </w:rPr>
        <w:t>注：投标人所提供的所有技术资料、证明文件必须真实有效，开标结束后采购单位有权对中标人所提供的所有资料进行核实。如有虚假应标行为，</w:t>
      </w:r>
      <w:r>
        <w:rPr>
          <w:rFonts w:hint="eastAsia" w:asciiTheme="minorEastAsia" w:hAnsiTheme="minorEastAsia" w:eastAsiaTheme="minorEastAsia" w:cstheme="minorEastAsia"/>
          <w:b/>
          <w:bCs/>
          <w:color w:val="auto"/>
          <w:spacing w:val="6"/>
          <w:sz w:val="24"/>
          <w:szCs w:val="24"/>
          <w:highlight w:val="none"/>
        </w:rPr>
        <w:t>取消其中标资格、</w:t>
      </w:r>
      <w:r>
        <w:rPr>
          <w:rFonts w:hint="eastAsia" w:asciiTheme="minorEastAsia" w:hAnsiTheme="minorEastAsia" w:eastAsiaTheme="minorEastAsia" w:cstheme="minorEastAsia"/>
          <w:b/>
          <w:bCs/>
          <w:color w:val="auto"/>
          <w:sz w:val="24"/>
          <w:szCs w:val="24"/>
          <w:highlight w:val="none"/>
        </w:rPr>
        <w:t>不予退回保证金，并按相关规定上报监管部门处理。</w:t>
      </w:r>
    </w:p>
    <w:p>
      <w:pPr>
        <w:pStyle w:val="2"/>
        <w:numPr>
          <w:ilvl w:val="0"/>
          <w:numId w:val="0"/>
        </w:numPr>
        <w:rPr>
          <w:rFonts w:hint="eastAsia" w:asciiTheme="minorEastAsia" w:hAnsiTheme="minorEastAsia" w:eastAsiaTheme="minorEastAsia" w:cstheme="minorEastAsia"/>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47</w:t>
    </w:r>
    <w:r>
      <w:rPr>
        <w:lang w:val="zh-CN"/>
      </w:rP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7FA349"/>
    <w:multiLevelType w:val="singleLevel"/>
    <w:tmpl w:val="FF7FA349"/>
    <w:lvl w:ilvl="0" w:tentative="0">
      <w:start w:val="3"/>
      <w:numFmt w:val="chineseCounting"/>
      <w:suff w:val="nothing"/>
      <w:lvlText w:val="%1、"/>
      <w:lvlJc w:val="left"/>
      <w:rPr>
        <w:rFonts w:hint="eastAsia"/>
      </w:rPr>
    </w:lvl>
  </w:abstractNum>
  <w:abstractNum w:abstractNumId="1">
    <w:nsid w:val="1924EFD9"/>
    <w:multiLevelType w:val="singleLevel"/>
    <w:tmpl w:val="1924EFD9"/>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yOWFlYjhlNTE0MWRlZWM3ZDc3NmRjN2YxMzFhMzUifQ=="/>
    <w:docVar w:name="KSO_WPS_MARK_KEY" w:val="b7f6a430-581b-4d6d-90ac-c0fdf6c69b99"/>
  </w:docVars>
  <w:rsids>
    <w:rsidRoot w:val="00000000"/>
    <w:rsid w:val="02657F3A"/>
    <w:rsid w:val="050470AD"/>
    <w:rsid w:val="07EE3A43"/>
    <w:rsid w:val="0893749F"/>
    <w:rsid w:val="092811AA"/>
    <w:rsid w:val="0CBD21BF"/>
    <w:rsid w:val="0FCD24DF"/>
    <w:rsid w:val="10442DF5"/>
    <w:rsid w:val="15F5110D"/>
    <w:rsid w:val="19193C38"/>
    <w:rsid w:val="25D32EFB"/>
    <w:rsid w:val="268D3316"/>
    <w:rsid w:val="2C8671CD"/>
    <w:rsid w:val="2F20249B"/>
    <w:rsid w:val="30000983"/>
    <w:rsid w:val="35C43A3E"/>
    <w:rsid w:val="36B716C1"/>
    <w:rsid w:val="3CA51566"/>
    <w:rsid w:val="3D790266"/>
    <w:rsid w:val="3F775A76"/>
    <w:rsid w:val="3FEB552D"/>
    <w:rsid w:val="582241C7"/>
    <w:rsid w:val="5BE31546"/>
    <w:rsid w:val="5D064542"/>
    <w:rsid w:val="5FDD6CEA"/>
    <w:rsid w:val="633B5F5A"/>
    <w:rsid w:val="68D0643D"/>
    <w:rsid w:val="69540E1C"/>
    <w:rsid w:val="6C1264F8"/>
    <w:rsid w:val="6EBE002F"/>
    <w:rsid w:val="6FAAD493"/>
    <w:rsid w:val="72250A97"/>
    <w:rsid w:val="78854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9"/>
    <w:pPr>
      <w:keepNext/>
      <w:outlineLvl w:val="0"/>
    </w:pPr>
    <w:rPr>
      <w:rFonts w:ascii="宋体"/>
      <w:sz w:val="28"/>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bCs/>
      <w:sz w:val="32"/>
      <w:szCs w:val="32"/>
    </w:rPr>
  </w:style>
  <w:style w:type="paragraph" w:styleId="6">
    <w:name w:val="heading 8"/>
    <w:basedOn w:val="1"/>
    <w:next w:val="1"/>
    <w:qFormat/>
    <w:uiPriority w:val="0"/>
    <w:pPr>
      <w:keepNext/>
      <w:keepLines/>
      <w:spacing w:before="240" w:after="64" w:line="320" w:lineRule="auto"/>
      <w:outlineLvl w:val="7"/>
    </w:pPr>
    <w:rPr>
      <w:rFonts w:ascii="Arial" w:hAnsi="Arial" w:eastAsia="黑体"/>
      <w:kern w:val="0"/>
      <w:sz w:val="24"/>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autoSpaceDE/>
      <w:autoSpaceDN/>
      <w:adjustRightInd/>
      <w:spacing w:after="120" w:line="240" w:lineRule="auto"/>
      <w:ind w:left="420" w:leftChars="200" w:firstLine="420" w:firstLineChars="200"/>
      <w:jc w:val="both"/>
    </w:pPr>
    <w:rPr>
      <w:rFonts w:ascii="Times New Roman" w:hAnsi="Times New Roman"/>
      <w:kern w:val="2"/>
      <w:sz w:val="21"/>
    </w:rPr>
  </w:style>
  <w:style w:type="paragraph" w:styleId="3">
    <w:name w:val="Body Text Indent"/>
    <w:basedOn w:val="1"/>
    <w:qFormat/>
    <w:uiPriority w:val="0"/>
    <w:pPr>
      <w:autoSpaceDE w:val="0"/>
      <w:autoSpaceDN w:val="0"/>
      <w:adjustRightInd w:val="0"/>
      <w:spacing w:line="360" w:lineRule="auto"/>
      <w:ind w:firstLine="480"/>
      <w:jc w:val="left"/>
    </w:pPr>
    <w:rPr>
      <w:rFonts w:ascii="宋体" w:hAnsi="宋体"/>
      <w:kern w:val="0"/>
      <w:sz w:val="24"/>
    </w:rPr>
  </w:style>
  <w:style w:type="paragraph" w:styleId="7">
    <w:name w:val="annotation text"/>
    <w:basedOn w:val="1"/>
    <w:qFormat/>
    <w:uiPriority w:val="0"/>
    <w:pPr>
      <w:jc w:val="left"/>
    </w:pPr>
  </w:style>
  <w:style w:type="paragraph" w:styleId="8">
    <w:name w:val="Body Text"/>
    <w:basedOn w:val="1"/>
    <w:next w:val="9"/>
    <w:qFormat/>
    <w:uiPriority w:val="99"/>
    <w:pPr>
      <w:spacing w:after="120"/>
    </w:pPr>
  </w:style>
  <w:style w:type="paragraph" w:styleId="9">
    <w:name w:val="toc 2"/>
    <w:basedOn w:val="1"/>
    <w:next w:val="1"/>
    <w:qFormat/>
    <w:uiPriority w:val="39"/>
    <w:pPr>
      <w:tabs>
        <w:tab w:val="right" w:leader="dot" w:pos="9629"/>
      </w:tabs>
    </w:pPr>
  </w:style>
  <w:style w:type="paragraph" w:styleId="10">
    <w:name w:val="Plain Text"/>
    <w:basedOn w:val="1"/>
    <w:next w:val="11"/>
    <w:qFormat/>
    <w:uiPriority w:val="99"/>
    <w:rPr>
      <w:rFonts w:ascii="宋体" w:hAnsi="Courier New"/>
      <w:szCs w:val="21"/>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12">
    <w:name w:val="footer"/>
    <w:basedOn w:val="1"/>
    <w:qFormat/>
    <w:uiPriority w:val="99"/>
    <w:pPr>
      <w:tabs>
        <w:tab w:val="center" w:pos="4153"/>
        <w:tab w:val="right" w:pos="8306"/>
      </w:tabs>
      <w:snapToGrid w:val="0"/>
      <w:jc w:val="left"/>
    </w:pPr>
    <w:rPr>
      <w:sz w:val="18"/>
    </w:rPr>
  </w:style>
  <w:style w:type="paragraph" w:styleId="13">
    <w:name w:val="envelope return"/>
    <w:basedOn w:val="1"/>
    <w:qFormat/>
    <w:uiPriority w:val="99"/>
    <w:pPr>
      <w:snapToGrid w:val="0"/>
    </w:pPr>
    <w:rPr>
      <w:rFonts w:ascii="Arial" w:hAnsi="Arial"/>
    </w:rPr>
  </w:style>
  <w:style w:type="paragraph" w:styleId="14">
    <w:name w:val="toc 1"/>
    <w:basedOn w:val="1"/>
    <w:next w:val="1"/>
    <w:qFormat/>
    <w:uiPriority w:val="0"/>
    <w:pPr>
      <w:tabs>
        <w:tab w:val="right" w:leader="dot" w:pos="10070"/>
      </w:tabs>
      <w:spacing w:line="840" w:lineRule="exact"/>
      <w:ind w:left="1152" w:hanging="1152" w:hangingChars="360"/>
    </w:pPr>
  </w:style>
  <w:style w:type="paragraph" w:styleId="15">
    <w:name w:val="Normal (Web)"/>
    <w:basedOn w:val="1"/>
    <w:next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正文缩进1"/>
    <w:basedOn w:val="1"/>
    <w:next w:val="15"/>
    <w:qFormat/>
    <w:uiPriority w:val="0"/>
    <w:pPr>
      <w:ind w:firstLine="200" w:firstLineChars="200"/>
    </w:pPr>
    <w:rPr>
      <w:szCs w:val="24"/>
    </w:rPr>
  </w:style>
  <w:style w:type="paragraph" w:customStyle="1" w:styleId="20">
    <w:name w:val="UserStyle_0"/>
    <w:basedOn w:val="1"/>
    <w:qFormat/>
    <w:uiPriority w:val="0"/>
    <w:pPr>
      <w:ind w:left="482" w:firstLine="200" w:firstLineChars="200"/>
      <w:textAlignment w:val="baseline"/>
    </w:pPr>
  </w:style>
  <w:style w:type="paragraph" w:customStyle="1" w:styleId="21">
    <w:name w:val="正文 New"/>
    <w:qFormat/>
    <w:uiPriority w:val="0"/>
    <w:pPr>
      <w:widowControl w:val="0"/>
      <w:jc w:val="both"/>
    </w:pPr>
    <w:rPr>
      <w:rFonts w:ascii="Calibri" w:hAnsi="Calibri" w:eastAsia="宋体" w:cs="黑体"/>
      <w:kern w:val="2"/>
      <w:sz w:val="21"/>
      <w:szCs w:val="24"/>
      <w:lang w:val="en-US" w:eastAsia="zh-CN" w:bidi="ar-SA"/>
    </w:rPr>
  </w:style>
  <w:style w:type="paragraph" w:customStyle="1" w:styleId="22">
    <w:name w:val="Table Paragraph"/>
    <w:basedOn w:val="1"/>
    <w:qFormat/>
    <w:uiPriority w:val="1"/>
  </w:style>
  <w:style w:type="paragraph" w:customStyle="1" w:styleId="23">
    <w:name w:val="Body text|1"/>
    <w:basedOn w:val="1"/>
    <w:qFormat/>
    <w:uiPriority w:val="0"/>
    <w:pPr>
      <w:spacing w:line="403" w:lineRule="auto"/>
    </w:pPr>
    <w:rPr>
      <w:rFonts w:ascii="宋体" w:hAnsi="宋体" w:cs="宋体"/>
      <w:sz w:val="20"/>
      <w:lang w:val="zh-TW" w:eastAsia="zh-TW" w:bidi="zh-TW"/>
    </w:rPr>
  </w:style>
  <w:style w:type="table" w:customStyle="1" w:styleId="24">
    <w:name w:val="Table Normal"/>
    <w:semiHidden/>
    <w:unhideWhenUsed/>
    <w:qFormat/>
    <w:uiPriority w:val="0"/>
    <w:rPr>
      <w:rFonts w:ascii="Arial" w:hAnsi="Arial" w:eastAsia="等线" w:cs="Arial"/>
      <w:snapToGrid w:val="0"/>
      <w:color w:val="000000"/>
      <w:sz w:val="21"/>
      <w:szCs w:val="21"/>
    </w:rPr>
    <w:tblPr>
      <w:tblCellMar>
        <w:top w:w="0" w:type="dxa"/>
        <w:left w:w="0" w:type="dxa"/>
        <w:bottom w:w="0" w:type="dxa"/>
        <w:right w:w="0" w:type="dxa"/>
      </w:tblCellMar>
    </w:tblPr>
  </w:style>
  <w:style w:type="paragraph" w:customStyle="1" w:styleId="25">
    <w:name w:val="Heading 6"/>
    <w:basedOn w:val="1"/>
    <w:qFormat/>
    <w:uiPriority w:val="1"/>
    <w:pPr>
      <w:spacing w:before="14"/>
      <w:jc w:val="left"/>
      <w:outlineLvl w:val="6"/>
    </w:pPr>
    <w:rPr>
      <w:rFonts w:ascii="宋体" w:hAnsi="宋体"/>
      <w:kern w:val="0"/>
      <w:sz w:val="28"/>
      <w:szCs w:val="28"/>
      <w:lang w:eastAsia="en-US"/>
    </w:rPr>
  </w:style>
  <w:style w:type="paragraph" w:customStyle="1" w:styleId="26">
    <w:name w:val="PlainText"/>
    <w:basedOn w:val="1"/>
    <w:qFormat/>
    <w:uiPriority w:val="0"/>
    <w:pPr>
      <w:jc w:val="both"/>
      <w:textAlignment w:val="baseline"/>
    </w:pPr>
    <w:rPr>
      <w:rFonts w:ascii="宋体" w:hAnsi="Courier New"/>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2376</Words>
  <Characters>2420</Characters>
  <Lines>0</Lines>
  <Paragraphs>0</Paragraphs>
  <TotalTime>0</TotalTime>
  <ScaleCrop>false</ScaleCrop>
  <LinksUpToDate>false</LinksUpToDate>
  <CharactersWithSpaces>2443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2023-10-08T02:25:00Z</dcterms:created>
  <dc:creator>吴国锋</dc:creator>
  <cp:lastModifiedBy>Clytze</cp:lastModifiedBy>
  <dcterms:modified xsi:type="dcterms:W3CDTF">2024-06-21T08:43:17Z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F052246C17E84E95B3F9C9EF8D53F8C4_13</vt:lpwstr>
  </property>
</Properties>
</file>