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sz w:val="28"/>
          <w:szCs w:val="28"/>
          <w:lang w:val="en-US" w:eastAsia="zh-CN"/>
        </w:rPr>
        <w:t>附件：</w:t>
      </w:r>
      <w:bookmarkStart w:id="0" w:name="_GoBack"/>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bookmarkEnd w:id="0"/>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eastAsia="zh-CN"/>
        </w:rPr>
        <w:t>采购需求</w:t>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详见清单：</w:t>
      </w:r>
    </w:p>
    <w:p>
      <w:pPr>
        <w:pStyle w:val="2"/>
        <w:ind w:left="0" w:leftChars="0" w:firstLine="0" w:firstLineChars="0"/>
        <w:rPr>
          <w:rFonts w:hint="eastAsia" w:asciiTheme="minorEastAsia" w:hAnsiTheme="minorEastAsia" w:eastAsiaTheme="minorEastAsia" w:cstheme="minorEastAsia"/>
          <w:sz w:val="24"/>
          <w:szCs w:val="24"/>
          <w:lang w:val="en-US" w:eastAsia="zh-CN"/>
        </w:rPr>
      </w:pPr>
      <w:r>
        <w:rPr>
          <w:rFonts w:hint="eastAsia"/>
          <w:lang w:val="en-US" w:eastAsia="zh-CN"/>
        </w:rPr>
        <w:drawing>
          <wp:inline distT="0" distB="0" distL="114300" distR="114300">
            <wp:extent cx="5268595" cy="7452360"/>
            <wp:effectExtent l="0" t="0" r="8255" b="15240"/>
            <wp:docPr id="9" name="图片 1" descr="上饶经开区兴园大道片区两轮电动车、汽车充电桩（棚）项目-劳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上饶经开区兴园大道片区两轮电动车、汽车充电桩（棚）项目-劳务_01"/>
                    <pic:cNvPicPr>
                      <a:picLocks noChangeAspect="1"/>
                    </pic:cNvPicPr>
                  </pic:nvPicPr>
                  <pic:blipFill>
                    <a:blip r:embed="rId6"/>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1" name="图片 2" descr="上饶经开区兴园大道片区两轮电动车、汽车充电桩（棚）项目-劳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上饶经开区兴园大道片区两轮电动车、汽车充电桩（棚）项目-劳务_02"/>
                    <pic:cNvPicPr>
                      <a:picLocks noChangeAspect="1"/>
                    </pic:cNvPicPr>
                  </pic:nvPicPr>
                  <pic:blipFill>
                    <a:blip r:embed="rId7"/>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2" name="图片 3" descr="上饶经开区兴园大道片区两轮电动车、汽车充电桩（棚）项目-劳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上饶经开区兴园大道片区两轮电动车、汽车充电桩（棚）项目-劳务_03"/>
                    <pic:cNvPicPr>
                      <a:picLocks noChangeAspect="1"/>
                    </pic:cNvPicPr>
                  </pic:nvPicPr>
                  <pic:blipFill>
                    <a:blip r:embed="rId8"/>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4" name="图片 4" descr="上饶经开区兴园大道片区两轮电动车、汽车充电桩（棚）项目-劳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上饶经开区兴园大道片区两轮电动车、汽车充电桩（棚）项目-劳务_04"/>
                    <pic:cNvPicPr>
                      <a:picLocks noChangeAspect="1"/>
                    </pic:cNvPicPr>
                  </pic:nvPicPr>
                  <pic:blipFill>
                    <a:blip r:embed="rId9"/>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7" name="图片 5" descr="上饶经开区兴园大道片区两轮电动车、汽车充电桩（棚）项目-劳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上饶经开区兴园大道片区两轮电动车、汽车充电桩（棚）项目-劳务_05"/>
                    <pic:cNvPicPr>
                      <a:picLocks noChangeAspect="1"/>
                    </pic:cNvPicPr>
                  </pic:nvPicPr>
                  <pic:blipFill>
                    <a:blip r:embed="rId10"/>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0" name="图片 6" descr="上饶经开区兴园大道片区两轮电动车、汽车充电桩（棚）项目-劳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上饶经开区兴园大道片区两轮电动车、汽车充电桩（棚）项目-劳务_06"/>
                    <pic:cNvPicPr>
                      <a:picLocks noChangeAspect="1"/>
                    </pic:cNvPicPr>
                  </pic:nvPicPr>
                  <pic:blipFill>
                    <a:blip r:embed="rId11"/>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3" name="图片 7" descr="上饶经开区兴园大道片区两轮电动车、汽车充电桩（棚）项目-劳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上饶经开区兴园大道片区两轮电动车、汽车充电桩（棚）项目-劳务_07"/>
                    <pic:cNvPicPr>
                      <a:picLocks noChangeAspect="1"/>
                    </pic:cNvPicPr>
                  </pic:nvPicPr>
                  <pic:blipFill>
                    <a:blip r:embed="rId12"/>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8" name="图片 8" descr="上饶经开区兴园大道片区两轮电动车、汽车充电桩（棚）项目-劳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上饶经开区兴园大道片区两轮电动车、汽车充电桩（棚）项目-劳务_08"/>
                    <pic:cNvPicPr>
                      <a:picLocks noChangeAspect="1"/>
                    </pic:cNvPicPr>
                  </pic:nvPicPr>
                  <pic:blipFill>
                    <a:blip r:embed="rId13"/>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5" name="图片 9" descr="上饶经开区兴园大道片区两轮电动车、汽车充电桩（棚）项目-劳务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上饶经开区兴园大道片区两轮电动车、汽车充电桩（棚）项目-劳务_09"/>
                    <pic:cNvPicPr>
                      <a:picLocks noChangeAspect="1"/>
                    </pic:cNvPicPr>
                  </pic:nvPicPr>
                  <pic:blipFill>
                    <a:blip r:embed="rId14"/>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6" name="图片 10" descr="上饶经开区兴园大道片区两轮电动车、汽车充电桩（棚）项目-劳务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上饶经开区兴园大道片区两轮电动车、汽车充电桩（棚）项目-劳务_10"/>
                    <pic:cNvPicPr>
                      <a:picLocks noChangeAspect="1"/>
                    </pic:cNvPicPr>
                  </pic:nvPicPr>
                  <pic:blipFill>
                    <a:blip r:embed="rId15"/>
                    <a:stretch>
                      <a:fillRect/>
                    </a:stretch>
                  </pic:blipFill>
                  <pic:spPr>
                    <a:xfrm>
                      <a:off x="0" y="0"/>
                      <a:ext cx="5268595" cy="7452360"/>
                    </a:xfrm>
                    <a:prstGeom prst="rect">
                      <a:avLst/>
                    </a:prstGeom>
                    <a:noFill/>
                    <a:ln>
                      <a:noFill/>
                    </a:ln>
                  </pic:spPr>
                </pic:pic>
              </a:graphicData>
            </a:graphic>
          </wp:inline>
        </w:drawing>
      </w:r>
    </w:p>
    <w:p>
      <w:pPr>
        <w:pStyle w:val="4"/>
        <w:numPr>
          <w:ilvl w:val="0"/>
          <w:numId w:val="0"/>
        </w:numPr>
        <w:spacing w:line="44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二、</w:t>
      </w:r>
      <w:r>
        <w:rPr>
          <w:rFonts w:hint="eastAsia" w:asciiTheme="minorEastAsia" w:hAnsiTheme="minorEastAsia" w:eastAsiaTheme="minorEastAsia" w:cstheme="minorEastAsia"/>
          <w:b/>
          <w:color w:val="auto"/>
          <w:sz w:val="24"/>
          <w:szCs w:val="24"/>
          <w:highlight w:val="none"/>
        </w:rPr>
        <w:t>商务条款</w:t>
      </w:r>
    </w:p>
    <w:p>
      <w:pPr>
        <w:snapToGrid w:val="0"/>
        <w:spacing w:line="336" w:lineRule="auto"/>
        <w:ind w:left="0" w:leftChars="0" w:firstLine="419" w:firstLineChars="174"/>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（一）服务地点：</w:t>
      </w:r>
      <w:r>
        <w:rPr>
          <w:rFonts w:hint="eastAsia" w:ascii="宋体" w:hAnsi="宋体" w:eastAsia="宋体" w:cs="宋体"/>
          <w:color w:val="auto"/>
          <w:sz w:val="24"/>
          <w:szCs w:val="24"/>
          <w:highlight w:val="none"/>
          <w:lang w:val="en-US" w:eastAsia="zh-CN"/>
        </w:rPr>
        <w:t>上饶经济技术开发区。</w:t>
      </w:r>
    </w:p>
    <w:p>
      <w:pPr>
        <w:snapToGrid w:val="0"/>
        <w:spacing w:line="336" w:lineRule="auto"/>
        <w:ind w:left="0" w:leftChars="0" w:firstLine="419" w:firstLineChars="174"/>
        <w:jc w:val="left"/>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（二）服务期限：</w:t>
      </w:r>
      <w:r>
        <w:rPr>
          <w:rFonts w:hint="eastAsia" w:ascii="宋体" w:hAnsi="宋体" w:eastAsia="宋体" w:cs="宋体"/>
          <w:b w:val="0"/>
          <w:bCs w:val="0"/>
          <w:color w:val="auto"/>
          <w:sz w:val="24"/>
          <w:szCs w:val="24"/>
          <w:highlight w:val="none"/>
          <w:lang w:val="en-US" w:eastAsia="zh-CN"/>
        </w:rPr>
        <w:t>自合同签订之日起至本项目结束为止。</w:t>
      </w:r>
    </w:p>
    <w:p>
      <w:pPr>
        <w:snapToGrid w:val="0"/>
        <w:spacing w:line="336" w:lineRule="auto"/>
        <w:ind w:left="0" w:leftChars="0" w:firstLine="419" w:firstLineChars="174"/>
        <w:jc w:val="left"/>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（三）付款方式：</w:t>
      </w:r>
      <w:r>
        <w:rPr>
          <w:rFonts w:hint="eastAsia" w:ascii="宋体" w:hAnsi="宋体" w:eastAsia="宋体" w:cs="宋体"/>
          <w:b w:val="0"/>
          <w:bCs w:val="0"/>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napToGrid w:val="0"/>
        <w:spacing w:line="336" w:lineRule="auto"/>
        <w:ind w:left="0" w:leftChars="0" w:firstLine="419" w:firstLineChars="174"/>
        <w:jc w:val="left"/>
        <w:outlineLvl w:val="9"/>
        <w:rPr>
          <w:rFonts w:hint="eastAsia" w:ascii="宋体" w:hAnsi="宋体" w:eastAsia="宋体" w:cs="宋体"/>
          <w:sz w:val="24"/>
          <w:szCs w:val="24"/>
          <w:lang w:val="en-US" w:eastAsia="zh-CN"/>
        </w:rPr>
      </w:pPr>
      <w:r>
        <w:rPr>
          <w:rFonts w:hint="eastAsia" w:ascii="宋体" w:hAnsi="宋体" w:eastAsia="宋体" w:cs="宋体"/>
          <w:b/>
          <w:bCs/>
          <w:color w:val="auto"/>
          <w:sz w:val="24"/>
          <w:szCs w:val="24"/>
          <w:highlight w:val="none"/>
          <w:lang w:val="zh-CN" w:eastAsia="zh-CN"/>
        </w:rPr>
        <w:t>（四）</w:t>
      </w:r>
      <w:r>
        <w:rPr>
          <w:rFonts w:hint="eastAsia" w:ascii="宋体" w:hAnsi="宋体" w:eastAsia="宋体" w:cs="宋体"/>
          <w:b/>
          <w:bCs/>
          <w:color w:val="auto"/>
          <w:sz w:val="24"/>
          <w:szCs w:val="24"/>
          <w:highlight w:val="none"/>
          <w:lang w:val="en-US" w:eastAsia="zh-CN"/>
        </w:rPr>
        <w:t>质保期：</w:t>
      </w:r>
      <w:r>
        <w:rPr>
          <w:rFonts w:hint="eastAsia" w:ascii="宋体" w:hAnsi="宋体" w:eastAsia="宋体" w:cs="宋体"/>
          <w:b w:val="0"/>
          <w:bCs w:val="0"/>
          <w:color w:val="auto"/>
          <w:sz w:val="24"/>
          <w:szCs w:val="24"/>
          <w:highlight w:val="none"/>
          <w:lang w:val="en-US" w:eastAsia="zh-CN"/>
        </w:rPr>
        <w:t>质保期为竣工验收后一年。</w:t>
      </w:r>
    </w:p>
    <w:p>
      <w:pPr>
        <w:snapToGrid w:val="0"/>
        <w:spacing w:line="336" w:lineRule="auto"/>
        <w:ind w:left="0" w:leftChars="0" w:firstLine="419" w:firstLineChars="174"/>
        <w:jc w:val="left"/>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en-US" w:eastAsia="zh-CN"/>
        </w:rPr>
        <w:t>项目完成期限：20天。</w:t>
      </w:r>
    </w:p>
    <w:p>
      <w:pPr>
        <w:snapToGrid w:val="0"/>
        <w:spacing w:line="336" w:lineRule="auto"/>
        <w:ind w:left="0" w:leftChars="0" w:firstLine="419" w:firstLineChars="174"/>
        <w:jc w:val="left"/>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zh-CN" w:eastAsia="zh-CN"/>
        </w:rPr>
        <w:t>）服务质量要求及违约责任：</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1.成交供应商所提供的服务必须符合国家相关规定标准，否则采购人有权拒绝，因此产生的一切经济损失由成交供应商承担。</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3.采购人无正当理由不支付费用或者无故终止合同， 成交供应商已收的费用不予退还。</w:t>
      </w:r>
    </w:p>
    <w:p>
      <w:pPr>
        <w:snapToGrid w:val="0"/>
        <w:spacing w:line="336" w:lineRule="auto"/>
        <w:ind w:left="0" w:leftChars="0" w:firstLine="419" w:firstLineChars="174"/>
        <w:jc w:val="left"/>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zh-CN" w:eastAsia="zh-CN"/>
        </w:rPr>
        <w:t>）其它要求：</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1.成交供应商在服务期内存在以下情况，采购人有权终止服务并更换供应商，且不再对其进行业务委托：</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①在响应中有故意隐瞒与响应文件中不符的重大事实的。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②未经批准将所中标业务再转包或分包给其它供应商的。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③被国家有关部门予以处罚的。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④在为本项目服务工作中与企业串通、违反职业道德的。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⑤未能保证服务质量的。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⑥严重违反保密承诺的。</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3.供应商应保证其提供的服务不违反关法律、行政法规的规定。</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napToGrid w:val="0"/>
        <w:spacing w:line="336" w:lineRule="auto"/>
        <w:ind w:left="0" w:leftChars="0" w:firstLine="417" w:firstLineChars="174"/>
        <w:jc w:val="left"/>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5.其他未尽事宜可在合同中约定</w:t>
      </w:r>
    </w:p>
    <w:p>
      <w:pPr>
        <w:pStyle w:val="14"/>
        <w:rPr>
          <w:rFonts w:hint="eastAsia" w:asciiTheme="minorEastAsia" w:hAnsiTheme="minorEastAsia" w:eastAsiaTheme="minorEastAsia" w:cstheme="minorEastAsia"/>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注：以上采购需求、商务条款为必须满足项，否则作无效响应处理。</w:t>
      </w:r>
      <w:r>
        <w:rPr>
          <w:rFonts w:hint="eastAsia" w:asciiTheme="minorEastAsia" w:hAnsiTheme="minorEastAsia" w:eastAsiaTheme="minorEastAsia" w:cstheme="minorEastAsia"/>
          <w:b/>
          <w:bCs/>
          <w:color w:val="auto"/>
          <w:sz w:val="24"/>
          <w:szCs w:val="24"/>
          <w:highlight w:val="none"/>
          <w:lang w:val="zh-CN" w:eastAsia="zh-CN"/>
        </w:rPr>
        <w:t xml:space="preserve">  </w:t>
      </w:r>
    </w:p>
    <w:p>
      <w:pPr>
        <w:numPr>
          <w:ilvl w:val="0"/>
          <w:numId w:val="1"/>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w:t>
      </w:r>
      <w:r>
        <w:rPr>
          <w:rFonts w:hint="eastAsia" w:ascii="宋体" w:hAnsi="宋体" w:eastAsia="宋体" w:cs="宋体"/>
          <w:color w:val="auto"/>
          <w:spacing w:val="6"/>
          <w:sz w:val="24"/>
          <w:highlight w:val="none"/>
          <w:lang w:val="en-US" w:eastAsia="zh-CN"/>
        </w:rPr>
        <w:t>4</w:t>
      </w:r>
      <w:r>
        <w:rPr>
          <w:rFonts w:hint="eastAsia" w:ascii="宋体" w:hAnsi="宋体" w:eastAsia="宋体" w:cs="宋体"/>
          <w:color w:val="auto"/>
          <w:spacing w:val="6"/>
          <w:sz w:val="24"/>
          <w:highlight w:val="none"/>
        </w:rPr>
        <w:t>.1 计分细则如下：</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细则</w:t>
            </w:r>
          </w:p>
          <w:p>
            <w:pPr>
              <w:spacing w:line="360" w:lineRule="auto"/>
              <w:rPr>
                <w:rFonts w:hint="eastAsia" w:ascii="宋体" w:hAnsi="宋体" w:eastAsia="宋体" w:cs="宋体"/>
                <w:sz w:val="24"/>
                <w:szCs w:val="24"/>
              </w:rPr>
            </w:pPr>
            <w:r>
              <w:rPr>
                <w:rFonts w:hint="eastAsia" w:ascii="宋体" w:hAnsi="宋体" w:eastAsia="宋体" w:cs="宋体"/>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1、价格分采用低价优先法计算、即满足招标文件要求且投标</w:t>
            </w:r>
            <w:r>
              <w:rPr>
                <w:rFonts w:hint="eastAsia" w:ascii="宋体" w:hAnsi="宋体" w:eastAsia="宋体" w:cs="宋体"/>
                <w:color w:val="auto"/>
                <w:sz w:val="24"/>
                <w:szCs w:val="24"/>
                <w:highlight w:val="none"/>
                <w:lang w:val="en-US" w:eastAsia="zh-CN"/>
              </w:rPr>
              <w:t>折扣</w:t>
            </w:r>
            <w:r>
              <w:rPr>
                <w:rFonts w:hint="eastAsia" w:ascii="宋体" w:hAnsi="宋体" w:eastAsia="宋体" w:cs="宋体"/>
                <w:color w:val="auto"/>
                <w:sz w:val="24"/>
                <w:szCs w:val="24"/>
                <w:highlight w:val="none"/>
              </w:rPr>
              <w:t>最低的投标报价为评标基准价、其价格分为满分。</w:t>
            </w:r>
            <w:r>
              <w:rPr>
                <w:rFonts w:hint="eastAsia" w:ascii="宋体" w:hAnsi="宋体" w:eastAsia="宋体" w:cs="宋体"/>
                <w:b/>
                <w:bCs/>
                <w:color w:val="auto"/>
                <w:sz w:val="24"/>
                <w:szCs w:val="24"/>
                <w:highlight w:val="none"/>
              </w:rPr>
              <w:t>其他投标人的价格分统一按照下列公式计算∶投标报价得分=（评标基准</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2、若投标人投标价格超出采购预算，则该投标人被视为无效投标。</w:t>
            </w:r>
          </w:p>
          <w:p>
            <w:pPr>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60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技术评分</w:t>
            </w:r>
          </w:p>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20</w:t>
            </w:r>
            <w:r>
              <w:rPr>
                <w:rFonts w:hint="eastAsia" w:ascii="宋体" w:hAnsi="宋体" w:eastAsia="宋体" w:cs="宋体"/>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宋体" w:hAnsi="宋体" w:eastAsia="宋体" w:cs="宋体"/>
                <w:sz w:val="24"/>
                <w:szCs w:val="24"/>
              </w:rPr>
            </w:pPr>
            <w:r>
              <w:rPr>
                <w:rFonts w:hint="eastAsia" w:hAnsi="宋体" w:cs="宋体"/>
                <w:sz w:val="24"/>
                <w:szCs w:val="24"/>
                <w:lang w:val="en-US" w:eastAsia="zh-CN"/>
              </w:rPr>
              <w:t>1.投标人</w:t>
            </w:r>
            <w:r>
              <w:rPr>
                <w:rFonts w:hint="eastAsia" w:ascii="宋体" w:hAnsi="宋体" w:eastAsia="宋体" w:cs="宋体"/>
                <w:sz w:val="24"/>
                <w:szCs w:val="24"/>
              </w:rPr>
              <w:t>全部满足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一、采购需求”</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lang w:val="zh-CN"/>
              </w:rPr>
            </w:pPr>
            <w:r>
              <w:rPr>
                <w:rFonts w:hint="eastAsia" w:ascii="宋体" w:hAnsi="宋体" w:eastAsia="宋体" w:cs="宋体"/>
                <w:b/>
                <w:bCs/>
                <w:sz w:val="24"/>
                <w:szCs w:val="24"/>
              </w:rPr>
              <w:t>评审依据：</w:t>
            </w:r>
            <w:r>
              <w:rPr>
                <w:rFonts w:hint="eastAsia" w:ascii="宋体" w:hAnsi="宋体" w:cs="宋体"/>
                <w:b/>
                <w:bCs/>
                <w:sz w:val="24"/>
                <w:szCs w:val="24"/>
                <w:lang w:val="en-US" w:eastAsia="zh-CN"/>
              </w:rPr>
              <w:t>投标文件中</w:t>
            </w:r>
            <w:r>
              <w:rPr>
                <w:rFonts w:hint="eastAsia" w:ascii="宋体" w:hAnsi="宋体" w:eastAsia="宋体" w:cs="宋体"/>
                <w:b/>
                <w:bCs/>
                <w:sz w:val="24"/>
                <w:szCs w:val="24"/>
              </w:rPr>
              <w:t>提供</w:t>
            </w:r>
            <w:r>
              <w:rPr>
                <w:rFonts w:hint="eastAsia" w:ascii="宋体" w:hAnsi="宋体" w:eastAsia="宋体" w:cs="宋体"/>
                <w:b/>
                <w:bCs/>
                <w:sz w:val="24"/>
                <w:szCs w:val="24"/>
                <w:lang w:val="en-US" w:eastAsia="zh-CN"/>
              </w:rPr>
              <w:t>服务</w:t>
            </w:r>
            <w:r>
              <w:rPr>
                <w:rFonts w:hint="eastAsia" w:ascii="宋体" w:hAnsi="宋体" w:eastAsia="宋体" w:cs="宋体"/>
                <w:b/>
                <w:bCs/>
                <w:sz w:val="24"/>
                <w:szCs w:val="24"/>
              </w:rPr>
              <w:t>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施工组织方案</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投标人提</w:t>
            </w:r>
            <w:r>
              <w:rPr>
                <w:rFonts w:hint="eastAsia" w:ascii="宋体" w:hAnsi="宋体" w:eastAsia="宋体" w:cs="宋体"/>
                <w:sz w:val="24"/>
                <w:szCs w:val="24"/>
                <w:highlight w:val="none"/>
                <w:lang w:val="en-US" w:eastAsia="zh-CN"/>
              </w:rPr>
              <w:t>供施工组织方案包括：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①</w:t>
            </w:r>
            <w:r>
              <w:rPr>
                <w:rFonts w:hint="eastAsia" w:ascii="宋体" w:hAnsi="宋体" w:eastAsia="宋体" w:cs="宋体"/>
                <w:sz w:val="24"/>
                <w:szCs w:val="24"/>
                <w:highlight w:val="none"/>
                <w:lang w:val="en-US" w:eastAsia="zh-CN"/>
              </w:rPr>
              <w:t>施工组织</w:t>
            </w:r>
            <w:r>
              <w:rPr>
                <w:rFonts w:hint="eastAsia" w:ascii="宋体" w:hAnsi="宋体" w:cs="宋体"/>
                <w:sz w:val="24"/>
                <w:szCs w:val="24"/>
                <w:highlight w:val="none"/>
                <w:lang w:val="en-US" w:eastAsia="zh-CN"/>
              </w:rPr>
              <w:t>架构</w:t>
            </w:r>
            <w:r>
              <w:rPr>
                <w:rFonts w:hint="eastAsia" w:ascii="宋体" w:hAnsi="宋体" w:eastAsia="宋体" w:cs="宋体"/>
                <w:sz w:val="24"/>
                <w:szCs w:val="24"/>
                <w:lang w:val="en-US" w:eastAsia="zh-CN"/>
              </w:rPr>
              <w:t>；</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劳动力配备计划；</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③</w:t>
            </w:r>
            <w:r>
              <w:rPr>
                <w:rFonts w:hint="eastAsia" w:ascii="宋体" w:hAnsi="宋体" w:eastAsia="宋体" w:cs="宋体"/>
                <w:sz w:val="24"/>
                <w:szCs w:val="24"/>
                <w:lang w:val="en-US" w:eastAsia="zh-CN"/>
              </w:rPr>
              <w:t>劳动保障措施；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方案包含以上3点且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分；方案包含以上3点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分；方案包含以上3点但内容简单、描述不够清晰完整、合理性可行性低的得分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分；方案未完全包含以上3点不得分。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文明保障措施方案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投标人提供文明保障措施方案包括：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文明施工制度及措施</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环境保护制度及措施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方案包含以上2点且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分；方案包含以上2点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分；方案包含以上2点但内容简单、描述不够清晰完整、合理性可行性低的得分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分；方案未完全包含以上2点不得分。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宋体" w:hAnsi="宋体" w:eastAsia="宋体" w:cs="宋体"/>
                <w:kern w:val="2"/>
                <w:sz w:val="24"/>
                <w:szCs w:val="24"/>
                <w:lang w:val="en-US" w:eastAsia="zh-CN" w:bidi="ar-SA"/>
              </w:rPr>
            </w:pP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拟派施工团队</w:t>
            </w:r>
            <w:r>
              <w:rPr>
                <w:rFonts w:hint="eastAsia" w:cs="宋体"/>
                <w:kern w:val="2"/>
                <w:sz w:val="24"/>
                <w:szCs w:val="24"/>
                <w:lang w:val="en-US" w:eastAsia="zh-CN" w:bidi="ar-SA"/>
              </w:rPr>
              <w:t>具有：</w:t>
            </w:r>
            <w:r>
              <w:rPr>
                <w:rFonts w:hint="eastAsia" w:ascii="宋体" w:hAnsi="宋体" w:eastAsia="宋体" w:cs="宋体"/>
                <w:kern w:val="2"/>
                <w:sz w:val="24"/>
                <w:szCs w:val="24"/>
                <w:lang w:val="en-US" w:eastAsia="zh-CN" w:bidi="ar-SA"/>
              </w:rPr>
              <w:t>施工员、安全员、质量员、材料员、标准员、机械员、劳务员、资料员的，</w:t>
            </w:r>
            <w:r>
              <w:rPr>
                <w:rFonts w:hint="eastAsia" w:cs="宋体"/>
                <w:kern w:val="2"/>
                <w:sz w:val="24"/>
                <w:szCs w:val="24"/>
                <w:lang w:val="en-US" w:eastAsia="zh-CN" w:bidi="ar-SA"/>
              </w:rPr>
              <w:t>全部满足</w:t>
            </w:r>
            <w:r>
              <w:rPr>
                <w:rFonts w:hint="eastAsia" w:ascii="宋体" w:hAnsi="宋体" w:eastAsia="宋体" w:cs="宋体"/>
                <w:kern w:val="2"/>
                <w:sz w:val="24"/>
                <w:szCs w:val="24"/>
                <w:lang w:val="en-US" w:eastAsia="zh-CN" w:bidi="ar-SA"/>
              </w:rPr>
              <w:t>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r>
              <w:rPr>
                <w:rFonts w:hint="eastAsia" w:cs="宋体"/>
                <w:kern w:val="2"/>
                <w:sz w:val="24"/>
                <w:szCs w:val="24"/>
                <w:lang w:val="en-US" w:eastAsia="zh-CN" w:bidi="ar-SA"/>
              </w:rPr>
              <w:t>每少一项扣1分</w:t>
            </w:r>
            <w:r>
              <w:rPr>
                <w:rFonts w:hint="eastAsia" w:ascii="宋体" w:hAnsi="宋体" w:eastAsia="宋体" w:cs="宋体"/>
                <w:kern w:val="2"/>
                <w:sz w:val="24"/>
                <w:szCs w:val="24"/>
                <w:lang w:val="en-US" w:eastAsia="zh-CN" w:bidi="ar-SA"/>
              </w:rPr>
              <w:t>。</w:t>
            </w:r>
          </w:p>
          <w:p>
            <w:pPr>
              <w:spacing w:line="360" w:lineRule="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评审依据：</w:t>
            </w:r>
            <w:r>
              <w:rPr>
                <w:rFonts w:hint="eastAsia" w:ascii="宋体" w:hAnsi="宋体" w:cs="宋体"/>
                <w:b/>
                <w:bCs/>
                <w:sz w:val="24"/>
                <w:szCs w:val="24"/>
                <w:lang w:val="en-US" w:eastAsia="zh-CN"/>
              </w:rPr>
              <w:t>投</w:t>
            </w:r>
            <w:r>
              <w:rPr>
                <w:rFonts w:hint="eastAsia" w:ascii="宋体" w:hAnsi="宋体" w:eastAsia="宋体" w:cs="宋体"/>
                <w:b/>
                <w:bCs/>
                <w:kern w:val="2"/>
                <w:sz w:val="24"/>
                <w:szCs w:val="24"/>
                <w:lang w:val="en-US" w:eastAsia="zh-CN" w:bidi="ar-SA"/>
              </w:rPr>
              <w:t>标文件中提供有效的岗位证书，劳动合同，拟派人员在本单位缴纳开标前（不含开标当月）</w:t>
            </w:r>
            <w:r>
              <w:rPr>
                <w:rFonts w:hint="eastAsia" w:ascii="宋体" w:hAnsi="宋体" w:cs="宋体"/>
                <w:b/>
                <w:bCs/>
                <w:kern w:val="2"/>
                <w:sz w:val="24"/>
                <w:szCs w:val="24"/>
                <w:lang w:val="en-US" w:eastAsia="zh-CN" w:bidi="ar-SA"/>
              </w:rPr>
              <w:t>近3</w:t>
            </w:r>
            <w:r>
              <w:rPr>
                <w:rFonts w:hint="eastAsia" w:ascii="宋体" w:hAnsi="宋体" w:eastAsia="宋体" w:cs="宋体"/>
                <w:b/>
                <w:bCs/>
                <w:kern w:val="2"/>
                <w:sz w:val="24"/>
                <w:szCs w:val="24"/>
                <w:lang w:val="en-US" w:eastAsia="zh-CN" w:bidi="ar-SA"/>
              </w:rPr>
              <w:t>个月</w:t>
            </w:r>
            <w:r>
              <w:rPr>
                <w:rFonts w:hint="eastAsia" w:ascii="宋体" w:hAnsi="宋体" w:cs="宋体"/>
                <w:b/>
                <w:bCs/>
                <w:kern w:val="2"/>
                <w:sz w:val="24"/>
                <w:szCs w:val="24"/>
                <w:lang w:val="en-US" w:eastAsia="zh-CN" w:bidi="ar-SA"/>
              </w:rPr>
              <w:t>内任意一个月</w:t>
            </w:r>
            <w:r>
              <w:rPr>
                <w:rFonts w:hint="eastAsia" w:ascii="宋体" w:hAnsi="宋体" w:eastAsia="宋体" w:cs="宋体"/>
                <w:b/>
                <w:bCs/>
                <w:kern w:val="2"/>
                <w:sz w:val="24"/>
                <w:szCs w:val="24"/>
                <w:lang w:val="en-US" w:eastAsia="zh-CN" w:bidi="ar-SA"/>
              </w:rPr>
              <w:t>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商务评分</w:t>
            </w:r>
          </w:p>
          <w:p>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1.投标人全部</w:t>
            </w:r>
            <w:r>
              <w:rPr>
                <w:rFonts w:hint="eastAsia" w:ascii="宋体" w:hAnsi="宋体" w:eastAsia="宋体" w:cs="宋体"/>
                <w:sz w:val="24"/>
                <w:szCs w:val="24"/>
              </w:rPr>
              <w:t>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w:t>
            </w:r>
            <w:r>
              <w:rPr>
                <w:rFonts w:hint="eastAsia" w:ascii="宋体" w:hAnsi="宋体" w:eastAsia="宋体" w:cs="宋体"/>
                <w:b/>
                <w:bCs/>
                <w:sz w:val="24"/>
                <w:szCs w:val="24"/>
              </w:rPr>
              <w:t>商务条款</w:t>
            </w:r>
            <w:r>
              <w:rPr>
                <w:rFonts w:hint="eastAsia" w:ascii="宋体" w:hAnsi="宋体" w:eastAsia="宋体" w:cs="宋体"/>
                <w:b/>
                <w:bCs/>
                <w:sz w:val="24"/>
                <w:szCs w:val="24"/>
                <w:lang w:val="en-US" w:eastAsia="zh-CN"/>
              </w:rPr>
              <w:t>”</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rPr>
            </w:pPr>
            <w:r>
              <w:rPr>
                <w:rFonts w:hint="eastAsia" w:ascii="宋体" w:hAnsi="宋体" w:eastAsia="宋体" w:cs="宋体"/>
                <w:b/>
                <w:bCs/>
                <w:sz w:val="24"/>
                <w:szCs w:val="24"/>
              </w:rPr>
              <w:t>评分依据：</w:t>
            </w:r>
            <w:r>
              <w:rPr>
                <w:rFonts w:hint="eastAsia" w:ascii="宋体" w:hAnsi="宋体" w:cs="宋体"/>
                <w:b/>
                <w:bCs/>
                <w:sz w:val="24"/>
                <w:szCs w:val="24"/>
                <w:lang w:val="en-US" w:eastAsia="zh-CN"/>
              </w:rPr>
              <w:t>投标文件中提供</w:t>
            </w:r>
            <w:r>
              <w:rPr>
                <w:rFonts w:hint="eastAsia" w:ascii="宋体" w:hAnsi="宋体" w:eastAsia="宋体" w:cs="宋体"/>
                <w:b/>
                <w:bCs/>
                <w:sz w:val="24"/>
                <w:szCs w:val="24"/>
              </w:rPr>
              <w:t>商务条款响应/偏离表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业绩</w:t>
            </w: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投标人20</w:t>
            </w:r>
            <w:r>
              <w:rPr>
                <w:rFonts w:hint="eastAsia" w:ascii="宋体" w:hAnsi="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6</w:t>
            </w:r>
            <w:r>
              <w:rPr>
                <w:rFonts w:hint="eastAsia" w:ascii="宋体" w:hAnsi="宋体" w:eastAsia="宋体" w:cs="宋体"/>
                <w:sz w:val="24"/>
                <w:szCs w:val="24"/>
              </w:rPr>
              <w:t>月1日至</w:t>
            </w:r>
            <w:r>
              <w:rPr>
                <w:rFonts w:hint="eastAsia" w:ascii="宋体" w:hAnsi="宋体" w:cs="宋体"/>
                <w:sz w:val="24"/>
                <w:szCs w:val="24"/>
                <w:lang w:val="en-US" w:eastAsia="zh-CN"/>
              </w:rPr>
              <w:t>开标当日</w:t>
            </w:r>
            <w:r>
              <w:rPr>
                <w:rFonts w:hint="eastAsia" w:ascii="宋体" w:hAnsi="宋体" w:eastAsia="宋体" w:cs="宋体"/>
                <w:sz w:val="24"/>
                <w:szCs w:val="24"/>
              </w:rPr>
              <w:t>，承担过含有钢架结构的类似劳务业绩，每提供一份得</w:t>
            </w:r>
            <w:r>
              <w:rPr>
                <w:rFonts w:hint="eastAsia" w:ascii="宋体" w:hAnsi="宋体" w:eastAsia="宋体" w:cs="宋体"/>
                <w:sz w:val="24"/>
                <w:szCs w:val="24"/>
                <w:lang w:val="en-US" w:eastAsia="zh-CN"/>
              </w:rPr>
              <w:t>2.5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售后服务：</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评审依据：提供售后服务承诺并加盖公章，未提供不得</w:t>
            </w:r>
            <w:r>
              <w:rPr>
                <w:rFonts w:hint="eastAsia" w:ascii="宋体" w:hAnsi="宋体" w:eastAsia="宋体" w:cs="宋体"/>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10 分</w:t>
            </w:r>
          </w:p>
        </w:tc>
      </w:tr>
    </w:tbl>
    <w:p>
      <w:pPr>
        <w:rPr>
          <w:rFonts w:hint="eastAsia" w:ascii="宋体" w:hAnsi="宋体" w:eastAsia="宋体" w:cs="宋体"/>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sz w:val="24"/>
          <w:szCs w:val="24"/>
          <w:lang w:val="en-US" w:eastAsia="zh-CN"/>
        </w:rPr>
      </w:pPr>
      <w:r>
        <w:rPr>
          <w:rFonts w:hint="eastAsia" w:ascii="宋体" w:hAnsi="宋体" w:eastAsia="宋体" w:cs="宋体"/>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宋体" w:hAnsi="宋体" w:eastAsia="宋体" w:cs="宋体"/>
          <w:b/>
          <w:bCs/>
          <w:color w:val="auto"/>
          <w:spacing w:val="6"/>
          <w:sz w:val="24"/>
          <w:szCs w:val="24"/>
          <w:highlight w:val="none"/>
        </w:rPr>
        <w:t>取消其中标资格、</w:t>
      </w:r>
      <w:r>
        <w:rPr>
          <w:rFonts w:hint="eastAsia" w:ascii="宋体" w:hAnsi="宋体" w:eastAsia="宋体" w:cs="宋体"/>
          <w:b/>
          <w:bCs/>
          <w:color w:val="auto"/>
          <w:sz w:val="24"/>
          <w:szCs w:val="24"/>
          <w:highlight w:val="none"/>
        </w:rPr>
        <w:t>不予退回保证金，并按相关规定上报监管部门处理。</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OWFlYjhlNTE0MWRlZWM3ZDc3NmRjN2YxMzFhMzUifQ=="/>
    <w:docVar w:name="KSO_WPS_MARK_KEY" w:val="b7f6a430-581b-4d6d-90ac-c0fdf6c69b99"/>
  </w:docVars>
  <w:rsids>
    <w:rsidRoot w:val="00000000"/>
    <w:rsid w:val="02657F3A"/>
    <w:rsid w:val="050470AD"/>
    <w:rsid w:val="07EE3A43"/>
    <w:rsid w:val="080D4B60"/>
    <w:rsid w:val="0893749F"/>
    <w:rsid w:val="092811AA"/>
    <w:rsid w:val="0CBD21BF"/>
    <w:rsid w:val="0FCD24DF"/>
    <w:rsid w:val="10442DF5"/>
    <w:rsid w:val="19193C38"/>
    <w:rsid w:val="1EE74B73"/>
    <w:rsid w:val="25D32EFB"/>
    <w:rsid w:val="268D3316"/>
    <w:rsid w:val="2C8671CD"/>
    <w:rsid w:val="2F20249B"/>
    <w:rsid w:val="3613749E"/>
    <w:rsid w:val="36B716C1"/>
    <w:rsid w:val="3D790266"/>
    <w:rsid w:val="3FEB552D"/>
    <w:rsid w:val="582241C7"/>
    <w:rsid w:val="5BE31546"/>
    <w:rsid w:val="5D064542"/>
    <w:rsid w:val="5FDD6CEA"/>
    <w:rsid w:val="618D1EA5"/>
    <w:rsid w:val="68D0643D"/>
    <w:rsid w:val="69540E1C"/>
    <w:rsid w:val="6C1264F8"/>
    <w:rsid w:val="6EBE002F"/>
    <w:rsid w:val="6FAAD493"/>
    <w:rsid w:val="72250A97"/>
    <w:rsid w:val="788543C8"/>
    <w:rsid w:val="7D474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 w:type="paragraph" w:customStyle="1" w:styleId="27">
    <w:name w:val="纯文本1"/>
    <w:basedOn w:val="1"/>
    <w:qFormat/>
    <w:uiPriority w:val="99"/>
    <w:rPr>
      <w:rFonts w:ascii="宋体" w:hAnsi="Courier New"/>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2378</Words>
  <Characters>2422</Characters>
  <Lines>0</Lines>
  <Paragraphs>0</Paragraphs>
  <TotalTime>1</TotalTime>
  <ScaleCrop>false</ScaleCrop>
  <LinksUpToDate>false</LinksUpToDate>
  <CharactersWithSpaces>2444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Clytze</cp:lastModifiedBy>
  <dcterms:modified xsi:type="dcterms:W3CDTF">2024-06-21T08:41:41Z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4ADF45EDE2844B18A1FDEF60F4F49415_13</vt:lpwstr>
  </property>
</Properties>
</file>